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319" w:lineRule="exact"/>
        <w:rPr>
          <w:sz w:val="24"/>
          <w:szCs w:val="24"/>
          <w:color w:val="auto"/>
        </w:rPr>
      </w:pPr>
    </w:p>
    <w:p>
      <w:pPr>
        <w:jc w:val="center"/>
        <w:ind w:right="-1100"/>
        <w:spacing w:after="0"/>
        <w:rPr>
          <w:sz w:val="20"/>
          <w:szCs w:val="20"/>
          <w:color w:val="auto"/>
        </w:rPr>
      </w:pPr>
      <w:r>
        <w:rPr>
          <w:rFonts w:ascii="Arial" w:cs="Arial" w:eastAsia="Arial" w:hAnsi="Arial"/>
          <w:sz w:val="14"/>
          <w:szCs w:val="14"/>
          <w:b w:val="1"/>
          <w:bCs w:val="1"/>
          <w:color w:val="3E3935"/>
        </w:rPr>
        <w:t>UNITED STATES</w:t>
      </w:r>
    </w:p>
    <w:p>
      <w:pPr>
        <w:spacing w:after="0" w:line="15" w:lineRule="exact"/>
        <w:rPr>
          <w:sz w:val="24"/>
          <w:szCs w:val="24"/>
          <w:color w:val="auto"/>
        </w:rPr>
      </w:pPr>
    </w:p>
    <w:p>
      <w:pPr>
        <w:jc w:val="center"/>
        <w:ind w:right="-1100"/>
        <w:spacing w:after="0"/>
        <w:rPr>
          <w:sz w:val="20"/>
          <w:szCs w:val="20"/>
          <w:color w:val="auto"/>
        </w:rPr>
      </w:pPr>
      <w:r>
        <w:rPr>
          <w:rFonts w:ascii="Arial" w:cs="Arial" w:eastAsia="Arial" w:hAnsi="Arial"/>
          <w:sz w:val="14"/>
          <w:szCs w:val="14"/>
          <w:b w:val="1"/>
          <w:bCs w:val="1"/>
          <w:color w:val="3E3935"/>
        </w:rPr>
        <w:t>SECURITIES AND EXCHANGE COMMISSION</w:t>
      </w:r>
    </w:p>
    <w:p>
      <w:pPr>
        <w:spacing w:after="0" w:line="1" w:lineRule="exact"/>
        <w:rPr>
          <w:sz w:val="24"/>
          <w:szCs w:val="24"/>
          <w:color w:val="auto"/>
        </w:rPr>
      </w:pPr>
    </w:p>
    <w:p>
      <w:pPr>
        <w:jc w:val="center"/>
        <w:ind w:right="-1100"/>
        <w:spacing w:after="0"/>
        <w:rPr>
          <w:sz w:val="20"/>
          <w:szCs w:val="20"/>
          <w:color w:val="auto"/>
        </w:rPr>
      </w:pPr>
      <w:r>
        <w:rPr>
          <w:rFonts w:ascii="Arial" w:cs="Arial" w:eastAsia="Arial" w:hAnsi="Arial"/>
          <w:sz w:val="14"/>
          <w:szCs w:val="14"/>
          <w:color w:val="3E3935"/>
        </w:rPr>
        <w:t>Washington, D.C. 20549</w:t>
      </w:r>
    </w:p>
    <w:p>
      <w:pPr>
        <w:spacing w:after="0" w:line="189" w:lineRule="exact"/>
        <w:rPr>
          <w:sz w:val="24"/>
          <w:szCs w:val="24"/>
          <w:color w:val="auto"/>
        </w:rPr>
      </w:pPr>
    </w:p>
    <w:p>
      <w:pPr>
        <w:ind w:left="4760"/>
        <w:spacing w:after="0"/>
        <w:rPr>
          <w:sz w:val="20"/>
          <w:szCs w:val="20"/>
          <w:color w:val="auto"/>
        </w:rPr>
      </w:pPr>
      <w:r>
        <w:rPr>
          <w:rFonts w:ascii="Arial" w:cs="Arial" w:eastAsia="Arial" w:hAnsi="Arial"/>
          <w:sz w:val="22"/>
          <w:szCs w:val="22"/>
          <w:b w:val="1"/>
          <w:bCs w:val="1"/>
          <w:color w:val="3E3935"/>
        </w:rPr>
        <w:t>SCHEDULE 14A</w:t>
      </w:r>
    </w:p>
    <w:p>
      <w:pPr>
        <w:spacing w:after="0" w:line="247" w:lineRule="exact"/>
        <w:rPr>
          <w:sz w:val="24"/>
          <w:szCs w:val="24"/>
          <w:color w:val="auto"/>
        </w:rPr>
      </w:pPr>
    </w:p>
    <w:p>
      <w:pPr>
        <w:jc w:val="center"/>
        <w:ind w:right="-1100"/>
        <w:spacing w:after="0"/>
        <w:rPr>
          <w:sz w:val="20"/>
          <w:szCs w:val="20"/>
          <w:color w:val="auto"/>
        </w:rPr>
      </w:pPr>
      <w:r>
        <w:rPr>
          <w:rFonts w:ascii="Arial" w:cs="Arial" w:eastAsia="Arial" w:hAnsi="Arial"/>
          <w:sz w:val="14"/>
          <w:szCs w:val="14"/>
          <w:b w:val="1"/>
          <w:bCs w:val="1"/>
          <w:color w:val="3E3935"/>
        </w:rPr>
        <w:t>Proxy Statement Pursuant to Section 14(a) of the Securities</w:t>
      </w:r>
    </w:p>
    <w:p>
      <w:pPr>
        <w:spacing w:after="0" w:line="15" w:lineRule="exact"/>
        <w:rPr>
          <w:sz w:val="24"/>
          <w:szCs w:val="24"/>
          <w:color w:val="auto"/>
        </w:rPr>
      </w:pPr>
    </w:p>
    <w:p>
      <w:pPr>
        <w:jc w:val="center"/>
        <w:ind w:right="-1100"/>
        <w:spacing w:after="0"/>
        <w:rPr>
          <w:sz w:val="20"/>
          <w:szCs w:val="20"/>
          <w:color w:val="auto"/>
        </w:rPr>
      </w:pPr>
      <w:r>
        <w:rPr>
          <w:rFonts w:ascii="Arial" w:cs="Arial" w:eastAsia="Arial" w:hAnsi="Arial"/>
          <w:sz w:val="14"/>
          <w:szCs w:val="14"/>
          <w:b w:val="1"/>
          <w:bCs w:val="1"/>
          <w:color w:val="3E3935"/>
        </w:rPr>
        <w:t>Exchange Act of 1934</w:t>
      </w:r>
    </w:p>
    <w:p>
      <w:pPr>
        <w:spacing w:after="0" w:line="176" w:lineRule="exact"/>
        <w:rPr>
          <w:sz w:val="24"/>
          <w:szCs w:val="24"/>
          <w:color w:val="auto"/>
        </w:rPr>
      </w:pPr>
    </w:p>
    <w:p>
      <w:pPr>
        <w:jc w:val="right"/>
        <w:ind w:right="1099"/>
        <w:spacing w:after="0" w:line="150" w:lineRule="exact"/>
        <w:tabs>
          <w:tab w:leader="none" w:pos="2600" w:val="left"/>
        </w:tabs>
        <w:rPr>
          <w:sz w:val="20"/>
          <w:szCs w:val="20"/>
          <w:color w:val="auto"/>
        </w:rPr>
      </w:pPr>
      <w:r>
        <w:rPr>
          <w:rFonts w:ascii="MS PGothic" w:cs="MS PGothic" w:eastAsia="MS PGothic" w:hAnsi="MS PGothic"/>
          <w:sz w:val="13"/>
          <w:szCs w:val="13"/>
          <w:color w:val="3E3935"/>
        </w:rPr>
        <w:t>☑</w:t>
      </w:r>
      <w:r>
        <w:rPr>
          <w:rFonts w:ascii="Arial" w:cs="Arial" w:eastAsia="Arial" w:hAnsi="Arial"/>
          <w:sz w:val="13"/>
          <w:szCs w:val="13"/>
          <w:color w:val="3E3935"/>
        </w:rPr>
        <w:t xml:space="preserve"> Filed by the Registrant</w:t>
      </w:r>
      <w:r>
        <w:rPr>
          <w:sz w:val="20"/>
          <w:szCs w:val="20"/>
          <w:color w:val="auto"/>
        </w:rPr>
        <w:tab/>
      </w:r>
      <w:r>
        <w:rPr>
          <w:rFonts w:ascii="MS PGothic" w:cs="MS PGothic" w:eastAsia="MS PGothic" w:hAnsi="MS PGothic"/>
          <w:sz w:val="13"/>
          <w:szCs w:val="13"/>
          <w:color w:val="3E3935"/>
        </w:rPr>
        <w:t xml:space="preserve">☐ </w:t>
      </w:r>
      <w:r>
        <w:rPr>
          <w:rFonts w:ascii="Arial" w:cs="Arial" w:eastAsia="Arial" w:hAnsi="Arial"/>
          <w:sz w:val="13"/>
          <w:szCs w:val="13"/>
          <w:color w:val="3E3935"/>
        </w:rPr>
        <w:t>Filed by a Party other than the Registrant</w:t>
      </w:r>
    </w:p>
    <w:p>
      <w:pPr>
        <w:spacing w:after="0" w:line="276" w:lineRule="exact"/>
        <w:rPr>
          <w:sz w:val="24"/>
          <w:szCs w:val="24"/>
          <w:color w:val="auto"/>
        </w:rPr>
      </w:pPr>
    </w:p>
    <w:p>
      <w:pPr>
        <w:ind w:left="300"/>
        <w:spacing w:after="0"/>
        <w:rPr>
          <w:sz w:val="20"/>
          <w:szCs w:val="20"/>
          <w:color w:val="auto"/>
        </w:rPr>
      </w:pPr>
      <w:r>
        <w:rPr>
          <w:rFonts w:ascii="Arial" w:cs="Arial" w:eastAsia="Arial" w:hAnsi="Arial"/>
          <w:sz w:val="22"/>
          <w:szCs w:val="22"/>
          <w:b w:val="1"/>
          <w:bCs w:val="1"/>
          <w:color w:val="3E3935"/>
        </w:rPr>
        <w:t>Check the appropriate box:</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99060</wp:posOffset>
            </wp:positionH>
            <wp:positionV relativeFrom="paragraph">
              <wp:posOffset>-158750</wp:posOffset>
            </wp:positionV>
            <wp:extent cx="6960870" cy="10287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60870" cy="1028700"/>
                    </a:xfrm>
                    <a:prstGeom prst="rect">
                      <a:avLst/>
                    </a:prstGeom>
                    <a:noFill/>
                  </pic:spPr>
                </pic:pic>
              </a:graphicData>
            </a:graphic>
          </wp:anchor>
        </w:drawing>
      </w:r>
    </w:p>
    <w:p>
      <w:pPr>
        <w:spacing w:after="0" w:line="30" w:lineRule="exact"/>
        <w:rPr>
          <w:sz w:val="24"/>
          <w:szCs w:val="24"/>
          <w:color w:val="auto"/>
        </w:rPr>
      </w:pPr>
    </w:p>
    <w:p>
      <w:pPr>
        <w:ind w:left="640" w:hanging="333"/>
        <w:spacing w:after="0"/>
        <w:tabs>
          <w:tab w:leader="none" w:pos="640" w:val="left"/>
        </w:tabs>
        <w:numPr>
          <w:ilvl w:val="0"/>
          <w:numId w:val="1"/>
        </w:numPr>
        <w:rPr>
          <w:rFonts w:ascii="MS PGothic" w:cs="MS PGothic" w:eastAsia="MS PGothic" w:hAnsi="MS PGothic"/>
          <w:sz w:val="18"/>
          <w:szCs w:val="18"/>
          <w:color w:val="3E3935"/>
        </w:rPr>
      </w:pPr>
      <w:r>
        <w:rPr>
          <w:rFonts w:ascii="Arial" w:cs="Arial" w:eastAsia="Arial" w:hAnsi="Arial"/>
          <w:sz w:val="14"/>
          <w:szCs w:val="14"/>
          <w:color w:val="3E3935"/>
        </w:rPr>
        <w:t>Preliminary Proxy Statement</w:t>
      </w:r>
    </w:p>
    <w:p>
      <w:pPr>
        <w:spacing w:after="0" w:line="85" w:lineRule="exact"/>
        <w:rPr>
          <w:rFonts w:ascii="MS PGothic" w:cs="MS PGothic" w:eastAsia="MS PGothic" w:hAnsi="MS PGothic"/>
          <w:sz w:val="18"/>
          <w:szCs w:val="18"/>
          <w:color w:val="3E3935"/>
        </w:rPr>
      </w:pPr>
    </w:p>
    <w:p>
      <w:pPr>
        <w:ind w:left="640" w:hanging="333"/>
        <w:spacing w:after="0"/>
        <w:tabs>
          <w:tab w:leader="none" w:pos="640" w:val="left"/>
        </w:tabs>
        <w:numPr>
          <w:ilvl w:val="0"/>
          <w:numId w:val="1"/>
        </w:numPr>
        <w:rPr>
          <w:rFonts w:ascii="MS PGothic" w:cs="MS PGothic" w:eastAsia="MS PGothic" w:hAnsi="MS PGothic"/>
          <w:sz w:val="18"/>
          <w:szCs w:val="18"/>
          <w:color w:val="3E3935"/>
        </w:rPr>
      </w:pPr>
      <w:r>
        <w:rPr>
          <w:rFonts w:ascii="Arial" w:cs="Arial" w:eastAsia="Arial" w:hAnsi="Arial"/>
          <w:sz w:val="14"/>
          <w:szCs w:val="14"/>
          <w:color w:val="3E3935"/>
        </w:rPr>
        <w:t>CONFIDENTIAL, FOR USE OF THE COMMISSION ONLY (AS PERMITTED BY RULE 14a-6(e)(2))</w:t>
      </w:r>
    </w:p>
    <w:p>
      <w:pPr>
        <w:spacing w:after="0" w:line="86" w:lineRule="exact"/>
        <w:rPr>
          <w:sz w:val="24"/>
          <w:szCs w:val="24"/>
          <w:color w:val="auto"/>
        </w:rPr>
      </w:pPr>
    </w:p>
    <w:p>
      <w:pPr>
        <w:ind w:left="640" w:hanging="333"/>
        <w:spacing w:after="0"/>
        <w:tabs>
          <w:tab w:leader="none" w:pos="640" w:val="left"/>
        </w:tabs>
        <w:numPr>
          <w:ilvl w:val="0"/>
          <w:numId w:val="2"/>
        </w:numPr>
        <w:rPr>
          <w:rFonts w:ascii="MS PGothic" w:cs="MS PGothic" w:eastAsia="MS PGothic" w:hAnsi="MS PGothic"/>
          <w:sz w:val="18"/>
          <w:szCs w:val="18"/>
          <w:color w:val="3E3935"/>
        </w:rPr>
      </w:pPr>
      <w:r>
        <w:rPr>
          <w:rFonts w:ascii="Arial" w:cs="Arial" w:eastAsia="Arial" w:hAnsi="Arial"/>
          <w:sz w:val="14"/>
          <w:szCs w:val="14"/>
          <w:color w:val="3E3935"/>
        </w:rPr>
        <w:t>Definitive Proxy Statement</w:t>
      </w:r>
    </w:p>
    <w:p>
      <w:pPr>
        <w:spacing w:after="0" w:line="86" w:lineRule="exact"/>
        <w:rPr>
          <w:sz w:val="24"/>
          <w:szCs w:val="24"/>
          <w:color w:val="auto"/>
        </w:rPr>
      </w:pPr>
    </w:p>
    <w:p>
      <w:pPr>
        <w:ind w:left="640" w:hanging="333"/>
        <w:spacing w:after="0"/>
        <w:tabs>
          <w:tab w:leader="none" w:pos="640" w:val="left"/>
        </w:tabs>
        <w:numPr>
          <w:ilvl w:val="0"/>
          <w:numId w:val="3"/>
        </w:numPr>
        <w:rPr>
          <w:rFonts w:ascii="MS PGothic" w:cs="MS PGothic" w:eastAsia="MS PGothic" w:hAnsi="MS PGothic"/>
          <w:sz w:val="18"/>
          <w:szCs w:val="18"/>
          <w:color w:val="3E3935"/>
        </w:rPr>
      </w:pPr>
      <w:r>
        <w:rPr>
          <w:rFonts w:ascii="Arial" w:cs="Arial" w:eastAsia="Arial" w:hAnsi="Arial"/>
          <w:sz w:val="14"/>
          <w:szCs w:val="14"/>
          <w:color w:val="3E3935"/>
        </w:rPr>
        <w:t>Definitive Additional Materials</w:t>
      </w:r>
    </w:p>
    <w:p>
      <w:pPr>
        <w:spacing w:after="0" w:line="85" w:lineRule="exact"/>
        <w:rPr>
          <w:rFonts w:ascii="MS PGothic" w:cs="MS PGothic" w:eastAsia="MS PGothic" w:hAnsi="MS PGothic"/>
          <w:sz w:val="18"/>
          <w:szCs w:val="18"/>
          <w:color w:val="3E3935"/>
        </w:rPr>
      </w:pPr>
    </w:p>
    <w:p>
      <w:pPr>
        <w:ind w:left="640" w:hanging="333"/>
        <w:spacing w:after="0"/>
        <w:tabs>
          <w:tab w:leader="none" w:pos="640" w:val="left"/>
        </w:tabs>
        <w:numPr>
          <w:ilvl w:val="0"/>
          <w:numId w:val="3"/>
        </w:numPr>
        <w:rPr>
          <w:rFonts w:ascii="MS PGothic" w:cs="MS PGothic" w:eastAsia="MS PGothic" w:hAnsi="MS PGothic"/>
          <w:sz w:val="18"/>
          <w:szCs w:val="18"/>
          <w:color w:val="3E3935"/>
        </w:rPr>
      </w:pPr>
      <w:r>
        <w:rPr>
          <w:rFonts w:ascii="Arial" w:cs="Arial" w:eastAsia="Arial" w:hAnsi="Arial"/>
          <w:sz w:val="14"/>
          <w:szCs w:val="14"/>
          <w:color w:val="3E3935"/>
        </w:rPr>
        <w:t>Soliciting Material under ss.240.14a-12</w:t>
      </w:r>
    </w:p>
    <w:p>
      <w:pPr>
        <w:spacing w:after="0" w:line="245" w:lineRule="exact"/>
        <w:rPr>
          <w:sz w:val="24"/>
          <w:szCs w:val="24"/>
          <w:color w:val="auto"/>
        </w:rPr>
      </w:pPr>
    </w:p>
    <w:p>
      <w:pPr>
        <w:ind w:left="3360"/>
        <w:spacing w:after="0"/>
        <w:rPr>
          <w:sz w:val="20"/>
          <w:szCs w:val="20"/>
          <w:color w:val="auto"/>
        </w:rPr>
      </w:pPr>
      <w:r>
        <w:rPr>
          <w:rFonts w:ascii="Arial" w:cs="Arial" w:eastAsia="Arial" w:hAnsi="Arial"/>
          <w:sz w:val="31"/>
          <w:szCs w:val="31"/>
          <w:b w:val="1"/>
          <w:bCs w:val="1"/>
          <w:color w:val="0071CE"/>
        </w:rPr>
        <w:t>GENERAL MOTORS COMPANY</w:t>
      </w:r>
    </w:p>
    <w:p>
      <w:pPr>
        <w:spacing w:after="0" w:line="30" w:lineRule="exact"/>
        <w:rPr>
          <w:sz w:val="24"/>
          <w:szCs w:val="24"/>
          <w:color w:val="auto"/>
        </w:rPr>
      </w:pPr>
    </w:p>
    <w:p>
      <w:pPr>
        <w:ind w:left="3440"/>
        <w:spacing w:after="0"/>
        <w:rPr>
          <w:sz w:val="20"/>
          <w:szCs w:val="20"/>
          <w:color w:val="auto"/>
        </w:rPr>
      </w:pPr>
      <w:r>
        <w:rPr>
          <w:rFonts w:ascii="Arial" w:cs="Arial" w:eastAsia="Arial" w:hAnsi="Arial"/>
          <w:sz w:val="20"/>
          <w:szCs w:val="20"/>
          <w:color w:val="3E3935"/>
        </w:rPr>
        <w:t>300 Renaissance Center, Detroit, Michigan 48265</w:t>
      </w:r>
    </w:p>
    <w:p>
      <w:pPr>
        <w:spacing w:after="0" w:line="198" w:lineRule="exact"/>
        <w:rPr>
          <w:sz w:val="24"/>
          <w:szCs w:val="24"/>
          <w:color w:val="auto"/>
        </w:rPr>
      </w:pPr>
    </w:p>
    <w:p>
      <w:pPr>
        <w:jc w:val="center"/>
        <w:ind w:right="-1100"/>
        <w:spacing w:after="0"/>
        <w:rPr>
          <w:sz w:val="20"/>
          <w:szCs w:val="20"/>
          <w:color w:val="auto"/>
        </w:rPr>
      </w:pPr>
      <w:r>
        <w:rPr>
          <w:rFonts w:ascii="Arial" w:cs="Arial" w:eastAsia="Arial" w:hAnsi="Arial"/>
          <w:sz w:val="14"/>
          <w:szCs w:val="14"/>
          <w:i w:val="1"/>
          <w:iCs w:val="1"/>
          <w:color w:val="3E3935"/>
        </w:rPr>
        <w:t>(Name of Registrant as Specified In Its Charter)</w:t>
      </w:r>
    </w:p>
    <w:p>
      <w:pPr>
        <w:spacing w:after="0" w:line="13" w:lineRule="exact"/>
        <w:rPr>
          <w:sz w:val="24"/>
          <w:szCs w:val="24"/>
          <w:color w:val="auto"/>
        </w:rPr>
      </w:pPr>
    </w:p>
    <w:p>
      <w:pPr>
        <w:jc w:val="center"/>
        <w:ind w:right="-1100"/>
        <w:spacing w:after="0"/>
        <w:rPr>
          <w:sz w:val="20"/>
          <w:szCs w:val="20"/>
          <w:color w:val="auto"/>
        </w:rPr>
      </w:pPr>
      <w:r>
        <w:rPr>
          <w:rFonts w:ascii="Arial" w:cs="Arial" w:eastAsia="Arial" w:hAnsi="Arial"/>
          <w:sz w:val="14"/>
          <w:szCs w:val="14"/>
          <w:i w:val="1"/>
          <w:iCs w:val="1"/>
          <w:color w:val="3E3935"/>
        </w:rPr>
        <w:t>(Name of Person(s) Filing Proxy Statement, if other than the Registrant)</w:t>
      </w:r>
    </w:p>
    <w:p>
      <w:pPr>
        <w:spacing w:after="0" w:line="238" w:lineRule="exact"/>
        <w:rPr>
          <w:sz w:val="24"/>
          <w:szCs w:val="24"/>
          <w:color w:val="auto"/>
        </w:rPr>
      </w:pPr>
    </w:p>
    <w:p>
      <w:pPr>
        <w:ind w:left="300"/>
        <w:spacing w:after="0"/>
        <w:rPr>
          <w:sz w:val="20"/>
          <w:szCs w:val="20"/>
          <w:color w:val="auto"/>
        </w:rPr>
      </w:pPr>
      <w:r>
        <w:rPr>
          <w:rFonts w:ascii="Arial" w:cs="Arial" w:eastAsia="Arial" w:hAnsi="Arial"/>
          <w:sz w:val="22"/>
          <w:szCs w:val="22"/>
          <w:b w:val="1"/>
          <w:bCs w:val="1"/>
          <w:color w:val="3E3935"/>
        </w:rPr>
        <w:t>Payment of Filing Fee (Check all boxes that apply):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99060</wp:posOffset>
            </wp:positionH>
            <wp:positionV relativeFrom="paragraph">
              <wp:posOffset>-158750</wp:posOffset>
            </wp:positionV>
            <wp:extent cx="6960870" cy="7289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60870" cy="728980"/>
                    </a:xfrm>
                    <a:prstGeom prst="rect">
                      <a:avLst/>
                    </a:prstGeom>
                    <a:noFill/>
                  </pic:spPr>
                </pic:pic>
              </a:graphicData>
            </a:graphic>
          </wp:anchor>
        </w:drawing>
      </w:r>
    </w:p>
    <w:p>
      <w:pPr>
        <w:spacing w:after="0" w:line="70" w:lineRule="exact"/>
        <w:rPr>
          <w:sz w:val="24"/>
          <w:szCs w:val="24"/>
          <w:color w:val="auto"/>
        </w:rPr>
      </w:pPr>
    </w:p>
    <w:p>
      <w:pPr>
        <w:ind w:left="700" w:hanging="353"/>
        <w:spacing w:after="0"/>
        <w:tabs>
          <w:tab w:leader="none" w:pos="700" w:val="left"/>
        </w:tabs>
        <w:numPr>
          <w:ilvl w:val="0"/>
          <w:numId w:val="4"/>
        </w:numPr>
        <w:rPr>
          <w:rFonts w:ascii="MS PGothic" w:cs="MS PGothic" w:eastAsia="MS PGothic" w:hAnsi="MS PGothic"/>
          <w:sz w:val="14"/>
          <w:szCs w:val="14"/>
          <w:color w:val="3E3935"/>
        </w:rPr>
      </w:pPr>
      <w:r>
        <w:rPr>
          <w:rFonts w:ascii="Arial" w:cs="Arial" w:eastAsia="Arial" w:hAnsi="Arial"/>
          <w:sz w:val="14"/>
          <w:szCs w:val="14"/>
          <w:b w:val="1"/>
          <w:bCs w:val="1"/>
          <w:color w:val="3E3935"/>
        </w:rPr>
        <w:t>No fee required</w:t>
      </w:r>
    </w:p>
    <w:p>
      <w:pPr>
        <w:spacing w:after="0" w:line="123" w:lineRule="exact"/>
        <w:rPr>
          <w:sz w:val="24"/>
          <w:szCs w:val="24"/>
          <w:color w:val="auto"/>
        </w:rPr>
      </w:pPr>
    </w:p>
    <w:p>
      <w:pPr>
        <w:ind w:left="700" w:hanging="353"/>
        <w:spacing w:after="0"/>
        <w:tabs>
          <w:tab w:leader="none" w:pos="700" w:val="left"/>
        </w:tabs>
        <w:numPr>
          <w:ilvl w:val="0"/>
          <w:numId w:val="5"/>
        </w:numPr>
        <w:rPr>
          <w:rFonts w:ascii="MS PGothic" w:cs="MS PGothic" w:eastAsia="MS PGothic" w:hAnsi="MS PGothic"/>
          <w:sz w:val="14"/>
          <w:szCs w:val="14"/>
          <w:color w:val="3E3935"/>
        </w:rPr>
      </w:pPr>
      <w:r>
        <w:rPr>
          <w:rFonts w:ascii="Arial" w:cs="Arial" w:eastAsia="Arial" w:hAnsi="Arial"/>
          <w:sz w:val="14"/>
          <w:szCs w:val="14"/>
          <w:b w:val="1"/>
          <w:bCs w:val="1"/>
          <w:color w:val="3E3935"/>
        </w:rPr>
        <w:t>Fee paid previously with preliminary materials</w:t>
      </w:r>
    </w:p>
    <w:p>
      <w:pPr>
        <w:spacing w:after="0" w:line="122" w:lineRule="exact"/>
        <w:rPr>
          <w:rFonts w:ascii="MS PGothic" w:cs="MS PGothic" w:eastAsia="MS PGothic" w:hAnsi="MS PGothic"/>
          <w:sz w:val="14"/>
          <w:szCs w:val="14"/>
          <w:color w:val="3E3935"/>
        </w:rPr>
      </w:pPr>
    </w:p>
    <w:p>
      <w:pPr>
        <w:ind w:left="700" w:hanging="353"/>
        <w:spacing w:after="0"/>
        <w:tabs>
          <w:tab w:leader="none" w:pos="700" w:val="left"/>
        </w:tabs>
        <w:numPr>
          <w:ilvl w:val="0"/>
          <w:numId w:val="5"/>
        </w:numPr>
        <w:rPr>
          <w:rFonts w:ascii="MS PGothic" w:cs="MS PGothic" w:eastAsia="MS PGothic" w:hAnsi="MS PGothic"/>
          <w:sz w:val="14"/>
          <w:szCs w:val="14"/>
          <w:color w:val="3E3935"/>
        </w:rPr>
      </w:pPr>
      <w:r>
        <w:rPr>
          <w:rFonts w:ascii="Arial" w:cs="Arial" w:eastAsia="Arial" w:hAnsi="Arial"/>
          <w:sz w:val="14"/>
          <w:szCs w:val="14"/>
          <w:b w:val="1"/>
          <w:bCs w:val="1"/>
          <w:color w:val="3E3935"/>
        </w:rPr>
        <w:t>Fee computed on table in exhibit required by Item 25(b) per Exchange Act Rules 14a-6(i)(1) and 0-11</w:t>
      </w:r>
    </w:p>
    <w:p>
      <w:pPr>
        <w:sectPr>
          <w:pgSz w:w="11900" w:h="16838" w:orient="portrait"/>
          <w:cols w:equalWidth="0" w:num="1">
            <w:col w:w="10139"/>
          </w:cols>
          <w:pgMar w:left="320" w:top="226" w:right="144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wp:posOffset>
            </wp:positionH>
            <wp:positionV relativeFrom="paragraph">
              <wp:posOffset>215265</wp:posOffset>
            </wp:positionV>
            <wp:extent cx="6317615" cy="82296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317615" cy="8229600"/>
                    </a:xfrm>
                    <a:prstGeom prst="rect">
                      <a:avLst/>
                    </a:prstGeom>
                    <a:noFill/>
                  </pic:spPr>
                </pic:pic>
              </a:graphicData>
            </a:graphic>
          </wp:anchor>
        </w:drawing>
      </w:r>
    </w:p>
    <w:p>
      <w:pPr>
        <w:sectPr>
          <w:pgSz w:w="11900" w:h="16838" w:orient="portrait"/>
          <w:cols w:equalWidth="0" w:num="1">
            <w:col w:w="10139"/>
          </w:cols>
          <w:pgMar w:left="320" w:top="482" w:right="1440"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215265</wp:posOffset>
            </wp:positionV>
            <wp:extent cx="6515100" cy="82296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515100" cy="8229600"/>
                    </a:xfrm>
                    <a:prstGeom prst="rect">
                      <a:avLst/>
                    </a:prstGeom>
                    <a:noFill/>
                  </pic:spPr>
                </pic:pic>
              </a:graphicData>
            </a:graphic>
          </wp:anchor>
        </w:drawing>
      </w:r>
    </w:p>
    <w:p>
      <w:pPr>
        <w:sectPr>
          <w:pgSz w:w="11900" w:h="16838" w:orient="portrait"/>
          <w:cols w:equalWidth="0" w:num="1">
            <w:col w:w="10139"/>
          </w:cols>
          <w:pgMar w:left="320" w:top="482" w:right="1440"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98" w:lineRule="exact"/>
        <w:rPr>
          <w:sz w:val="20"/>
          <w:szCs w:val="20"/>
          <w:color w:val="auto"/>
        </w:rPr>
      </w:pPr>
    </w:p>
    <w:p>
      <w:pPr>
        <w:ind w:left="120"/>
        <w:spacing w:after="0"/>
        <w:rPr>
          <w:sz w:val="20"/>
          <w:szCs w:val="20"/>
          <w:color w:val="auto"/>
        </w:rPr>
      </w:pPr>
      <w:r>
        <w:rPr>
          <w:rFonts w:ascii="Arial" w:cs="Arial" w:eastAsia="Arial" w:hAnsi="Arial"/>
          <w:sz w:val="32"/>
          <w:szCs w:val="32"/>
          <w:b w:val="1"/>
          <w:bCs w:val="1"/>
          <w:color w:val="0071CE"/>
        </w:rPr>
        <w:t>NOTICE OF 2023 ANNUAL MEETING OF SHAREHOLDERS</w:t>
      </w:r>
    </w:p>
    <w:p>
      <w:pPr>
        <w:sectPr>
          <w:pgSz w:w="11900" w:h="16838" w:orient="portrait"/>
          <w:cols w:equalWidth="0" w:num="1">
            <w:col w:w="10820"/>
          </w:cols>
          <w:pgMar w:left="320" w:top="482" w:right="759" w:bottom="1440" w:gutter="0" w:footer="0" w:header="0"/>
        </w:sectPr>
      </w:pPr>
    </w:p>
    <w:p>
      <w:pPr>
        <w:spacing w:after="0" w:line="200" w:lineRule="exact"/>
        <w:rPr>
          <w:sz w:val="20"/>
          <w:szCs w:val="20"/>
          <w:color w:val="auto"/>
        </w:rPr>
      </w:pPr>
    </w:p>
    <w:p>
      <w:pPr>
        <w:spacing w:after="0" w:line="370"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00C1DE"/>
        </w:rPr>
        <w:t>April 28, 2023</w:t>
      </w:r>
    </w:p>
    <w:p>
      <w:pPr>
        <w:spacing w:after="0" w:line="94"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00C1DE"/>
        </w:rPr>
        <w:t>Dear Fellow Shareholders:</w:t>
      </w:r>
    </w:p>
    <w:p>
      <w:pPr>
        <w:spacing w:after="0" w:line="96" w:lineRule="exact"/>
        <w:rPr>
          <w:sz w:val="20"/>
          <w:szCs w:val="20"/>
          <w:color w:val="auto"/>
        </w:rPr>
      </w:pPr>
    </w:p>
    <w:p>
      <w:pPr>
        <w:ind w:left="120" w:right="40"/>
        <w:spacing w:after="0" w:line="257" w:lineRule="auto"/>
        <w:rPr>
          <w:sz w:val="20"/>
          <w:szCs w:val="20"/>
          <w:color w:val="auto"/>
        </w:rPr>
      </w:pPr>
      <w:r>
        <w:rPr>
          <w:rFonts w:ascii="Arial" w:cs="Arial" w:eastAsia="Arial" w:hAnsi="Arial"/>
          <w:sz w:val="20"/>
          <w:szCs w:val="20"/>
          <w:color w:val="3E3935"/>
        </w:rPr>
        <w:t>The Board of Directors of General Motors Company invites you to attend the 2023 Annual Meeting of Shareholders.</w:t>
      </w:r>
    </w:p>
    <w:p>
      <w:pPr>
        <w:spacing w:after="0" w:line="88" w:lineRule="exact"/>
        <w:rPr>
          <w:sz w:val="20"/>
          <w:szCs w:val="20"/>
          <w:color w:val="auto"/>
        </w:rPr>
      </w:pPr>
    </w:p>
    <w:p>
      <w:pPr>
        <w:ind w:left="120"/>
        <w:spacing w:after="0"/>
        <w:rPr>
          <w:sz w:val="20"/>
          <w:szCs w:val="20"/>
          <w:color w:val="auto"/>
        </w:rPr>
      </w:pPr>
      <w:r>
        <w:rPr>
          <w:rFonts w:ascii="Arial" w:cs="Arial" w:eastAsia="Arial" w:hAnsi="Arial"/>
          <w:sz w:val="20"/>
          <w:szCs w:val="20"/>
          <w:color w:val="3E3935"/>
        </w:rPr>
        <w:t>At the Annual Meeting, you will be asked to:</w:t>
      </w:r>
    </w:p>
    <w:p>
      <w:pPr>
        <w:spacing w:after="0" w:line="108" w:lineRule="exact"/>
        <w:rPr>
          <w:sz w:val="20"/>
          <w:szCs w:val="20"/>
          <w:color w:val="auto"/>
        </w:rPr>
      </w:pPr>
    </w:p>
    <w:p>
      <w:pPr>
        <w:ind w:left="600" w:right="40" w:hanging="268"/>
        <w:spacing w:after="0" w:line="257" w:lineRule="auto"/>
        <w:tabs>
          <w:tab w:leader="none" w:pos="600" w:val="left"/>
        </w:tabs>
        <w:numPr>
          <w:ilvl w:val="0"/>
          <w:numId w:val="6"/>
        </w:numPr>
        <w:rPr>
          <w:rFonts w:ascii="Arial" w:cs="Arial" w:eastAsia="Arial" w:hAnsi="Arial"/>
          <w:sz w:val="20"/>
          <w:szCs w:val="20"/>
          <w:color w:val="00C1DE"/>
        </w:rPr>
      </w:pPr>
      <w:r>
        <w:rPr>
          <w:rFonts w:ascii="Arial" w:cs="Arial" w:eastAsia="Arial" w:hAnsi="Arial"/>
          <w:sz w:val="20"/>
          <w:szCs w:val="20"/>
          <w:i w:val="1"/>
          <w:iCs w:val="1"/>
          <w:color w:val="3E3935"/>
        </w:rPr>
        <w:t>Elect the 13 Board-recommended director nominees named in this Proxy Statement;</w:t>
      </w:r>
    </w:p>
    <w:p>
      <w:pPr>
        <w:spacing w:after="0" w:line="60" w:lineRule="exact"/>
        <w:rPr>
          <w:rFonts w:ascii="Arial" w:cs="Arial" w:eastAsia="Arial" w:hAnsi="Arial"/>
          <w:sz w:val="20"/>
          <w:szCs w:val="20"/>
          <w:color w:val="00C1DE"/>
        </w:rPr>
      </w:pPr>
    </w:p>
    <w:p>
      <w:pPr>
        <w:jc w:val="both"/>
        <w:ind w:left="600" w:right="60" w:hanging="268"/>
        <w:spacing w:after="0" w:line="241" w:lineRule="auto"/>
        <w:tabs>
          <w:tab w:leader="none" w:pos="600" w:val="left"/>
        </w:tabs>
        <w:numPr>
          <w:ilvl w:val="0"/>
          <w:numId w:val="6"/>
        </w:numPr>
        <w:rPr>
          <w:rFonts w:ascii="Arial" w:cs="Arial" w:eastAsia="Arial" w:hAnsi="Arial"/>
          <w:sz w:val="20"/>
          <w:szCs w:val="20"/>
          <w:color w:val="00C1DE"/>
        </w:rPr>
      </w:pPr>
      <w:r>
        <w:rPr>
          <w:rFonts w:ascii="Arial" w:cs="Arial" w:eastAsia="Arial" w:hAnsi="Arial"/>
          <w:sz w:val="20"/>
          <w:szCs w:val="20"/>
          <w:i w:val="1"/>
          <w:iCs w:val="1"/>
          <w:color w:val="3E3935"/>
        </w:rPr>
        <w:t>Ratify the selection of Ernst &amp; Young LLP as the Company’s independent registered public accounting firm for 2023;</w:t>
      </w:r>
    </w:p>
    <w:p>
      <w:pPr>
        <w:spacing w:after="0" w:line="76" w:lineRule="exact"/>
        <w:rPr>
          <w:rFonts w:ascii="Arial" w:cs="Arial" w:eastAsia="Arial" w:hAnsi="Arial"/>
          <w:sz w:val="20"/>
          <w:szCs w:val="20"/>
          <w:color w:val="00C1DE"/>
        </w:rPr>
      </w:pPr>
    </w:p>
    <w:p>
      <w:pPr>
        <w:ind w:left="600" w:right="60" w:hanging="268"/>
        <w:spacing w:after="0" w:line="257" w:lineRule="auto"/>
        <w:tabs>
          <w:tab w:leader="none" w:pos="600" w:val="left"/>
        </w:tabs>
        <w:numPr>
          <w:ilvl w:val="0"/>
          <w:numId w:val="6"/>
        </w:numPr>
        <w:rPr>
          <w:rFonts w:ascii="Arial" w:cs="Arial" w:eastAsia="Arial" w:hAnsi="Arial"/>
          <w:sz w:val="20"/>
          <w:szCs w:val="20"/>
          <w:color w:val="00C1DE"/>
        </w:rPr>
      </w:pPr>
      <w:r>
        <w:rPr>
          <w:rFonts w:ascii="Arial" w:cs="Arial" w:eastAsia="Arial" w:hAnsi="Arial"/>
          <w:sz w:val="20"/>
          <w:szCs w:val="20"/>
          <w:i w:val="1"/>
          <w:iCs w:val="1"/>
          <w:color w:val="3E3935"/>
        </w:rPr>
        <w:t>Approve, on an advisory basis, named executive officer compensation;</w:t>
      </w:r>
    </w:p>
    <w:p>
      <w:pPr>
        <w:spacing w:after="0" w:line="60" w:lineRule="exact"/>
        <w:rPr>
          <w:rFonts w:ascii="Arial" w:cs="Arial" w:eastAsia="Arial" w:hAnsi="Arial"/>
          <w:sz w:val="20"/>
          <w:szCs w:val="20"/>
          <w:color w:val="00C1DE"/>
        </w:rPr>
      </w:pPr>
    </w:p>
    <w:p>
      <w:pPr>
        <w:jc w:val="both"/>
        <w:ind w:left="600" w:right="60" w:hanging="268"/>
        <w:spacing w:after="0" w:line="241" w:lineRule="auto"/>
        <w:tabs>
          <w:tab w:leader="none" w:pos="600" w:val="left"/>
        </w:tabs>
        <w:numPr>
          <w:ilvl w:val="0"/>
          <w:numId w:val="6"/>
        </w:numPr>
        <w:rPr>
          <w:rFonts w:ascii="Arial" w:cs="Arial" w:eastAsia="Arial" w:hAnsi="Arial"/>
          <w:sz w:val="20"/>
          <w:szCs w:val="20"/>
          <w:color w:val="00C1DE"/>
        </w:rPr>
      </w:pPr>
      <w:r>
        <w:rPr>
          <w:rFonts w:ascii="Arial" w:cs="Arial" w:eastAsia="Arial" w:hAnsi="Arial"/>
          <w:sz w:val="20"/>
          <w:szCs w:val="20"/>
          <w:i w:val="1"/>
          <w:iCs w:val="1"/>
          <w:color w:val="3E3935"/>
        </w:rPr>
        <w:t>Approve an amendment to the Company’s 2020 Long-Term Incentive Plan to increase the number of shares available for issuance thereunder;</w:t>
      </w:r>
    </w:p>
    <w:p>
      <w:pPr>
        <w:spacing w:after="0" w:line="76" w:lineRule="exact"/>
        <w:rPr>
          <w:rFonts w:ascii="Arial" w:cs="Arial" w:eastAsia="Arial" w:hAnsi="Arial"/>
          <w:sz w:val="20"/>
          <w:szCs w:val="20"/>
          <w:color w:val="00C1DE"/>
        </w:rPr>
      </w:pPr>
    </w:p>
    <w:p>
      <w:pPr>
        <w:ind w:left="600" w:right="60" w:hanging="268"/>
        <w:spacing w:after="0" w:line="257" w:lineRule="auto"/>
        <w:tabs>
          <w:tab w:leader="none" w:pos="600" w:val="left"/>
        </w:tabs>
        <w:numPr>
          <w:ilvl w:val="0"/>
          <w:numId w:val="6"/>
        </w:numPr>
        <w:rPr>
          <w:rFonts w:ascii="Arial" w:cs="Arial" w:eastAsia="Arial" w:hAnsi="Arial"/>
          <w:sz w:val="20"/>
          <w:szCs w:val="20"/>
          <w:color w:val="00C1DE"/>
        </w:rPr>
      </w:pPr>
      <w:r>
        <w:rPr>
          <w:rFonts w:ascii="Arial" w:cs="Arial" w:eastAsia="Arial" w:hAnsi="Arial"/>
          <w:sz w:val="20"/>
          <w:szCs w:val="20"/>
          <w:i w:val="1"/>
          <w:iCs w:val="1"/>
          <w:color w:val="3E3935"/>
        </w:rPr>
        <w:t>Vote on Rule 14a-8 shareholder proposals, if properly presented at the meeting; and</w:t>
      </w:r>
    </w:p>
    <w:p>
      <w:pPr>
        <w:spacing w:after="0" w:line="60" w:lineRule="exact"/>
        <w:rPr>
          <w:rFonts w:ascii="Arial" w:cs="Arial" w:eastAsia="Arial" w:hAnsi="Arial"/>
          <w:sz w:val="20"/>
          <w:szCs w:val="20"/>
          <w:color w:val="00C1DE"/>
        </w:rPr>
      </w:pPr>
    </w:p>
    <w:p>
      <w:pPr>
        <w:ind w:left="600" w:right="60" w:hanging="268"/>
        <w:spacing w:after="0" w:line="257" w:lineRule="auto"/>
        <w:tabs>
          <w:tab w:leader="none" w:pos="600" w:val="left"/>
        </w:tabs>
        <w:numPr>
          <w:ilvl w:val="0"/>
          <w:numId w:val="6"/>
        </w:numPr>
        <w:rPr>
          <w:rFonts w:ascii="Arial" w:cs="Arial" w:eastAsia="Arial" w:hAnsi="Arial"/>
          <w:sz w:val="20"/>
          <w:szCs w:val="20"/>
          <w:color w:val="00C1DE"/>
        </w:rPr>
      </w:pPr>
      <w:r>
        <w:rPr>
          <w:rFonts w:ascii="Arial" w:cs="Arial" w:eastAsia="Arial" w:hAnsi="Arial"/>
          <w:sz w:val="20"/>
          <w:szCs w:val="20"/>
          <w:i w:val="1"/>
          <w:iCs w:val="1"/>
          <w:color w:val="3E3935"/>
        </w:rPr>
        <w:t>Transact any other business that is properly presented at the meeting.</w:t>
      </w:r>
    </w:p>
    <w:p>
      <w:pPr>
        <w:spacing w:after="0" w:line="47" w:lineRule="exact"/>
        <w:rPr>
          <w:sz w:val="20"/>
          <w:szCs w:val="20"/>
          <w:color w:val="auto"/>
        </w:rPr>
      </w:pPr>
    </w:p>
    <w:p>
      <w:pPr>
        <w:jc w:val="both"/>
        <w:ind w:left="120" w:right="40"/>
        <w:spacing w:after="0" w:line="234" w:lineRule="auto"/>
        <w:rPr>
          <w:sz w:val="20"/>
          <w:szCs w:val="20"/>
          <w:color w:val="auto"/>
        </w:rPr>
      </w:pPr>
      <w:r>
        <w:rPr>
          <w:rFonts w:ascii="Arial" w:cs="Arial" w:eastAsia="Arial" w:hAnsi="Arial"/>
          <w:sz w:val="20"/>
          <w:szCs w:val="20"/>
          <w:color w:val="3E3935"/>
        </w:rPr>
        <w:t xml:space="preserve">A list of the Company’s registered shareholders will be available for examination for any purpose that is germane to the meeting for ten business days before the Annual Meeting. Shareholders may request to review the list by emailing the Company at </w:t>
      </w:r>
      <w:r>
        <w:rPr>
          <w:rFonts w:ascii="Arial" w:cs="Arial" w:eastAsia="Arial" w:hAnsi="Arial"/>
          <w:sz w:val="20"/>
          <w:szCs w:val="20"/>
          <w:i w:val="1"/>
          <w:iCs w:val="1"/>
          <w:color w:val="00C1DE"/>
        </w:rPr>
        <w:t>shareholder.relations@gm.com</w:t>
      </w:r>
      <w:r>
        <w:rPr>
          <w:rFonts w:ascii="Arial" w:cs="Arial" w:eastAsia="Arial" w:hAnsi="Arial"/>
          <w:sz w:val="20"/>
          <w:szCs w:val="20"/>
          <w:color w:val="3E3935"/>
        </w:rPr>
        <w:t>.</w:t>
      </w:r>
    </w:p>
    <w:p>
      <w:pPr>
        <w:spacing w:after="0" w:line="107" w:lineRule="exact"/>
        <w:rPr>
          <w:sz w:val="20"/>
          <w:szCs w:val="20"/>
          <w:color w:val="auto"/>
        </w:rPr>
      </w:pPr>
    </w:p>
    <w:p>
      <w:pPr>
        <w:jc w:val="both"/>
        <w:ind w:left="120" w:right="40"/>
        <w:spacing w:after="0" w:line="234" w:lineRule="auto"/>
        <w:rPr>
          <w:sz w:val="20"/>
          <w:szCs w:val="20"/>
          <w:color w:val="auto"/>
        </w:rPr>
      </w:pPr>
      <w:r>
        <w:rPr>
          <w:rFonts w:ascii="Arial" w:cs="Arial" w:eastAsia="Arial" w:hAnsi="Arial"/>
          <w:sz w:val="20"/>
          <w:szCs w:val="20"/>
          <w:color w:val="3E3935"/>
        </w:rPr>
        <w:t>This Proxy Statement is provided in conjunction with GM’s solicitation of proxies to be used at the Annual Meeting. For additional information about how to attend our Annual Meeting, see “General Information About the Annual Meeting” starting on page 105.</w:t>
      </w:r>
    </w:p>
    <w:p>
      <w:pPr>
        <w:spacing w:after="0" w:line="94" w:lineRule="exact"/>
        <w:rPr>
          <w:sz w:val="20"/>
          <w:szCs w:val="20"/>
          <w:color w:val="auto"/>
        </w:rPr>
      </w:pPr>
    </w:p>
    <w:p>
      <w:pPr>
        <w:jc w:val="both"/>
        <w:ind w:left="120" w:right="40"/>
        <w:spacing w:after="0" w:line="257" w:lineRule="auto"/>
        <w:rPr>
          <w:sz w:val="20"/>
          <w:szCs w:val="20"/>
          <w:color w:val="auto"/>
        </w:rPr>
      </w:pPr>
      <w:r>
        <w:rPr>
          <w:rFonts w:ascii="Arial" w:cs="Arial" w:eastAsia="Arial" w:hAnsi="Arial"/>
          <w:sz w:val="20"/>
          <w:szCs w:val="20"/>
          <w:color w:val="3E3935"/>
        </w:rPr>
        <w:t>Thank you for your continued investment in General Motors Company.</w:t>
      </w:r>
    </w:p>
    <w:p>
      <w:pPr>
        <w:spacing w:after="0" w:line="88" w:lineRule="exact"/>
        <w:rPr>
          <w:sz w:val="20"/>
          <w:szCs w:val="20"/>
          <w:color w:val="auto"/>
        </w:rPr>
      </w:pPr>
    </w:p>
    <w:p>
      <w:pPr>
        <w:ind w:left="120"/>
        <w:spacing w:after="0"/>
        <w:rPr>
          <w:sz w:val="20"/>
          <w:szCs w:val="20"/>
          <w:color w:val="auto"/>
        </w:rPr>
      </w:pPr>
      <w:r>
        <w:rPr>
          <w:rFonts w:ascii="Arial" w:cs="Arial" w:eastAsia="Arial" w:hAnsi="Arial"/>
          <w:sz w:val="20"/>
          <w:szCs w:val="20"/>
          <w:color w:val="3E3935"/>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116205</wp:posOffset>
            </wp:positionH>
            <wp:positionV relativeFrom="paragraph">
              <wp:posOffset>159385</wp:posOffset>
            </wp:positionV>
            <wp:extent cx="1019810" cy="3003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019810" cy="300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980"/>
        <w:spacing w:after="0"/>
        <w:rPr>
          <w:sz w:val="20"/>
          <w:szCs w:val="20"/>
          <w:color w:val="auto"/>
        </w:rPr>
      </w:pPr>
      <w:r>
        <w:rPr>
          <w:rFonts w:ascii="Arial" w:cs="Arial" w:eastAsia="Arial" w:hAnsi="Arial"/>
          <w:sz w:val="20"/>
          <w:szCs w:val="20"/>
          <w:b w:val="1"/>
          <w:bCs w:val="1"/>
          <w:color w:val="3E3935"/>
        </w:rPr>
        <w:t>Craig B. Glidden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-130175</wp:posOffset>
            </wp:positionV>
            <wp:extent cx="368300" cy="40322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68300" cy="403225"/>
                    </a:xfrm>
                    <a:prstGeom prst="rect">
                      <a:avLst/>
                    </a:prstGeom>
                    <a:noFill/>
                  </pic:spPr>
                </pic:pic>
              </a:graphicData>
            </a:graphic>
          </wp:anchor>
        </w:drawing>
      </w:r>
    </w:p>
    <w:p>
      <w:pPr>
        <w:ind w:left="980"/>
        <w:spacing w:after="0" w:line="231" w:lineRule="auto"/>
        <w:rPr>
          <w:sz w:val="20"/>
          <w:szCs w:val="20"/>
          <w:color w:val="auto"/>
        </w:rPr>
      </w:pPr>
      <w:r>
        <w:rPr>
          <w:rFonts w:ascii="Arial" w:cs="Arial" w:eastAsia="Arial" w:hAnsi="Arial"/>
          <w:sz w:val="20"/>
          <w:szCs w:val="20"/>
          <w:color w:val="3E3935"/>
        </w:rPr>
        <w:t>Corporate Secretary</w:t>
      </w:r>
    </w:p>
    <w:p>
      <w:pPr>
        <w:ind w:left="980"/>
        <w:spacing w:after="0" w:line="226" w:lineRule="auto"/>
        <w:rPr>
          <w:sz w:val="20"/>
          <w:szCs w:val="20"/>
          <w:color w:val="auto"/>
        </w:rPr>
      </w:pPr>
      <w:r>
        <w:rPr>
          <w:rFonts w:ascii="Arial" w:cs="Arial" w:eastAsia="Arial" w:hAnsi="Arial"/>
          <w:sz w:val="20"/>
          <w:szCs w:val="20"/>
          <w:color w:val="3E3935"/>
        </w:rPr>
        <w:t>300 Renaissance Center</w:t>
      </w:r>
    </w:p>
    <w:p>
      <w:pPr>
        <w:ind w:left="980"/>
        <w:spacing w:after="0"/>
        <w:rPr>
          <w:sz w:val="20"/>
          <w:szCs w:val="20"/>
          <w:color w:val="auto"/>
        </w:rPr>
      </w:pPr>
      <w:r>
        <w:rPr>
          <w:rFonts w:ascii="Arial" w:cs="Arial" w:eastAsia="Arial" w:hAnsi="Arial"/>
          <w:sz w:val="20"/>
          <w:szCs w:val="20"/>
          <w:color w:val="3E3935"/>
        </w:rPr>
        <w:t>Detroit, Michigan 48265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1380"/>
        <w:spacing w:after="0"/>
        <w:rPr>
          <w:sz w:val="20"/>
          <w:szCs w:val="20"/>
          <w:color w:val="auto"/>
        </w:rPr>
      </w:pPr>
      <w:r>
        <w:rPr>
          <w:rFonts w:ascii="Arial" w:cs="Arial" w:eastAsia="Arial" w:hAnsi="Arial"/>
          <w:sz w:val="22"/>
          <w:szCs w:val="22"/>
          <w:color w:val="00C1DE"/>
        </w:rPr>
        <w:t>Meeting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-245745</wp:posOffset>
            </wp:positionH>
            <wp:positionV relativeFrom="paragraph">
              <wp:posOffset>-725805</wp:posOffset>
            </wp:positionV>
            <wp:extent cx="3394710" cy="746633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94710" cy="74663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20"/>
          <w:szCs w:val="20"/>
          <w:b w:val="1"/>
          <w:bCs w:val="1"/>
          <w:color w:val="3E3935"/>
        </w:rPr>
        <w:t>Date:</w:t>
      </w:r>
      <w:r>
        <w:rPr>
          <w:rFonts w:ascii="Arial" w:cs="Arial" w:eastAsia="Arial" w:hAnsi="Arial"/>
          <w:sz w:val="20"/>
          <w:szCs w:val="20"/>
          <w:color w:val="3E3935"/>
        </w:rPr>
        <w:t xml:space="preserve">    June 20, 2023</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b w:val="1"/>
          <w:bCs w:val="1"/>
          <w:color w:val="3E3935"/>
        </w:rPr>
        <w:t>Time:</w:t>
      </w:r>
      <w:r>
        <w:rPr>
          <w:rFonts w:ascii="Arial" w:cs="Arial" w:eastAsia="Arial" w:hAnsi="Arial"/>
          <w:sz w:val="20"/>
          <w:szCs w:val="20"/>
          <w:color w:val="3E3935"/>
        </w:rPr>
        <w:t xml:space="preserve">   11:30 a.m. Eastern Time</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b w:val="1"/>
          <w:bCs w:val="1"/>
          <w:color w:val="3E3935"/>
        </w:rPr>
        <w:t>Place:</w:t>
      </w:r>
      <w:r>
        <w:rPr>
          <w:rFonts w:ascii="Arial" w:cs="Arial" w:eastAsia="Arial" w:hAnsi="Arial"/>
          <w:sz w:val="20"/>
          <w:szCs w:val="20"/>
          <w:color w:val="3E3935"/>
        </w:rPr>
        <w:t>  Online via live webcast at:</w:t>
      </w:r>
    </w:p>
    <w:p>
      <w:pPr>
        <w:spacing w:after="0" w:line="110" w:lineRule="exact"/>
        <w:rPr>
          <w:sz w:val="20"/>
          <w:szCs w:val="20"/>
          <w:color w:val="auto"/>
        </w:rPr>
      </w:pPr>
    </w:p>
    <w:p>
      <w:pPr>
        <w:ind w:left="560"/>
        <w:spacing w:after="0"/>
        <w:rPr>
          <w:sz w:val="20"/>
          <w:szCs w:val="20"/>
          <w:color w:val="auto"/>
        </w:rPr>
      </w:pPr>
      <w:r>
        <w:rPr>
          <w:rFonts w:ascii="Arial" w:cs="Arial" w:eastAsia="Arial" w:hAnsi="Arial"/>
          <w:sz w:val="20"/>
          <w:szCs w:val="20"/>
          <w:i w:val="1"/>
          <w:iCs w:val="1"/>
          <w:color w:val="00C1DE"/>
        </w:rPr>
        <w:t>virtualshareholdermeeting.com/GM2023</w:t>
      </w:r>
    </w:p>
    <w:p>
      <w:pPr>
        <w:spacing w:after="0" w:line="106" w:lineRule="exact"/>
        <w:rPr>
          <w:sz w:val="20"/>
          <w:szCs w:val="20"/>
          <w:color w:val="auto"/>
        </w:rPr>
      </w:pPr>
    </w:p>
    <w:p>
      <w:pPr>
        <w:spacing w:after="0"/>
        <w:rPr>
          <w:sz w:val="20"/>
          <w:szCs w:val="20"/>
          <w:color w:val="auto"/>
        </w:rPr>
      </w:pPr>
      <w:r>
        <w:rPr>
          <w:rFonts w:ascii="Arial" w:cs="Arial" w:eastAsia="Arial" w:hAnsi="Arial"/>
          <w:sz w:val="20"/>
          <w:szCs w:val="20"/>
          <w:b w:val="1"/>
          <w:bCs w:val="1"/>
          <w:color w:val="3E3935"/>
        </w:rPr>
        <w:t>Record Date:</w:t>
      </w:r>
      <w:r>
        <w:rPr>
          <w:rFonts w:ascii="Arial" w:cs="Arial" w:eastAsia="Arial" w:hAnsi="Arial"/>
          <w:sz w:val="20"/>
          <w:szCs w:val="20"/>
          <w:color w:val="3E3935"/>
        </w:rPr>
        <w:t> April 21,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1180"/>
        <w:spacing w:after="0"/>
        <w:rPr>
          <w:sz w:val="20"/>
          <w:szCs w:val="20"/>
          <w:color w:val="auto"/>
        </w:rPr>
      </w:pPr>
      <w:r>
        <w:rPr>
          <w:rFonts w:ascii="Arial" w:cs="Arial" w:eastAsia="Arial" w:hAnsi="Arial"/>
          <w:sz w:val="22"/>
          <w:szCs w:val="22"/>
          <w:b w:val="1"/>
          <w:bCs w:val="1"/>
          <w:color w:val="00C1DE"/>
        </w:rPr>
        <w:t>Your Vote Is Important</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both"/>
        <w:spacing w:after="0" w:line="234" w:lineRule="auto"/>
        <w:rPr>
          <w:sz w:val="20"/>
          <w:szCs w:val="20"/>
          <w:color w:val="auto"/>
        </w:rPr>
      </w:pPr>
      <w:r>
        <w:rPr>
          <w:rFonts w:ascii="Arial" w:cs="Arial" w:eastAsia="Arial" w:hAnsi="Arial"/>
          <w:sz w:val="20"/>
          <w:szCs w:val="20"/>
          <w:color w:val="3E3935"/>
        </w:rPr>
        <w:t>Please promptly submit your vote by internet or telephone, or by signing, dating, and returning the enclosed proxy card or voting instruction form in the postage-paid envelope provided so that your shares will be represented and voted at the meeting.</w:t>
      </w:r>
    </w:p>
    <w:p>
      <w:pPr>
        <w:spacing w:after="0" w:line="80" w:lineRule="exact"/>
        <w:rPr>
          <w:sz w:val="20"/>
          <w:szCs w:val="20"/>
          <w:color w:val="auto"/>
        </w:rPr>
      </w:pPr>
    </w:p>
    <w:p>
      <w:pPr>
        <w:jc w:val="both"/>
        <w:ind w:right="20"/>
        <w:spacing w:after="0" w:line="257" w:lineRule="auto"/>
        <w:rPr>
          <w:sz w:val="20"/>
          <w:szCs w:val="20"/>
          <w:color w:val="auto"/>
        </w:rPr>
      </w:pPr>
      <w:r>
        <w:rPr>
          <w:rFonts w:ascii="Arial" w:cs="Arial" w:eastAsia="Arial" w:hAnsi="Arial"/>
          <w:sz w:val="20"/>
          <w:szCs w:val="20"/>
          <w:color w:val="3E3935"/>
        </w:rPr>
        <w:t>We are first mailing these proxy materials to our shareholders on or about April 28, 2023.</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22"/>
          <w:szCs w:val="22"/>
          <w:color w:val="00C1DE"/>
        </w:rPr>
        <w:t>How to Access the Proxy Materials Online</w:t>
      </w:r>
    </w:p>
    <w:p>
      <w:pPr>
        <w:spacing w:after="0" w:line="155" w:lineRule="exact"/>
        <w:rPr>
          <w:sz w:val="20"/>
          <w:szCs w:val="20"/>
          <w:color w:val="auto"/>
        </w:rPr>
      </w:pPr>
    </w:p>
    <w:p>
      <w:pPr>
        <w:jc w:val="both"/>
        <w:ind w:left="80" w:right="100"/>
        <w:spacing w:after="0" w:line="247" w:lineRule="auto"/>
        <w:rPr>
          <w:sz w:val="20"/>
          <w:szCs w:val="20"/>
          <w:color w:val="auto"/>
        </w:rPr>
      </w:pPr>
      <w:r>
        <w:rPr>
          <w:rFonts w:ascii="Arial" w:cs="Arial" w:eastAsia="Arial" w:hAnsi="Arial"/>
          <w:sz w:val="20"/>
          <w:szCs w:val="20"/>
          <w:b w:val="1"/>
          <w:bCs w:val="1"/>
          <w:color w:val="3E3935"/>
        </w:rPr>
        <w:t>Important Notice Regarding the Availability of Proxy Materials for the 2023 Annual Meeting of Shareholders to be Held on June 20, 2023:</w:t>
      </w:r>
    </w:p>
    <w:p>
      <w:pPr>
        <w:spacing w:after="0" w:line="102" w:lineRule="exact"/>
        <w:rPr>
          <w:sz w:val="20"/>
          <w:szCs w:val="20"/>
          <w:color w:val="auto"/>
        </w:rPr>
      </w:pPr>
    </w:p>
    <w:p>
      <w:pPr>
        <w:jc w:val="both"/>
        <w:ind w:left="80" w:right="100"/>
        <w:spacing w:after="0" w:line="234" w:lineRule="auto"/>
        <w:rPr>
          <w:sz w:val="20"/>
          <w:szCs w:val="20"/>
          <w:color w:val="auto"/>
        </w:rPr>
      </w:pPr>
      <w:r>
        <w:rPr>
          <w:rFonts w:ascii="Arial" w:cs="Arial" w:eastAsia="Arial" w:hAnsi="Arial"/>
          <w:sz w:val="20"/>
          <w:szCs w:val="20"/>
          <w:color w:val="3E3935"/>
        </w:rPr>
        <w:t xml:space="preserve">Our Proxy Statement and 2022 Annual Report are available at </w:t>
      </w:r>
      <w:r>
        <w:rPr>
          <w:rFonts w:ascii="Arial" w:cs="Arial" w:eastAsia="Arial" w:hAnsi="Arial"/>
          <w:sz w:val="20"/>
          <w:szCs w:val="20"/>
          <w:i w:val="1"/>
          <w:iCs w:val="1"/>
          <w:color w:val="00C1DE"/>
        </w:rPr>
        <w:t>investor.gm.com/shareholder</w:t>
      </w:r>
      <w:r>
        <w:rPr>
          <w:rFonts w:ascii="Arial" w:cs="Arial" w:eastAsia="Arial" w:hAnsi="Arial"/>
          <w:sz w:val="20"/>
          <w:szCs w:val="20"/>
          <w:color w:val="3E3935"/>
        </w:rPr>
        <w:t>. You may also scan the QR code below with your smartphone or other mobile device to view our Proxy Statement and Annual Report.</w:t>
      </w:r>
    </w:p>
    <w:p>
      <w:pPr>
        <w:spacing w:after="0" w:line="406" w:lineRule="exact"/>
        <w:rPr>
          <w:sz w:val="20"/>
          <w:szCs w:val="20"/>
          <w:color w:val="auto"/>
        </w:rPr>
      </w:pPr>
    </w:p>
    <w:p>
      <w:pPr>
        <w:sectPr>
          <w:pgSz w:w="11900" w:h="16838" w:orient="portrait"/>
          <w:cols w:equalWidth="0" w:num="2">
            <w:col w:w="5440" w:space="720"/>
            <w:col w:w="4660"/>
          </w:cols>
          <w:pgMar w:left="320" w:top="482" w:right="7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10780"/>
        <w:spacing w:after="0"/>
        <w:rPr>
          <w:sz w:val="20"/>
          <w:szCs w:val="20"/>
          <w:color w:val="auto"/>
        </w:rPr>
      </w:pPr>
      <w:r>
        <w:rPr>
          <w:rFonts w:ascii="Arial" w:cs="Arial" w:eastAsia="Arial" w:hAnsi="Arial"/>
          <w:sz w:val="14"/>
          <w:szCs w:val="14"/>
          <w:color w:val="0071CE"/>
        </w:rPr>
        <w:t>i</w:t>
      </w:r>
    </w:p>
    <w:p>
      <w:pPr>
        <w:sectPr>
          <w:pgSz w:w="11900" w:h="16838" w:orient="portrait"/>
          <w:cols w:equalWidth="0" w:num="1">
            <w:col w:w="10820"/>
          </w:cols>
          <w:pgMar w:left="320" w:top="482" w:right="759" w:bottom="1440" w:gutter="0" w:footer="0" w:header="0"/>
          <w:type w:val="continuous"/>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6665595</wp:posOffset>
            </wp:positionH>
            <wp:positionV relativeFrom="paragraph">
              <wp:posOffset>336550</wp:posOffset>
            </wp:positionV>
            <wp:extent cx="403225" cy="40322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403225" cy="4032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00C1DE"/>
        </w:rPr>
        <w:t>TO OUR FELLOW SHAREHOLDERS:</w:t>
      </w:r>
    </w:p>
    <w:p>
      <w:pPr>
        <w:spacing w:after="0" w:line="216"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0071CE"/>
        </w:rPr>
        <w:t>Building on Record Performance in 2022 by Ramping EV Production in 2023 and Beyond</w:t>
      </w:r>
    </w:p>
    <w:p>
      <w:pPr>
        <w:spacing w:after="0" w:line="96" w:lineRule="exact"/>
        <w:rPr>
          <w:sz w:val="20"/>
          <w:szCs w:val="20"/>
          <w:color w:val="auto"/>
        </w:rPr>
      </w:pPr>
    </w:p>
    <w:p>
      <w:pPr>
        <w:jc w:val="both"/>
        <w:ind w:left="120"/>
        <w:spacing w:after="0" w:line="234" w:lineRule="auto"/>
        <w:rPr>
          <w:sz w:val="20"/>
          <w:szCs w:val="20"/>
          <w:color w:val="auto"/>
        </w:rPr>
      </w:pPr>
      <w:r>
        <w:rPr>
          <w:rFonts w:ascii="Arial" w:cs="Arial" w:eastAsia="Arial" w:hAnsi="Arial"/>
          <w:sz w:val="20"/>
          <w:szCs w:val="20"/>
          <w:color w:val="3E3935"/>
        </w:rPr>
        <w:t>Last year was a year of leadership for GM: we were the best-selling automaker in the U.S., with the best initial quality and the highest customer loyalty. We also led the industry in key segments, gained the most U.S. market share, and were the fastest-growing of any high-volume manufacturer in total U.S. fleet sales. Despite a difficult industry environment, we delivered record financial performance. Our U.S. hourly employees shared in our success, earning record profit sharing of $500 million, bringing the three-year total payout to $1.2 billion.</w:t>
      </w:r>
    </w:p>
    <w:p>
      <w:pPr>
        <w:spacing w:after="0" w:line="175" w:lineRule="exact"/>
        <w:rPr>
          <w:sz w:val="20"/>
          <w:szCs w:val="20"/>
          <w:color w:val="auto"/>
        </w:rPr>
      </w:pPr>
    </w:p>
    <w:p>
      <w:pPr>
        <w:jc w:val="both"/>
        <w:ind w:left="120"/>
        <w:spacing w:after="0" w:line="234" w:lineRule="auto"/>
        <w:rPr>
          <w:sz w:val="20"/>
          <w:szCs w:val="20"/>
          <w:color w:val="auto"/>
        </w:rPr>
      </w:pPr>
      <w:r>
        <w:rPr>
          <w:rFonts w:ascii="Arial" w:cs="Arial" w:eastAsia="Arial" w:hAnsi="Arial"/>
          <w:sz w:val="20"/>
          <w:szCs w:val="20"/>
          <w:color w:val="3E3935"/>
        </w:rPr>
        <w:t>Looking ahead, we expect 2023 will be another strong year for GM, and a breakout year for our Ultium Platform. We are executing a product strategy across our ICE and EV portfolios designed to support strong pricing and grow our market share, especially with all-electric vehicles like the Cadillac LYRIQ and the Chevrolet Silverado EV, Blazer EV, and affordable Equinox EV. We are also accelerating businesses and technologies that will further drive revenue generation and profit growth, like BrightDrop and Cruise.</w:t>
      </w:r>
    </w:p>
    <w:p>
      <w:pPr>
        <w:spacing w:after="0" w:line="173"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0071CE"/>
        </w:rPr>
        <w:t>Board Evolution with Purpose and Impact</w:t>
      </w:r>
    </w:p>
    <w:p>
      <w:pPr>
        <w:spacing w:after="0" w:line="96" w:lineRule="exact"/>
        <w:rPr>
          <w:sz w:val="20"/>
          <w:szCs w:val="20"/>
          <w:color w:val="auto"/>
        </w:rPr>
      </w:pPr>
    </w:p>
    <w:p>
      <w:pPr>
        <w:jc w:val="both"/>
        <w:ind w:left="120"/>
        <w:spacing w:after="0" w:line="232" w:lineRule="auto"/>
        <w:rPr>
          <w:sz w:val="20"/>
          <w:szCs w:val="20"/>
          <w:color w:val="auto"/>
        </w:rPr>
      </w:pPr>
      <w:r>
        <w:rPr>
          <w:rFonts w:ascii="Arial" w:cs="Arial" w:eastAsia="Arial" w:hAnsi="Arial"/>
          <w:sz w:val="20"/>
          <w:szCs w:val="20"/>
          <w:color w:val="3E3935"/>
        </w:rPr>
        <w:t>Delivering strong financial results during this period of high investment demonstrates the importance of recruiting strong directors to make sure our Board evolves with our business and remains a competitive advantage. We are executing our strategic Board refreshment and succession plan, which has bolstered the Board’s expertise with new, diverse directors that have deep industry knowledge in software, marketing, and cybersecurity. As we continue our work to refresh the Board, we would like to recognize Carol Stephenson, who is retiring from the Board and not standing for re-election at the Annual Meeting. The Board extends its sincere appreciation for Carol’s exemplary service since 2009 — particularly her insights that have helped enhance our compensation programs by strengthening the link between pay and performance.</w:t>
      </w:r>
    </w:p>
    <w:p>
      <w:pPr>
        <w:spacing w:after="0" w:line="172" w:lineRule="exact"/>
        <w:rPr>
          <w:sz w:val="20"/>
          <w:szCs w:val="20"/>
          <w:color w:val="auto"/>
        </w:rPr>
      </w:pPr>
    </w:p>
    <w:p>
      <w:pPr>
        <w:jc w:val="both"/>
        <w:ind w:left="120" w:right="20"/>
        <w:spacing w:after="0" w:line="237" w:lineRule="auto"/>
        <w:rPr>
          <w:sz w:val="20"/>
          <w:szCs w:val="20"/>
          <w:color w:val="auto"/>
        </w:rPr>
      </w:pPr>
      <w:r>
        <w:rPr>
          <w:rFonts w:ascii="Arial" w:cs="Arial" w:eastAsia="Arial" w:hAnsi="Arial"/>
          <w:sz w:val="20"/>
          <w:szCs w:val="20"/>
          <w:color w:val="3E3935"/>
        </w:rPr>
        <w:t>On the ballot for the first time as director nominees this year are Joanne Crevoiserat, Jon McNeill, and Jan Tighe. Combined with our other director nominees, we believe these additions help create a Board with the right balance of skills, qualifications, and experience to create unprecedented opportunities for GM, drive long-term shareholder value, and execute our vision of a world with zero crashes, zero emissions, and zero congestion.</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0071CE"/>
        </w:rPr>
        <w:t>Annual Meeting Preview</w:t>
      </w:r>
    </w:p>
    <w:p>
      <w:pPr>
        <w:spacing w:after="0" w:line="96" w:lineRule="exact"/>
        <w:rPr>
          <w:sz w:val="20"/>
          <w:szCs w:val="20"/>
          <w:color w:val="auto"/>
        </w:rPr>
      </w:pPr>
    </w:p>
    <w:p>
      <w:pPr>
        <w:jc w:val="both"/>
        <w:ind w:left="120" w:right="20"/>
        <w:spacing w:after="0" w:line="237" w:lineRule="auto"/>
        <w:rPr>
          <w:sz w:val="20"/>
          <w:szCs w:val="20"/>
          <w:color w:val="auto"/>
        </w:rPr>
      </w:pPr>
      <w:r>
        <w:rPr>
          <w:rFonts w:ascii="Arial" w:cs="Arial" w:eastAsia="Arial" w:hAnsi="Arial"/>
          <w:sz w:val="20"/>
          <w:szCs w:val="20"/>
          <w:color w:val="3E3935"/>
        </w:rPr>
        <w:t>At the Annual Meeting, we will provide an update on the Company’s transformation and performance, vote on several items related to our business, and shareholders will have the opportunity to ask questions. We encourage you to review this Proxy Statement to learn more about the Board, our governance practices, compensation programs and philosophy, and other important developments and priorities at GM.</w:t>
      </w:r>
    </w:p>
    <w:p>
      <w:pPr>
        <w:spacing w:after="0" w:line="172" w:lineRule="exact"/>
        <w:rPr>
          <w:sz w:val="20"/>
          <w:szCs w:val="20"/>
          <w:color w:val="auto"/>
        </w:rPr>
      </w:pPr>
    </w:p>
    <w:p>
      <w:pPr>
        <w:ind w:left="120"/>
        <w:spacing w:after="0"/>
        <w:rPr>
          <w:sz w:val="20"/>
          <w:szCs w:val="20"/>
          <w:color w:val="auto"/>
        </w:rPr>
      </w:pPr>
      <w:r>
        <w:rPr>
          <w:rFonts w:ascii="Arial" w:cs="Arial" w:eastAsia="Arial" w:hAnsi="Arial"/>
          <w:sz w:val="20"/>
          <w:szCs w:val="20"/>
          <w:color w:val="3E3935"/>
        </w:rPr>
        <w:t>Let us close by thanking you for your continued investment in GM.</w:t>
      </w:r>
    </w:p>
    <w:p>
      <w:pPr>
        <w:spacing w:after="0" w:line="202" w:lineRule="exact"/>
        <w:rPr>
          <w:sz w:val="20"/>
          <w:szCs w:val="20"/>
          <w:color w:val="auto"/>
        </w:rPr>
      </w:pPr>
    </w:p>
    <w:p>
      <w:pPr>
        <w:ind w:left="120"/>
        <w:spacing w:after="0"/>
        <w:rPr>
          <w:sz w:val="20"/>
          <w:szCs w:val="20"/>
          <w:color w:val="auto"/>
        </w:rPr>
      </w:pPr>
      <w:r>
        <w:rPr>
          <w:rFonts w:ascii="Arial" w:cs="Arial" w:eastAsia="Arial" w:hAnsi="Arial"/>
          <w:sz w:val="20"/>
          <w:szCs w:val="20"/>
          <w:color w:val="3E3935"/>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296545</wp:posOffset>
            </wp:positionV>
            <wp:extent cx="2459990" cy="8147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459990" cy="81470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159385</wp:posOffset>
            </wp:positionV>
            <wp:extent cx="2357120" cy="95123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357120" cy="951230"/>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1340"/>
        <w:spacing w:after="0"/>
        <w:rPr>
          <w:sz w:val="20"/>
          <w:szCs w:val="20"/>
          <w:color w:val="auto"/>
        </w:rPr>
      </w:pPr>
      <w:r>
        <w:rPr>
          <w:rFonts w:ascii="Arial" w:cs="Arial" w:eastAsia="Arial" w:hAnsi="Arial"/>
          <w:sz w:val="20"/>
          <w:szCs w:val="20"/>
          <w:b w:val="1"/>
          <w:bCs w:val="1"/>
          <w:color w:val="3E3935"/>
        </w:rPr>
        <w:t>Mary T. Barra</w:t>
      </w:r>
    </w:p>
    <w:p>
      <w:pPr>
        <w:spacing w:after="0" w:line="6" w:lineRule="exact"/>
        <w:rPr>
          <w:sz w:val="20"/>
          <w:szCs w:val="20"/>
          <w:color w:val="auto"/>
        </w:rPr>
      </w:pPr>
    </w:p>
    <w:p>
      <w:pPr>
        <w:ind w:left="1340"/>
        <w:spacing w:after="0"/>
        <w:rPr>
          <w:sz w:val="20"/>
          <w:szCs w:val="20"/>
          <w:color w:val="auto"/>
        </w:rPr>
      </w:pPr>
      <w:r>
        <w:rPr>
          <w:rFonts w:ascii="Arial" w:cs="Arial" w:eastAsia="Arial" w:hAnsi="Arial"/>
          <w:sz w:val="19"/>
          <w:szCs w:val="19"/>
          <w:color w:val="3E3935"/>
        </w:rPr>
        <w:t>Chair and Chief Executive Officer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right="1840"/>
        <w:spacing w:after="0" w:line="286" w:lineRule="auto"/>
        <w:rPr>
          <w:sz w:val="20"/>
          <w:szCs w:val="20"/>
          <w:color w:val="auto"/>
        </w:rPr>
      </w:pPr>
      <w:r>
        <w:rPr>
          <w:rFonts w:ascii="Arial" w:cs="Arial" w:eastAsia="Arial" w:hAnsi="Arial"/>
          <w:sz w:val="19"/>
          <w:szCs w:val="19"/>
          <w:b w:val="1"/>
          <w:bCs w:val="1"/>
          <w:color w:val="3E3935"/>
        </w:rPr>
        <w:t xml:space="preserve">Patricia F. Russo </w:t>
      </w:r>
      <w:r>
        <w:rPr>
          <w:rFonts w:ascii="Arial" w:cs="Arial" w:eastAsia="Arial" w:hAnsi="Arial"/>
          <w:sz w:val="19"/>
          <w:szCs w:val="19"/>
          <w:color w:val="3E3935"/>
        </w:rPr>
        <w:t>Independent Lead Director</w:t>
      </w:r>
    </w:p>
    <w:p>
      <w:pPr>
        <w:spacing w:after="0" w:line="74" w:lineRule="exact"/>
        <w:rPr>
          <w:sz w:val="20"/>
          <w:szCs w:val="20"/>
          <w:color w:val="auto"/>
        </w:rPr>
      </w:pPr>
    </w:p>
    <w:p>
      <w:pPr>
        <w:sectPr>
          <w:pgSz w:w="11900" w:h="16838" w:orient="portrait"/>
          <w:cols w:equalWidth="0" w:num="2">
            <w:col w:w="6220" w:space="720"/>
            <w:col w:w="4200"/>
          </w:cols>
          <w:pgMar w:left="320" w:top="482" w:right="439" w:bottom="1440" w:gutter="0" w:footer="0" w:header="0"/>
          <w:type w:val="continuous"/>
        </w:sectPr>
      </w:pPr>
    </w:p>
    <w:p>
      <w:pPr>
        <w:ind w:left="120"/>
        <w:spacing w:after="0"/>
        <w:rPr>
          <w:sz w:val="20"/>
          <w:szCs w:val="20"/>
          <w:color w:val="auto"/>
        </w:rPr>
      </w:pPr>
      <w:r>
        <w:rPr>
          <w:rFonts w:ascii="Arial" w:cs="Arial" w:eastAsia="Arial" w:hAnsi="Arial"/>
          <w:sz w:val="13"/>
          <w:szCs w:val="13"/>
          <w:color w:val="0071CE"/>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-88265</wp:posOffset>
            </wp:positionV>
            <wp:extent cx="5983605" cy="10287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983605" cy="102870"/>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type w:val="continuous"/>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98" w:lineRule="exact"/>
        <w:rPr>
          <w:sz w:val="20"/>
          <w:szCs w:val="20"/>
          <w:color w:val="auto"/>
        </w:rPr>
      </w:pPr>
    </w:p>
    <w:p>
      <w:pPr>
        <w:ind w:left="120"/>
        <w:spacing w:after="0"/>
        <w:rPr>
          <w:sz w:val="20"/>
          <w:szCs w:val="20"/>
          <w:color w:val="auto"/>
        </w:rPr>
      </w:pPr>
      <w:r>
        <w:rPr>
          <w:rFonts w:ascii="Arial" w:cs="Arial" w:eastAsia="Arial" w:hAnsi="Arial"/>
          <w:sz w:val="32"/>
          <w:szCs w:val="32"/>
          <w:b w:val="1"/>
          <w:bCs w:val="1"/>
          <w:color w:val="0071CE"/>
        </w:rPr>
        <w:t>TABLE OF CONTENTS</w:t>
      </w:r>
    </w:p>
    <w:p>
      <w:pPr>
        <w:spacing w:after="0" w:line="306"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4840" w:type="dxa"/>
            <w:vAlign w:val="bottom"/>
            <w:gridSpan w:val="37"/>
          </w:tcPr>
          <w:p>
            <w:pPr>
              <w:spacing w:after="0"/>
              <w:rPr>
                <w:sz w:val="20"/>
                <w:szCs w:val="20"/>
                <w:color w:val="auto"/>
              </w:rPr>
            </w:pPr>
            <w:r>
              <w:rPr>
                <w:rFonts w:ascii="Arial" w:cs="Arial" w:eastAsia="Arial" w:hAnsi="Arial"/>
                <w:sz w:val="18"/>
                <w:szCs w:val="18"/>
                <w:color w:val="0000EE"/>
              </w:rPr>
              <w:t>PROXY SUMMARY</w:t>
            </w:r>
          </w:p>
        </w:tc>
        <w:tc>
          <w:tcPr>
            <w:tcW w:w="440" w:type="dxa"/>
            <w:vAlign w:val="bottom"/>
          </w:tcPr>
          <w:p>
            <w:pPr>
              <w:jc w:val="right"/>
              <w:spacing w:after="0"/>
              <w:rPr>
                <w:sz w:val="20"/>
                <w:szCs w:val="20"/>
                <w:color w:val="auto"/>
              </w:rPr>
            </w:pPr>
            <w:r>
              <w:rPr>
                <w:rFonts w:ascii="Arial" w:cs="Arial" w:eastAsia="Arial" w:hAnsi="Arial"/>
                <w:sz w:val="18"/>
                <w:szCs w:val="18"/>
                <w:i w:val="1"/>
                <w:iCs w:val="1"/>
                <w:color w:val="00C1DE"/>
              </w:rPr>
              <w:t>1</w:t>
            </w:r>
          </w:p>
        </w:tc>
        <w:tc>
          <w:tcPr>
            <w:tcW w:w="0" w:type="dxa"/>
            <w:vAlign w:val="bottom"/>
          </w:tcPr>
          <w:p>
            <w:pPr>
              <w:spacing w:after="0"/>
              <w:rPr>
                <w:sz w:val="1"/>
                <w:szCs w:val="1"/>
                <w:color w:val="auto"/>
              </w:rPr>
            </w:pPr>
          </w:p>
        </w:tc>
      </w:tr>
      <w:tr>
        <w:trPr>
          <w:trHeight w:val="74"/>
        </w:trPr>
        <w:tc>
          <w:tcPr>
            <w:tcW w:w="180" w:type="dxa"/>
            <w:vAlign w:val="bottom"/>
            <w:tcBorders>
              <w:top w:val="single" w:sz="8" w:color="0000EE"/>
              <w:bottom w:val="single" w:sz="8" w:color="3E3935"/>
            </w:tcBorders>
          </w:tcPr>
          <w:p>
            <w:pPr>
              <w:spacing w:after="0"/>
              <w:rPr>
                <w:sz w:val="6"/>
                <w:szCs w:val="6"/>
                <w:color w:val="auto"/>
              </w:rPr>
            </w:pPr>
          </w:p>
        </w:tc>
        <w:tc>
          <w:tcPr>
            <w:tcW w:w="360" w:type="dxa"/>
            <w:vAlign w:val="bottom"/>
            <w:tcBorders>
              <w:top w:val="single" w:sz="8" w:color="0000EE"/>
              <w:bottom w:val="single" w:sz="8" w:color="3E3935"/>
            </w:tcBorders>
          </w:tcPr>
          <w:p>
            <w:pPr>
              <w:spacing w:after="0"/>
              <w:rPr>
                <w:sz w:val="6"/>
                <w:szCs w:val="6"/>
                <w:color w:val="auto"/>
              </w:rPr>
            </w:pPr>
          </w:p>
        </w:tc>
        <w:tc>
          <w:tcPr>
            <w:tcW w:w="340" w:type="dxa"/>
            <w:vAlign w:val="bottom"/>
            <w:tcBorders>
              <w:top w:val="single" w:sz="8" w:color="0000EE"/>
              <w:bottom w:val="single" w:sz="8" w:color="3E3935"/>
            </w:tcBorders>
          </w:tcPr>
          <w:p>
            <w:pPr>
              <w:spacing w:after="0"/>
              <w:rPr>
                <w:sz w:val="6"/>
                <w:szCs w:val="6"/>
                <w:color w:val="auto"/>
              </w:rPr>
            </w:pPr>
          </w:p>
        </w:tc>
        <w:tc>
          <w:tcPr>
            <w:tcW w:w="160" w:type="dxa"/>
            <w:vAlign w:val="bottom"/>
            <w:tcBorders>
              <w:top w:val="single" w:sz="8" w:color="0000EE"/>
              <w:bottom w:val="single" w:sz="8" w:color="3E3935"/>
            </w:tcBorders>
          </w:tcPr>
          <w:p>
            <w:pPr>
              <w:spacing w:after="0"/>
              <w:rPr>
                <w:sz w:val="6"/>
                <w:szCs w:val="6"/>
                <w:color w:val="auto"/>
              </w:rPr>
            </w:pPr>
          </w:p>
        </w:tc>
        <w:tc>
          <w:tcPr>
            <w:tcW w:w="100" w:type="dxa"/>
            <w:vAlign w:val="bottom"/>
            <w:tcBorders>
              <w:top w:val="single" w:sz="8" w:color="0000EE"/>
              <w:bottom w:val="single" w:sz="8" w:color="3E3935"/>
            </w:tcBorders>
          </w:tcPr>
          <w:p>
            <w:pPr>
              <w:spacing w:after="0"/>
              <w:rPr>
                <w:sz w:val="6"/>
                <w:szCs w:val="6"/>
                <w:color w:val="auto"/>
              </w:rPr>
            </w:pPr>
          </w:p>
        </w:tc>
        <w:tc>
          <w:tcPr>
            <w:tcW w:w="100" w:type="dxa"/>
            <w:vAlign w:val="bottom"/>
            <w:tcBorders>
              <w:top w:val="single" w:sz="8" w:color="0000EE"/>
              <w:bottom w:val="single" w:sz="8" w:color="3E3935"/>
            </w:tcBorders>
          </w:tcPr>
          <w:p>
            <w:pPr>
              <w:spacing w:after="0"/>
              <w:rPr>
                <w:sz w:val="6"/>
                <w:szCs w:val="6"/>
                <w:color w:val="auto"/>
              </w:rPr>
            </w:pPr>
          </w:p>
        </w:tc>
        <w:tc>
          <w:tcPr>
            <w:tcW w:w="260" w:type="dxa"/>
            <w:vAlign w:val="bottom"/>
            <w:tcBorders>
              <w:top w:val="single" w:sz="8" w:color="0000EE"/>
              <w:bottom w:val="single" w:sz="8" w:color="3E3935"/>
            </w:tcBorders>
          </w:tcPr>
          <w:p>
            <w:pPr>
              <w:spacing w:after="0"/>
              <w:rPr>
                <w:sz w:val="6"/>
                <w:szCs w:val="6"/>
                <w:color w:val="auto"/>
              </w:rPr>
            </w:pPr>
          </w:p>
        </w:tc>
        <w:tc>
          <w:tcPr>
            <w:tcW w:w="100" w:type="dxa"/>
            <w:vAlign w:val="bottom"/>
            <w:tcBorders>
              <w:top w:val="single" w:sz="8" w:color="0000EE"/>
              <w:bottom w:val="single" w:sz="8" w:color="3E3935"/>
            </w:tcBorders>
          </w:tcPr>
          <w:p>
            <w:pPr>
              <w:spacing w:after="0"/>
              <w:rPr>
                <w:sz w:val="6"/>
                <w:szCs w:val="6"/>
                <w:color w:val="auto"/>
              </w:rPr>
            </w:pPr>
          </w:p>
        </w:tc>
        <w:tc>
          <w:tcPr>
            <w:tcW w:w="220" w:type="dxa"/>
            <w:vAlign w:val="bottom"/>
            <w:tcBorders>
              <w:bottom w:val="single" w:sz="8" w:color="3E3935"/>
            </w:tcBorders>
          </w:tcPr>
          <w:p>
            <w:pPr>
              <w:spacing w:after="0"/>
              <w:rPr>
                <w:sz w:val="6"/>
                <w:szCs w:val="6"/>
                <w:color w:val="auto"/>
              </w:rPr>
            </w:pPr>
          </w:p>
        </w:tc>
        <w:tc>
          <w:tcPr>
            <w:tcW w:w="60" w:type="dxa"/>
            <w:vAlign w:val="bottom"/>
            <w:tcBorders>
              <w:bottom w:val="single" w:sz="8" w:color="3E3935"/>
            </w:tcBorders>
          </w:tcPr>
          <w:p>
            <w:pPr>
              <w:spacing w:after="0"/>
              <w:rPr>
                <w:sz w:val="6"/>
                <w:szCs w:val="6"/>
                <w:color w:val="auto"/>
              </w:rPr>
            </w:pPr>
          </w:p>
        </w:tc>
        <w:tc>
          <w:tcPr>
            <w:tcW w:w="80" w:type="dxa"/>
            <w:vAlign w:val="bottom"/>
            <w:tcBorders>
              <w:bottom w:val="single" w:sz="8" w:color="3E3935"/>
            </w:tcBorders>
          </w:tcPr>
          <w:p>
            <w:pPr>
              <w:spacing w:after="0"/>
              <w:rPr>
                <w:sz w:val="6"/>
                <w:szCs w:val="6"/>
                <w:color w:val="auto"/>
              </w:rPr>
            </w:pPr>
          </w:p>
        </w:tc>
        <w:tc>
          <w:tcPr>
            <w:tcW w:w="40" w:type="dxa"/>
            <w:vAlign w:val="bottom"/>
            <w:tcBorders>
              <w:bottom w:val="single" w:sz="8" w:color="3E3935"/>
            </w:tcBorders>
          </w:tcPr>
          <w:p>
            <w:pPr>
              <w:spacing w:after="0"/>
              <w:rPr>
                <w:sz w:val="6"/>
                <w:szCs w:val="6"/>
                <w:color w:val="auto"/>
              </w:rPr>
            </w:pPr>
          </w:p>
        </w:tc>
        <w:tc>
          <w:tcPr>
            <w:tcW w:w="200" w:type="dxa"/>
            <w:vAlign w:val="bottom"/>
            <w:tcBorders>
              <w:bottom w:val="single" w:sz="8" w:color="3E3935"/>
            </w:tcBorders>
          </w:tcPr>
          <w:p>
            <w:pPr>
              <w:spacing w:after="0"/>
              <w:rPr>
                <w:sz w:val="6"/>
                <w:szCs w:val="6"/>
                <w:color w:val="auto"/>
              </w:rPr>
            </w:pPr>
          </w:p>
        </w:tc>
        <w:tc>
          <w:tcPr>
            <w:tcW w:w="260" w:type="dxa"/>
            <w:vAlign w:val="bottom"/>
            <w:tcBorders>
              <w:bottom w:val="single" w:sz="8" w:color="3E3935"/>
            </w:tcBorders>
          </w:tcPr>
          <w:p>
            <w:pPr>
              <w:spacing w:after="0"/>
              <w:rPr>
                <w:sz w:val="6"/>
                <w:szCs w:val="6"/>
                <w:color w:val="auto"/>
              </w:rPr>
            </w:pPr>
          </w:p>
        </w:tc>
        <w:tc>
          <w:tcPr>
            <w:tcW w:w="120" w:type="dxa"/>
            <w:vAlign w:val="bottom"/>
            <w:tcBorders>
              <w:bottom w:val="single" w:sz="8" w:color="3E3935"/>
            </w:tcBorders>
          </w:tcPr>
          <w:p>
            <w:pPr>
              <w:spacing w:after="0"/>
              <w:rPr>
                <w:sz w:val="6"/>
                <w:szCs w:val="6"/>
                <w:color w:val="auto"/>
              </w:rPr>
            </w:pPr>
          </w:p>
        </w:tc>
        <w:tc>
          <w:tcPr>
            <w:tcW w:w="20" w:type="dxa"/>
            <w:vAlign w:val="bottom"/>
            <w:tcBorders>
              <w:bottom w:val="single" w:sz="8" w:color="3E3935"/>
            </w:tcBorders>
          </w:tcPr>
          <w:p>
            <w:pPr>
              <w:spacing w:after="0"/>
              <w:rPr>
                <w:sz w:val="6"/>
                <w:szCs w:val="6"/>
                <w:color w:val="auto"/>
              </w:rPr>
            </w:pPr>
          </w:p>
        </w:tc>
        <w:tc>
          <w:tcPr>
            <w:tcW w:w="80" w:type="dxa"/>
            <w:vAlign w:val="bottom"/>
            <w:tcBorders>
              <w:bottom w:val="single" w:sz="8" w:color="3E3935"/>
            </w:tcBorders>
          </w:tcPr>
          <w:p>
            <w:pPr>
              <w:spacing w:after="0"/>
              <w:rPr>
                <w:sz w:val="6"/>
                <w:szCs w:val="6"/>
                <w:color w:val="auto"/>
              </w:rPr>
            </w:pPr>
          </w:p>
        </w:tc>
        <w:tc>
          <w:tcPr>
            <w:tcW w:w="400" w:type="dxa"/>
            <w:vAlign w:val="bottom"/>
            <w:tcBorders>
              <w:bottom w:val="single" w:sz="8" w:color="3E3935"/>
            </w:tcBorders>
          </w:tcPr>
          <w:p>
            <w:pPr>
              <w:spacing w:after="0"/>
              <w:rPr>
                <w:sz w:val="6"/>
                <w:szCs w:val="6"/>
                <w:color w:val="auto"/>
              </w:rPr>
            </w:pPr>
          </w:p>
        </w:tc>
        <w:tc>
          <w:tcPr>
            <w:tcW w:w="100" w:type="dxa"/>
            <w:vAlign w:val="bottom"/>
            <w:tcBorders>
              <w:bottom w:val="single" w:sz="8" w:color="3E3935"/>
            </w:tcBorders>
          </w:tcPr>
          <w:p>
            <w:pPr>
              <w:spacing w:after="0"/>
              <w:rPr>
                <w:sz w:val="6"/>
                <w:szCs w:val="6"/>
                <w:color w:val="auto"/>
              </w:rPr>
            </w:pPr>
          </w:p>
        </w:tc>
        <w:tc>
          <w:tcPr>
            <w:tcW w:w="160" w:type="dxa"/>
            <w:vAlign w:val="bottom"/>
            <w:tcBorders>
              <w:bottom w:val="single" w:sz="8" w:color="3E3935"/>
            </w:tcBorders>
          </w:tcPr>
          <w:p>
            <w:pPr>
              <w:spacing w:after="0"/>
              <w:rPr>
                <w:sz w:val="6"/>
                <w:szCs w:val="6"/>
                <w:color w:val="auto"/>
              </w:rPr>
            </w:pPr>
          </w:p>
        </w:tc>
        <w:tc>
          <w:tcPr>
            <w:tcW w:w="20" w:type="dxa"/>
            <w:vAlign w:val="bottom"/>
            <w:tcBorders>
              <w:bottom w:val="single" w:sz="8" w:color="3E3935"/>
            </w:tcBorders>
          </w:tcPr>
          <w:p>
            <w:pPr>
              <w:spacing w:after="0"/>
              <w:rPr>
                <w:sz w:val="6"/>
                <w:szCs w:val="6"/>
                <w:color w:val="auto"/>
              </w:rPr>
            </w:pPr>
          </w:p>
        </w:tc>
        <w:tc>
          <w:tcPr>
            <w:tcW w:w="240" w:type="dxa"/>
            <w:vAlign w:val="bottom"/>
            <w:tcBorders>
              <w:bottom w:val="single" w:sz="8" w:color="3E3935"/>
            </w:tcBorders>
          </w:tcPr>
          <w:p>
            <w:pPr>
              <w:spacing w:after="0"/>
              <w:rPr>
                <w:sz w:val="6"/>
                <w:szCs w:val="6"/>
                <w:color w:val="auto"/>
              </w:rPr>
            </w:pPr>
          </w:p>
        </w:tc>
        <w:tc>
          <w:tcPr>
            <w:tcW w:w="120" w:type="dxa"/>
            <w:vAlign w:val="bottom"/>
            <w:tcBorders>
              <w:bottom w:val="single" w:sz="8" w:color="3E3935"/>
            </w:tcBorders>
          </w:tcPr>
          <w:p>
            <w:pPr>
              <w:spacing w:after="0"/>
              <w:rPr>
                <w:sz w:val="6"/>
                <w:szCs w:val="6"/>
                <w:color w:val="auto"/>
              </w:rPr>
            </w:pPr>
          </w:p>
        </w:tc>
        <w:tc>
          <w:tcPr>
            <w:tcW w:w="80" w:type="dxa"/>
            <w:vAlign w:val="bottom"/>
            <w:tcBorders>
              <w:bottom w:val="single" w:sz="8" w:color="3E3935"/>
            </w:tcBorders>
          </w:tcPr>
          <w:p>
            <w:pPr>
              <w:spacing w:after="0"/>
              <w:rPr>
                <w:sz w:val="6"/>
                <w:szCs w:val="6"/>
                <w:color w:val="auto"/>
              </w:rPr>
            </w:pPr>
          </w:p>
        </w:tc>
        <w:tc>
          <w:tcPr>
            <w:tcW w:w="140" w:type="dxa"/>
            <w:vAlign w:val="bottom"/>
            <w:tcBorders>
              <w:bottom w:val="single" w:sz="8" w:color="3E3935"/>
            </w:tcBorders>
          </w:tcPr>
          <w:p>
            <w:pPr>
              <w:spacing w:after="0"/>
              <w:rPr>
                <w:sz w:val="6"/>
                <w:szCs w:val="6"/>
                <w:color w:val="auto"/>
              </w:rPr>
            </w:pPr>
          </w:p>
        </w:tc>
        <w:tc>
          <w:tcPr>
            <w:tcW w:w="20" w:type="dxa"/>
            <w:vAlign w:val="bottom"/>
            <w:tcBorders>
              <w:bottom w:val="single" w:sz="8" w:color="3E3935"/>
            </w:tcBorders>
          </w:tcPr>
          <w:p>
            <w:pPr>
              <w:spacing w:after="0"/>
              <w:rPr>
                <w:sz w:val="6"/>
                <w:szCs w:val="6"/>
                <w:color w:val="auto"/>
              </w:rPr>
            </w:pPr>
          </w:p>
        </w:tc>
        <w:tc>
          <w:tcPr>
            <w:tcW w:w="100" w:type="dxa"/>
            <w:vAlign w:val="bottom"/>
            <w:tcBorders>
              <w:bottom w:val="single" w:sz="8" w:color="3E3935"/>
            </w:tcBorders>
          </w:tcPr>
          <w:p>
            <w:pPr>
              <w:spacing w:after="0"/>
              <w:rPr>
                <w:sz w:val="6"/>
                <w:szCs w:val="6"/>
                <w:color w:val="auto"/>
              </w:rPr>
            </w:pPr>
          </w:p>
        </w:tc>
        <w:tc>
          <w:tcPr>
            <w:tcW w:w="20" w:type="dxa"/>
            <w:vAlign w:val="bottom"/>
            <w:tcBorders>
              <w:bottom w:val="single" w:sz="8" w:color="3E3935"/>
            </w:tcBorders>
          </w:tcPr>
          <w:p>
            <w:pPr>
              <w:spacing w:after="0"/>
              <w:rPr>
                <w:sz w:val="6"/>
                <w:szCs w:val="6"/>
                <w:color w:val="auto"/>
              </w:rPr>
            </w:pPr>
          </w:p>
        </w:tc>
        <w:tc>
          <w:tcPr>
            <w:tcW w:w="200" w:type="dxa"/>
            <w:vAlign w:val="bottom"/>
            <w:tcBorders>
              <w:bottom w:val="single" w:sz="8" w:color="3E3935"/>
            </w:tcBorders>
          </w:tcPr>
          <w:p>
            <w:pPr>
              <w:spacing w:after="0"/>
              <w:rPr>
                <w:sz w:val="6"/>
                <w:szCs w:val="6"/>
                <w:color w:val="auto"/>
              </w:rPr>
            </w:pPr>
          </w:p>
        </w:tc>
        <w:tc>
          <w:tcPr>
            <w:tcW w:w="20" w:type="dxa"/>
            <w:vAlign w:val="bottom"/>
            <w:tcBorders>
              <w:bottom w:val="single" w:sz="8" w:color="3E3935"/>
            </w:tcBorders>
          </w:tcPr>
          <w:p>
            <w:pPr>
              <w:spacing w:after="0"/>
              <w:rPr>
                <w:sz w:val="6"/>
                <w:szCs w:val="6"/>
                <w:color w:val="auto"/>
              </w:rPr>
            </w:pPr>
          </w:p>
        </w:tc>
        <w:tc>
          <w:tcPr>
            <w:tcW w:w="60" w:type="dxa"/>
            <w:vAlign w:val="bottom"/>
            <w:tcBorders>
              <w:bottom w:val="single" w:sz="8" w:color="3E3935"/>
            </w:tcBorders>
          </w:tcPr>
          <w:p>
            <w:pPr>
              <w:spacing w:after="0"/>
              <w:rPr>
                <w:sz w:val="6"/>
                <w:szCs w:val="6"/>
                <w:color w:val="auto"/>
              </w:rPr>
            </w:pPr>
          </w:p>
        </w:tc>
        <w:tc>
          <w:tcPr>
            <w:tcW w:w="40" w:type="dxa"/>
            <w:vAlign w:val="bottom"/>
            <w:tcBorders>
              <w:bottom w:val="single" w:sz="8" w:color="3E3935"/>
            </w:tcBorders>
          </w:tcPr>
          <w:p>
            <w:pPr>
              <w:spacing w:after="0"/>
              <w:rPr>
                <w:sz w:val="6"/>
                <w:szCs w:val="6"/>
                <w:color w:val="auto"/>
              </w:rPr>
            </w:pPr>
          </w:p>
        </w:tc>
        <w:tc>
          <w:tcPr>
            <w:tcW w:w="60" w:type="dxa"/>
            <w:vAlign w:val="bottom"/>
            <w:tcBorders>
              <w:bottom w:val="single" w:sz="8" w:color="3E3935"/>
            </w:tcBorders>
          </w:tcPr>
          <w:p>
            <w:pPr>
              <w:spacing w:after="0"/>
              <w:rPr>
                <w:sz w:val="6"/>
                <w:szCs w:val="6"/>
                <w:color w:val="auto"/>
              </w:rPr>
            </w:pPr>
          </w:p>
        </w:tc>
        <w:tc>
          <w:tcPr>
            <w:tcW w:w="180" w:type="dxa"/>
            <w:vAlign w:val="bottom"/>
            <w:tcBorders>
              <w:bottom w:val="single" w:sz="8" w:color="3E3935"/>
            </w:tcBorders>
          </w:tcPr>
          <w:p>
            <w:pPr>
              <w:spacing w:after="0"/>
              <w:rPr>
                <w:sz w:val="6"/>
                <w:szCs w:val="6"/>
                <w:color w:val="auto"/>
              </w:rPr>
            </w:pPr>
          </w:p>
        </w:tc>
        <w:tc>
          <w:tcPr>
            <w:tcW w:w="20" w:type="dxa"/>
            <w:vAlign w:val="bottom"/>
            <w:tcBorders>
              <w:bottom w:val="single" w:sz="8" w:color="3E3935"/>
            </w:tcBorders>
          </w:tcPr>
          <w:p>
            <w:pPr>
              <w:spacing w:after="0"/>
              <w:rPr>
                <w:sz w:val="6"/>
                <w:szCs w:val="6"/>
                <w:color w:val="auto"/>
              </w:rPr>
            </w:pPr>
          </w:p>
        </w:tc>
        <w:tc>
          <w:tcPr>
            <w:tcW w:w="20" w:type="dxa"/>
            <w:vAlign w:val="bottom"/>
            <w:tcBorders>
              <w:bottom w:val="single" w:sz="8" w:color="3E3935"/>
            </w:tcBorders>
          </w:tcPr>
          <w:p>
            <w:pPr>
              <w:spacing w:after="0"/>
              <w:rPr>
                <w:sz w:val="6"/>
                <w:szCs w:val="6"/>
                <w:color w:val="auto"/>
              </w:rPr>
            </w:pPr>
          </w:p>
        </w:tc>
        <w:tc>
          <w:tcPr>
            <w:tcW w:w="160" w:type="dxa"/>
            <w:vAlign w:val="bottom"/>
            <w:tcBorders>
              <w:bottom w:val="single" w:sz="8" w:color="3E3935"/>
            </w:tcBorders>
          </w:tcPr>
          <w:p>
            <w:pPr>
              <w:spacing w:after="0"/>
              <w:rPr>
                <w:sz w:val="6"/>
                <w:szCs w:val="6"/>
                <w:color w:val="auto"/>
              </w:rPr>
            </w:pPr>
          </w:p>
        </w:tc>
        <w:tc>
          <w:tcPr>
            <w:tcW w:w="440" w:type="dxa"/>
            <w:vAlign w:val="bottom"/>
            <w:tcBorders>
              <w:bottom w:val="single" w:sz="8" w:color="3E3935"/>
            </w:tcBorders>
          </w:tcPr>
          <w:p>
            <w:pPr>
              <w:spacing w:after="0"/>
              <w:rPr>
                <w:sz w:val="6"/>
                <w:szCs w:val="6"/>
                <w:color w:val="auto"/>
              </w:rPr>
            </w:pPr>
          </w:p>
        </w:tc>
        <w:tc>
          <w:tcPr>
            <w:tcW w:w="0" w:type="dxa"/>
            <w:vAlign w:val="bottom"/>
          </w:tcPr>
          <w:p>
            <w:pPr>
              <w:spacing w:after="0"/>
              <w:rPr>
                <w:sz w:val="1"/>
                <w:szCs w:val="1"/>
                <w:color w:val="auto"/>
              </w:rPr>
            </w:pPr>
          </w:p>
        </w:tc>
      </w:tr>
      <w:tr>
        <w:trPr>
          <w:trHeight w:val="223"/>
        </w:trPr>
        <w:tc>
          <w:tcPr>
            <w:tcW w:w="4840" w:type="dxa"/>
            <w:vAlign w:val="bottom"/>
            <w:gridSpan w:val="37"/>
          </w:tcPr>
          <w:p>
            <w:pPr>
              <w:spacing w:after="0"/>
              <w:rPr>
                <w:sz w:val="20"/>
                <w:szCs w:val="20"/>
                <w:color w:val="auto"/>
              </w:rPr>
            </w:pPr>
            <w:r>
              <w:rPr>
                <w:rFonts w:ascii="Arial" w:cs="Arial" w:eastAsia="Arial" w:hAnsi="Arial"/>
                <w:sz w:val="18"/>
                <w:szCs w:val="18"/>
                <w:b w:val="1"/>
                <w:bCs w:val="1"/>
                <w:color w:val="0000EE"/>
              </w:rPr>
              <w:t>ITEM NO. 1 – ANNUAL ELECTION OF DIRECTORS</w:t>
            </w:r>
          </w:p>
        </w:tc>
        <w:tc>
          <w:tcPr>
            <w:tcW w:w="440" w:type="dxa"/>
            <w:vAlign w:val="bottom"/>
          </w:tcPr>
          <w:p>
            <w:pPr>
              <w:jc w:val="right"/>
              <w:spacing w:after="0"/>
              <w:rPr>
                <w:sz w:val="20"/>
                <w:szCs w:val="20"/>
                <w:color w:val="auto"/>
              </w:rPr>
            </w:pPr>
            <w:r>
              <w:rPr>
                <w:rFonts w:ascii="Arial" w:cs="Arial" w:eastAsia="Arial" w:hAnsi="Arial"/>
                <w:sz w:val="18"/>
                <w:szCs w:val="18"/>
                <w:i w:val="1"/>
                <w:iCs w:val="1"/>
                <w:color w:val="3E3935"/>
              </w:rPr>
              <w:t>12</w:t>
            </w:r>
          </w:p>
        </w:tc>
        <w:tc>
          <w:tcPr>
            <w:tcW w:w="0" w:type="dxa"/>
            <w:vAlign w:val="bottom"/>
          </w:tcPr>
          <w:p>
            <w:pPr>
              <w:spacing w:after="0"/>
              <w:rPr>
                <w:sz w:val="1"/>
                <w:szCs w:val="1"/>
                <w:color w:val="auto"/>
              </w:rPr>
            </w:pPr>
          </w:p>
        </w:tc>
      </w:tr>
      <w:tr>
        <w:trPr>
          <w:trHeight w:val="20"/>
        </w:trPr>
        <w:tc>
          <w:tcPr>
            <w:tcW w:w="180" w:type="dxa"/>
            <w:vAlign w:val="bottom"/>
            <w:tcBorders>
              <w:top w:val="single" w:sz="8" w:color="0000EE"/>
              <w:bottom w:val="single" w:sz="8" w:color="3E3935"/>
            </w:tcBorders>
          </w:tcPr>
          <w:p>
            <w:pPr>
              <w:spacing w:after="0" w:line="20" w:lineRule="exact"/>
              <w:rPr>
                <w:sz w:val="1"/>
                <w:szCs w:val="1"/>
                <w:color w:val="auto"/>
              </w:rPr>
            </w:pPr>
          </w:p>
        </w:tc>
        <w:tc>
          <w:tcPr>
            <w:tcW w:w="360" w:type="dxa"/>
            <w:vAlign w:val="bottom"/>
            <w:tcBorders>
              <w:top w:val="single" w:sz="8" w:color="0000EE"/>
              <w:bottom w:val="single" w:sz="8" w:color="3E3935"/>
            </w:tcBorders>
          </w:tcPr>
          <w:p>
            <w:pPr>
              <w:spacing w:after="0" w:line="20" w:lineRule="exact"/>
              <w:rPr>
                <w:sz w:val="1"/>
                <w:szCs w:val="1"/>
                <w:color w:val="auto"/>
              </w:rPr>
            </w:pPr>
          </w:p>
        </w:tc>
        <w:tc>
          <w:tcPr>
            <w:tcW w:w="340" w:type="dxa"/>
            <w:vAlign w:val="bottom"/>
            <w:tcBorders>
              <w:top w:val="single" w:sz="8" w:color="0000EE"/>
              <w:bottom w:val="single" w:sz="8" w:color="3E3935"/>
            </w:tcBorders>
          </w:tcPr>
          <w:p>
            <w:pPr>
              <w:spacing w:after="0" w:line="20" w:lineRule="exact"/>
              <w:rPr>
                <w:sz w:val="1"/>
                <w:szCs w:val="1"/>
                <w:color w:val="auto"/>
              </w:rPr>
            </w:pPr>
          </w:p>
        </w:tc>
        <w:tc>
          <w:tcPr>
            <w:tcW w:w="160" w:type="dxa"/>
            <w:vAlign w:val="bottom"/>
            <w:tcBorders>
              <w:top w:val="single" w:sz="8" w:color="0000EE"/>
              <w:bottom w:val="single" w:sz="8" w:color="3E3935"/>
            </w:tcBorders>
          </w:tcPr>
          <w:p>
            <w:pPr>
              <w:spacing w:after="0" w:line="20" w:lineRule="exact"/>
              <w:rPr>
                <w:sz w:val="1"/>
                <w:szCs w:val="1"/>
                <w:color w:val="auto"/>
              </w:rPr>
            </w:pPr>
          </w:p>
        </w:tc>
        <w:tc>
          <w:tcPr>
            <w:tcW w:w="100" w:type="dxa"/>
            <w:vAlign w:val="bottom"/>
            <w:tcBorders>
              <w:top w:val="single" w:sz="8" w:color="0000EE"/>
              <w:bottom w:val="single" w:sz="8" w:color="3E3935"/>
            </w:tcBorders>
          </w:tcPr>
          <w:p>
            <w:pPr>
              <w:spacing w:after="0" w:line="20" w:lineRule="exact"/>
              <w:rPr>
                <w:sz w:val="1"/>
                <w:szCs w:val="1"/>
                <w:color w:val="auto"/>
              </w:rPr>
            </w:pPr>
          </w:p>
        </w:tc>
        <w:tc>
          <w:tcPr>
            <w:tcW w:w="100" w:type="dxa"/>
            <w:vAlign w:val="bottom"/>
            <w:tcBorders>
              <w:top w:val="single" w:sz="8" w:color="0000EE"/>
              <w:bottom w:val="single" w:sz="8" w:color="3E3935"/>
            </w:tcBorders>
          </w:tcPr>
          <w:p>
            <w:pPr>
              <w:spacing w:after="0" w:line="20" w:lineRule="exact"/>
              <w:rPr>
                <w:sz w:val="1"/>
                <w:szCs w:val="1"/>
                <w:color w:val="auto"/>
              </w:rPr>
            </w:pPr>
          </w:p>
        </w:tc>
        <w:tc>
          <w:tcPr>
            <w:tcW w:w="260" w:type="dxa"/>
            <w:vAlign w:val="bottom"/>
            <w:tcBorders>
              <w:top w:val="single" w:sz="8" w:color="0000EE"/>
              <w:bottom w:val="single" w:sz="8" w:color="3E3935"/>
            </w:tcBorders>
          </w:tcPr>
          <w:p>
            <w:pPr>
              <w:spacing w:after="0" w:line="20" w:lineRule="exact"/>
              <w:rPr>
                <w:sz w:val="1"/>
                <w:szCs w:val="1"/>
                <w:color w:val="auto"/>
              </w:rPr>
            </w:pPr>
          </w:p>
        </w:tc>
        <w:tc>
          <w:tcPr>
            <w:tcW w:w="100" w:type="dxa"/>
            <w:vAlign w:val="bottom"/>
            <w:tcBorders>
              <w:top w:val="single" w:sz="8" w:color="0000EE"/>
              <w:bottom w:val="single" w:sz="8" w:color="3E3935"/>
            </w:tcBorders>
          </w:tcPr>
          <w:p>
            <w:pPr>
              <w:spacing w:after="0" w:line="20" w:lineRule="exact"/>
              <w:rPr>
                <w:sz w:val="1"/>
                <w:szCs w:val="1"/>
                <w:color w:val="auto"/>
              </w:rPr>
            </w:pPr>
          </w:p>
        </w:tc>
        <w:tc>
          <w:tcPr>
            <w:tcW w:w="220" w:type="dxa"/>
            <w:vAlign w:val="bottom"/>
            <w:tcBorders>
              <w:top w:val="single" w:sz="8" w:color="0000EE"/>
              <w:bottom w:val="single" w:sz="8" w:color="3E3935"/>
            </w:tcBorders>
          </w:tcPr>
          <w:p>
            <w:pPr>
              <w:spacing w:after="0" w:line="20" w:lineRule="exact"/>
              <w:rPr>
                <w:sz w:val="1"/>
                <w:szCs w:val="1"/>
                <w:color w:val="auto"/>
              </w:rPr>
            </w:pPr>
          </w:p>
        </w:tc>
        <w:tc>
          <w:tcPr>
            <w:tcW w:w="60" w:type="dxa"/>
            <w:vAlign w:val="bottom"/>
            <w:tcBorders>
              <w:top w:val="single" w:sz="8" w:color="0000EE"/>
              <w:bottom w:val="single" w:sz="8" w:color="3E3935"/>
            </w:tcBorders>
          </w:tcPr>
          <w:p>
            <w:pPr>
              <w:spacing w:after="0" w:line="20" w:lineRule="exact"/>
              <w:rPr>
                <w:sz w:val="1"/>
                <w:szCs w:val="1"/>
                <w:color w:val="auto"/>
              </w:rPr>
            </w:pPr>
          </w:p>
        </w:tc>
        <w:tc>
          <w:tcPr>
            <w:tcW w:w="80" w:type="dxa"/>
            <w:vAlign w:val="bottom"/>
            <w:tcBorders>
              <w:top w:val="single" w:sz="8" w:color="0000EE"/>
              <w:bottom w:val="single" w:sz="8" w:color="3E3935"/>
            </w:tcBorders>
          </w:tcPr>
          <w:p>
            <w:pPr>
              <w:spacing w:after="0" w:line="20" w:lineRule="exact"/>
              <w:rPr>
                <w:sz w:val="1"/>
                <w:szCs w:val="1"/>
                <w:color w:val="auto"/>
              </w:rPr>
            </w:pPr>
          </w:p>
        </w:tc>
        <w:tc>
          <w:tcPr>
            <w:tcW w:w="40" w:type="dxa"/>
            <w:vAlign w:val="bottom"/>
            <w:tcBorders>
              <w:top w:val="single" w:sz="8" w:color="0000EE"/>
              <w:bottom w:val="single" w:sz="8" w:color="3E3935"/>
            </w:tcBorders>
          </w:tcPr>
          <w:p>
            <w:pPr>
              <w:spacing w:after="0" w:line="20" w:lineRule="exact"/>
              <w:rPr>
                <w:sz w:val="1"/>
                <w:szCs w:val="1"/>
                <w:color w:val="auto"/>
              </w:rPr>
            </w:pPr>
          </w:p>
        </w:tc>
        <w:tc>
          <w:tcPr>
            <w:tcW w:w="200" w:type="dxa"/>
            <w:vAlign w:val="bottom"/>
            <w:tcBorders>
              <w:top w:val="single" w:sz="8" w:color="0000EE"/>
              <w:bottom w:val="single" w:sz="8" w:color="3E3935"/>
            </w:tcBorders>
          </w:tcPr>
          <w:p>
            <w:pPr>
              <w:spacing w:after="0" w:line="20" w:lineRule="exact"/>
              <w:rPr>
                <w:sz w:val="1"/>
                <w:szCs w:val="1"/>
                <w:color w:val="auto"/>
              </w:rPr>
            </w:pPr>
          </w:p>
        </w:tc>
        <w:tc>
          <w:tcPr>
            <w:tcW w:w="260" w:type="dxa"/>
            <w:vAlign w:val="bottom"/>
            <w:tcBorders>
              <w:top w:val="single" w:sz="8" w:color="0000EE"/>
              <w:bottom w:val="single" w:sz="8" w:color="3E3935"/>
            </w:tcBorders>
          </w:tcPr>
          <w:p>
            <w:pPr>
              <w:spacing w:after="0" w:line="20" w:lineRule="exact"/>
              <w:rPr>
                <w:sz w:val="1"/>
                <w:szCs w:val="1"/>
                <w:color w:val="auto"/>
              </w:rPr>
            </w:pPr>
          </w:p>
        </w:tc>
        <w:tc>
          <w:tcPr>
            <w:tcW w:w="120" w:type="dxa"/>
            <w:vAlign w:val="bottom"/>
            <w:tcBorders>
              <w:top w:val="single" w:sz="8" w:color="0000EE"/>
              <w:bottom w:val="single" w:sz="8" w:color="3E3935"/>
            </w:tcBorders>
          </w:tcPr>
          <w:p>
            <w:pPr>
              <w:spacing w:after="0" w:line="20" w:lineRule="exact"/>
              <w:rPr>
                <w:sz w:val="1"/>
                <w:szCs w:val="1"/>
                <w:color w:val="auto"/>
              </w:rPr>
            </w:pPr>
          </w:p>
        </w:tc>
        <w:tc>
          <w:tcPr>
            <w:tcW w:w="20" w:type="dxa"/>
            <w:vAlign w:val="bottom"/>
            <w:tcBorders>
              <w:top w:val="single" w:sz="8" w:color="0000EE"/>
              <w:bottom w:val="single" w:sz="8" w:color="3E3935"/>
            </w:tcBorders>
          </w:tcPr>
          <w:p>
            <w:pPr>
              <w:spacing w:after="0" w:line="20" w:lineRule="exact"/>
              <w:rPr>
                <w:sz w:val="1"/>
                <w:szCs w:val="1"/>
                <w:color w:val="auto"/>
              </w:rPr>
            </w:pPr>
          </w:p>
        </w:tc>
        <w:tc>
          <w:tcPr>
            <w:tcW w:w="80" w:type="dxa"/>
            <w:vAlign w:val="bottom"/>
            <w:tcBorders>
              <w:top w:val="single" w:sz="8" w:color="0000EE"/>
              <w:bottom w:val="single" w:sz="8" w:color="3E3935"/>
            </w:tcBorders>
          </w:tcPr>
          <w:p>
            <w:pPr>
              <w:spacing w:after="0" w:line="20" w:lineRule="exact"/>
              <w:rPr>
                <w:sz w:val="1"/>
                <w:szCs w:val="1"/>
                <w:color w:val="auto"/>
              </w:rPr>
            </w:pPr>
          </w:p>
        </w:tc>
        <w:tc>
          <w:tcPr>
            <w:tcW w:w="400" w:type="dxa"/>
            <w:vAlign w:val="bottom"/>
            <w:tcBorders>
              <w:top w:val="single" w:sz="8" w:color="0000EE"/>
              <w:bottom w:val="single" w:sz="8" w:color="3E3935"/>
            </w:tcBorders>
          </w:tcPr>
          <w:p>
            <w:pPr>
              <w:spacing w:after="0" w:line="20" w:lineRule="exact"/>
              <w:rPr>
                <w:sz w:val="1"/>
                <w:szCs w:val="1"/>
                <w:color w:val="auto"/>
              </w:rPr>
            </w:pPr>
          </w:p>
        </w:tc>
        <w:tc>
          <w:tcPr>
            <w:tcW w:w="100" w:type="dxa"/>
            <w:vAlign w:val="bottom"/>
            <w:tcBorders>
              <w:top w:val="single" w:sz="8" w:color="0000EE"/>
              <w:bottom w:val="single" w:sz="8" w:color="3E3935"/>
            </w:tcBorders>
          </w:tcPr>
          <w:p>
            <w:pPr>
              <w:spacing w:after="0" w:line="20" w:lineRule="exact"/>
              <w:rPr>
                <w:sz w:val="1"/>
                <w:szCs w:val="1"/>
                <w:color w:val="auto"/>
              </w:rPr>
            </w:pPr>
          </w:p>
        </w:tc>
        <w:tc>
          <w:tcPr>
            <w:tcW w:w="160" w:type="dxa"/>
            <w:vAlign w:val="bottom"/>
            <w:tcBorders>
              <w:top w:val="single" w:sz="8" w:color="0000EE"/>
              <w:bottom w:val="single" w:sz="8" w:color="3E3935"/>
            </w:tcBorders>
          </w:tcPr>
          <w:p>
            <w:pPr>
              <w:spacing w:after="0" w:line="20" w:lineRule="exact"/>
              <w:rPr>
                <w:sz w:val="1"/>
                <w:szCs w:val="1"/>
                <w:color w:val="auto"/>
              </w:rPr>
            </w:pPr>
          </w:p>
        </w:tc>
        <w:tc>
          <w:tcPr>
            <w:tcW w:w="20" w:type="dxa"/>
            <w:vAlign w:val="bottom"/>
            <w:tcBorders>
              <w:top w:val="single" w:sz="8" w:color="0000EE"/>
              <w:bottom w:val="single" w:sz="8" w:color="3E3935"/>
            </w:tcBorders>
          </w:tcPr>
          <w:p>
            <w:pPr>
              <w:spacing w:after="0" w:line="20" w:lineRule="exact"/>
              <w:rPr>
                <w:sz w:val="1"/>
                <w:szCs w:val="1"/>
                <w:color w:val="auto"/>
              </w:rPr>
            </w:pPr>
          </w:p>
        </w:tc>
        <w:tc>
          <w:tcPr>
            <w:tcW w:w="240" w:type="dxa"/>
            <w:vAlign w:val="bottom"/>
            <w:tcBorders>
              <w:top w:val="single" w:sz="8" w:color="0000EE"/>
              <w:bottom w:val="single" w:sz="8" w:color="3E3935"/>
            </w:tcBorders>
          </w:tcPr>
          <w:p>
            <w:pPr>
              <w:spacing w:after="0" w:line="20" w:lineRule="exact"/>
              <w:rPr>
                <w:sz w:val="1"/>
                <w:szCs w:val="1"/>
                <w:color w:val="auto"/>
              </w:rPr>
            </w:pPr>
          </w:p>
        </w:tc>
        <w:tc>
          <w:tcPr>
            <w:tcW w:w="120" w:type="dxa"/>
            <w:vAlign w:val="bottom"/>
            <w:tcBorders>
              <w:top w:val="single" w:sz="8" w:color="0000EE"/>
              <w:bottom w:val="single" w:sz="8" w:color="3E3935"/>
            </w:tcBorders>
          </w:tcPr>
          <w:p>
            <w:pPr>
              <w:spacing w:after="0" w:line="20" w:lineRule="exact"/>
              <w:rPr>
                <w:sz w:val="1"/>
                <w:szCs w:val="1"/>
                <w:color w:val="auto"/>
              </w:rPr>
            </w:pPr>
          </w:p>
        </w:tc>
        <w:tc>
          <w:tcPr>
            <w:tcW w:w="80" w:type="dxa"/>
            <w:vAlign w:val="bottom"/>
            <w:tcBorders>
              <w:top w:val="single" w:sz="8" w:color="0000EE"/>
              <w:bottom w:val="single" w:sz="8" w:color="3E3935"/>
            </w:tcBorders>
          </w:tcPr>
          <w:p>
            <w:pPr>
              <w:spacing w:after="0" w:line="20" w:lineRule="exact"/>
              <w:rPr>
                <w:sz w:val="1"/>
                <w:szCs w:val="1"/>
                <w:color w:val="auto"/>
              </w:rPr>
            </w:pPr>
          </w:p>
        </w:tc>
        <w:tc>
          <w:tcPr>
            <w:tcW w:w="140" w:type="dxa"/>
            <w:vAlign w:val="bottom"/>
            <w:tcBorders>
              <w:top w:val="single" w:sz="8" w:color="0000EE"/>
              <w:bottom w:val="single" w:sz="8" w:color="3E3935"/>
            </w:tcBorders>
          </w:tcPr>
          <w:p>
            <w:pPr>
              <w:spacing w:after="0" w:line="20" w:lineRule="exact"/>
              <w:rPr>
                <w:sz w:val="1"/>
                <w:szCs w:val="1"/>
                <w:color w:val="auto"/>
              </w:rPr>
            </w:pPr>
          </w:p>
        </w:tc>
        <w:tc>
          <w:tcPr>
            <w:tcW w:w="20" w:type="dxa"/>
            <w:vAlign w:val="bottom"/>
            <w:tcBorders>
              <w:top w:val="single" w:sz="8" w:color="0000EE"/>
              <w:bottom w:val="single" w:sz="8" w:color="3E3935"/>
            </w:tcBorders>
          </w:tcPr>
          <w:p>
            <w:pPr>
              <w:spacing w:after="0" w:line="20" w:lineRule="exact"/>
              <w:rPr>
                <w:sz w:val="1"/>
                <w:szCs w:val="1"/>
                <w:color w:val="auto"/>
              </w:rPr>
            </w:pPr>
          </w:p>
        </w:tc>
        <w:tc>
          <w:tcPr>
            <w:tcW w:w="100" w:type="dxa"/>
            <w:vAlign w:val="bottom"/>
            <w:tcBorders>
              <w:top w:val="single" w:sz="8" w:color="0000EE"/>
              <w:bottom w:val="single" w:sz="8" w:color="3E3935"/>
            </w:tcBorders>
          </w:tcPr>
          <w:p>
            <w:pPr>
              <w:spacing w:after="0" w:line="20" w:lineRule="exact"/>
              <w:rPr>
                <w:sz w:val="1"/>
                <w:szCs w:val="1"/>
                <w:color w:val="auto"/>
              </w:rPr>
            </w:pPr>
          </w:p>
        </w:tc>
        <w:tc>
          <w:tcPr>
            <w:tcW w:w="20" w:type="dxa"/>
            <w:vAlign w:val="bottom"/>
            <w:tcBorders>
              <w:top w:val="single" w:sz="8" w:color="0000EE"/>
              <w:bottom w:val="single" w:sz="8" w:color="3E3935"/>
            </w:tcBorders>
          </w:tcPr>
          <w:p>
            <w:pPr>
              <w:spacing w:after="0" w:line="20" w:lineRule="exact"/>
              <w:rPr>
                <w:sz w:val="1"/>
                <w:szCs w:val="1"/>
                <w:color w:val="auto"/>
              </w:rPr>
            </w:pPr>
          </w:p>
        </w:tc>
        <w:tc>
          <w:tcPr>
            <w:tcW w:w="200" w:type="dxa"/>
            <w:vAlign w:val="bottom"/>
            <w:tcBorders>
              <w:top w:val="single" w:sz="8" w:color="0000EE"/>
              <w:bottom w:val="single" w:sz="8" w:color="3E3935"/>
            </w:tcBorders>
          </w:tcPr>
          <w:p>
            <w:pPr>
              <w:spacing w:after="0" w:line="20" w:lineRule="exact"/>
              <w:rPr>
                <w:sz w:val="1"/>
                <w:szCs w:val="1"/>
                <w:color w:val="auto"/>
              </w:rPr>
            </w:pPr>
          </w:p>
        </w:tc>
        <w:tc>
          <w:tcPr>
            <w:tcW w:w="20" w:type="dxa"/>
            <w:vAlign w:val="bottom"/>
            <w:tcBorders>
              <w:top w:val="single" w:sz="8" w:color="0000EE"/>
              <w:bottom w:val="single" w:sz="8" w:color="3E3935"/>
            </w:tcBorders>
          </w:tcPr>
          <w:p>
            <w:pPr>
              <w:spacing w:after="0" w:line="20" w:lineRule="exact"/>
              <w:rPr>
                <w:sz w:val="1"/>
                <w:szCs w:val="1"/>
                <w:color w:val="auto"/>
              </w:rPr>
            </w:pPr>
          </w:p>
        </w:tc>
        <w:tc>
          <w:tcPr>
            <w:tcW w:w="60" w:type="dxa"/>
            <w:vAlign w:val="bottom"/>
            <w:tcBorders>
              <w:bottom w:val="single" w:sz="8" w:color="3E3935"/>
            </w:tcBorders>
          </w:tcPr>
          <w:p>
            <w:pPr>
              <w:spacing w:after="0" w:line="20" w:lineRule="exact"/>
              <w:rPr>
                <w:sz w:val="1"/>
                <w:szCs w:val="1"/>
                <w:color w:val="auto"/>
              </w:rPr>
            </w:pPr>
          </w:p>
        </w:tc>
        <w:tc>
          <w:tcPr>
            <w:tcW w:w="40" w:type="dxa"/>
            <w:vAlign w:val="bottom"/>
            <w:tcBorders>
              <w:bottom w:val="single" w:sz="8" w:color="3E3935"/>
            </w:tcBorders>
          </w:tcPr>
          <w:p>
            <w:pPr>
              <w:spacing w:after="0" w:line="20" w:lineRule="exact"/>
              <w:rPr>
                <w:sz w:val="1"/>
                <w:szCs w:val="1"/>
                <w:color w:val="auto"/>
              </w:rPr>
            </w:pPr>
          </w:p>
        </w:tc>
        <w:tc>
          <w:tcPr>
            <w:tcW w:w="60" w:type="dxa"/>
            <w:vAlign w:val="bottom"/>
            <w:tcBorders>
              <w:bottom w:val="single" w:sz="8" w:color="3E3935"/>
            </w:tcBorders>
          </w:tcPr>
          <w:p>
            <w:pPr>
              <w:spacing w:after="0" w:line="20" w:lineRule="exact"/>
              <w:rPr>
                <w:sz w:val="1"/>
                <w:szCs w:val="1"/>
                <w:color w:val="auto"/>
              </w:rPr>
            </w:pPr>
          </w:p>
        </w:tc>
        <w:tc>
          <w:tcPr>
            <w:tcW w:w="180" w:type="dxa"/>
            <w:vAlign w:val="bottom"/>
            <w:tcBorders>
              <w:bottom w:val="single" w:sz="8" w:color="3E3935"/>
            </w:tcBorders>
          </w:tcPr>
          <w:p>
            <w:pPr>
              <w:spacing w:after="0" w:line="20" w:lineRule="exact"/>
              <w:rPr>
                <w:sz w:val="1"/>
                <w:szCs w:val="1"/>
                <w:color w:val="auto"/>
              </w:rPr>
            </w:pPr>
          </w:p>
        </w:tc>
        <w:tc>
          <w:tcPr>
            <w:tcW w:w="20" w:type="dxa"/>
            <w:vAlign w:val="bottom"/>
            <w:tcBorders>
              <w:bottom w:val="single" w:sz="8" w:color="3E3935"/>
            </w:tcBorders>
          </w:tcPr>
          <w:p>
            <w:pPr>
              <w:spacing w:after="0" w:line="20" w:lineRule="exact"/>
              <w:rPr>
                <w:sz w:val="1"/>
                <w:szCs w:val="1"/>
                <w:color w:val="auto"/>
              </w:rPr>
            </w:pPr>
          </w:p>
        </w:tc>
        <w:tc>
          <w:tcPr>
            <w:tcW w:w="20" w:type="dxa"/>
            <w:vAlign w:val="bottom"/>
            <w:tcBorders>
              <w:bottom w:val="single" w:sz="8" w:color="3E3935"/>
            </w:tcBorders>
          </w:tcPr>
          <w:p>
            <w:pPr>
              <w:spacing w:after="0" w:line="20" w:lineRule="exact"/>
              <w:rPr>
                <w:sz w:val="1"/>
                <w:szCs w:val="1"/>
                <w:color w:val="auto"/>
              </w:rPr>
            </w:pPr>
          </w:p>
        </w:tc>
        <w:tc>
          <w:tcPr>
            <w:tcW w:w="160" w:type="dxa"/>
            <w:vAlign w:val="bottom"/>
            <w:tcBorders>
              <w:bottom w:val="single" w:sz="8" w:color="3E3935"/>
            </w:tcBorders>
          </w:tcPr>
          <w:p>
            <w:pPr>
              <w:spacing w:after="0" w:line="20" w:lineRule="exact"/>
              <w:rPr>
                <w:sz w:val="1"/>
                <w:szCs w:val="1"/>
                <w:color w:val="auto"/>
              </w:rPr>
            </w:pPr>
          </w:p>
        </w:tc>
        <w:tc>
          <w:tcPr>
            <w:tcW w:w="440" w:type="dxa"/>
            <w:vAlign w:val="bottom"/>
            <w:tcBorders>
              <w:bottom w:val="single" w:sz="8" w:color="3E3935"/>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840" w:type="dxa"/>
            <w:vAlign w:val="bottom"/>
            <w:gridSpan w:val="37"/>
          </w:tcPr>
          <w:p>
            <w:pPr>
              <w:spacing w:after="0" w:line="156" w:lineRule="exact"/>
              <w:rPr>
                <w:sz w:val="20"/>
                <w:szCs w:val="20"/>
                <w:color w:val="auto"/>
              </w:rPr>
            </w:pPr>
            <w:r>
              <w:rPr>
                <w:rFonts w:ascii="Arial" w:cs="Arial" w:eastAsia="Arial" w:hAnsi="Arial"/>
                <w:sz w:val="18"/>
                <w:szCs w:val="18"/>
                <w:color w:val="0000EE"/>
              </w:rPr>
              <w:t>Board Experience and Expertise</w:t>
            </w:r>
          </w:p>
        </w:tc>
        <w:tc>
          <w:tcPr>
            <w:tcW w:w="440" w:type="dxa"/>
            <w:vAlign w:val="bottom"/>
          </w:tcPr>
          <w:p>
            <w:pPr>
              <w:jc w:val="right"/>
              <w:spacing w:after="0" w:line="156" w:lineRule="exact"/>
              <w:rPr>
                <w:sz w:val="20"/>
                <w:szCs w:val="20"/>
                <w:color w:val="auto"/>
              </w:rPr>
            </w:pPr>
            <w:r>
              <w:rPr>
                <w:rFonts w:ascii="Arial" w:cs="Arial" w:eastAsia="Arial" w:hAnsi="Arial"/>
                <w:sz w:val="18"/>
                <w:szCs w:val="18"/>
                <w:i w:val="1"/>
                <w:iCs w:val="1"/>
                <w:color w:val="3E3935"/>
              </w:rPr>
              <w:t>13</w:t>
            </w:r>
          </w:p>
        </w:tc>
        <w:tc>
          <w:tcPr>
            <w:tcW w:w="0" w:type="dxa"/>
            <w:vAlign w:val="bottom"/>
          </w:tcPr>
          <w:p>
            <w:pPr>
              <w:spacing w:after="0"/>
              <w:rPr>
                <w:sz w:val="1"/>
                <w:szCs w:val="1"/>
                <w:color w:val="auto"/>
              </w:rPr>
            </w:pPr>
          </w:p>
        </w:tc>
      </w:tr>
      <w:tr>
        <w:trPr>
          <w:trHeight w:val="183"/>
        </w:trPr>
        <w:tc>
          <w:tcPr>
            <w:tcW w:w="180" w:type="dxa"/>
            <w:vAlign w:val="bottom"/>
            <w:tcBorders>
              <w:top w:val="single" w:sz="8" w:color="0000EE"/>
            </w:tcBorders>
          </w:tcPr>
          <w:p>
            <w:pPr>
              <w:spacing w:after="0"/>
              <w:rPr>
                <w:sz w:val="15"/>
                <w:szCs w:val="15"/>
                <w:color w:val="auto"/>
              </w:rPr>
            </w:pPr>
          </w:p>
        </w:tc>
        <w:tc>
          <w:tcPr>
            <w:tcW w:w="960" w:type="dxa"/>
            <w:vAlign w:val="bottom"/>
            <w:tcBorders>
              <w:top w:val="single" w:sz="8" w:color="0000EE"/>
              <w:bottom w:val="single" w:sz="8" w:color="0000EE"/>
            </w:tcBorders>
            <w:gridSpan w:val="4"/>
          </w:tcPr>
          <w:p>
            <w:pPr>
              <w:spacing w:after="0" w:line="182" w:lineRule="exact"/>
              <w:rPr>
                <w:sz w:val="20"/>
                <w:szCs w:val="20"/>
                <w:color w:val="auto"/>
              </w:rPr>
            </w:pPr>
            <w:r>
              <w:rPr>
                <w:rFonts w:ascii="Arial" w:cs="Arial" w:eastAsia="Arial" w:hAnsi="Arial"/>
                <w:sz w:val="18"/>
                <w:szCs w:val="18"/>
                <w:color w:val="0000EE"/>
                <w:w w:val="97"/>
              </w:rPr>
              <w:t>Skills Matrix</w:t>
            </w:r>
          </w:p>
        </w:tc>
        <w:tc>
          <w:tcPr>
            <w:tcW w:w="1460" w:type="dxa"/>
            <w:vAlign w:val="bottom"/>
            <w:tcBorders>
              <w:top w:val="single" w:sz="8" w:color="0000EE"/>
            </w:tcBorders>
            <w:gridSpan w:val="11"/>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gridSpan w:val="2"/>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40" w:type="dxa"/>
            <w:vAlign w:val="bottom"/>
          </w:tcPr>
          <w:p>
            <w:pPr>
              <w:jc w:val="right"/>
              <w:spacing w:after="0" w:line="182" w:lineRule="exact"/>
              <w:rPr>
                <w:sz w:val="20"/>
                <w:szCs w:val="20"/>
                <w:color w:val="auto"/>
              </w:rPr>
            </w:pPr>
            <w:r>
              <w:rPr>
                <w:rFonts w:ascii="Arial" w:cs="Arial" w:eastAsia="Arial" w:hAnsi="Arial"/>
                <w:sz w:val="18"/>
                <w:szCs w:val="18"/>
                <w:i w:val="1"/>
                <w:iCs w:val="1"/>
                <w:color w:val="3E3935"/>
              </w:rPr>
              <w:t>13</w:t>
            </w:r>
          </w:p>
        </w:tc>
        <w:tc>
          <w:tcPr>
            <w:tcW w:w="0" w:type="dxa"/>
            <w:vAlign w:val="bottom"/>
          </w:tcPr>
          <w:p>
            <w:pPr>
              <w:spacing w:after="0"/>
              <w:rPr>
                <w:sz w:val="1"/>
                <w:szCs w:val="1"/>
                <w:color w:val="auto"/>
              </w:rPr>
            </w:pPr>
          </w:p>
        </w:tc>
      </w:tr>
      <w:tr>
        <w:trPr>
          <w:trHeight w:val="183"/>
        </w:trPr>
        <w:tc>
          <w:tcPr>
            <w:tcW w:w="180" w:type="dxa"/>
            <w:vAlign w:val="bottom"/>
          </w:tcPr>
          <w:p>
            <w:pPr>
              <w:spacing w:after="0"/>
              <w:rPr>
                <w:sz w:val="15"/>
                <w:szCs w:val="15"/>
                <w:color w:val="auto"/>
              </w:rPr>
            </w:pPr>
          </w:p>
        </w:tc>
        <w:tc>
          <w:tcPr>
            <w:tcW w:w="4660" w:type="dxa"/>
            <w:vAlign w:val="bottom"/>
            <w:gridSpan w:val="36"/>
          </w:tcPr>
          <w:p>
            <w:pPr>
              <w:spacing w:after="0" w:line="182" w:lineRule="exact"/>
              <w:rPr>
                <w:sz w:val="20"/>
                <w:szCs w:val="20"/>
                <w:color w:val="auto"/>
              </w:rPr>
            </w:pPr>
            <w:r>
              <w:rPr>
                <w:rFonts w:ascii="Arial" w:cs="Arial" w:eastAsia="Arial" w:hAnsi="Arial"/>
                <w:sz w:val="18"/>
                <w:szCs w:val="18"/>
                <w:color w:val="0000EE"/>
              </w:rPr>
              <w:t>Director Nominee Biographies</w:t>
            </w:r>
          </w:p>
        </w:tc>
        <w:tc>
          <w:tcPr>
            <w:tcW w:w="440" w:type="dxa"/>
            <w:vAlign w:val="bottom"/>
          </w:tcPr>
          <w:p>
            <w:pPr>
              <w:jc w:val="right"/>
              <w:spacing w:after="0" w:line="182" w:lineRule="exact"/>
              <w:rPr>
                <w:sz w:val="20"/>
                <w:szCs w:val="20"/>
                <w:color w:val="auto"/>
              </w:rPr>
            </w:pPr>
            <w:r>
              <w:rPr>
                <w:rFonts w:ascii="Arial" w:cs="Arial" w:eastAsia="Arial" w:hAnsi="Arial"/>
                <w:sz w:val="18"/>
                <w:szCs w:val="18"/>
                <w:i w:val="1"/>
                <w:iCs w:val="1"/>
                <w:color w:val="3E3935"/>
              </w:rPr>
              <w:t>14</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840" w:type="dxa"/>
            <w:vAlign w:val="bottom"/>
            <w:gridSpan w:val="37"/>
          </w:tcPr>
          <w:p>
            <w:pPr>
              <w:spacing w:after="0" w:line="182" w:lineRule="exact"/>
              <w:rPr>
                <w:sz w:val="20"/>
                <w:szCs w:val="20"/>
                <w:color w:val="auto"/>
              </w:rPr>
            </w:pPr>
            <w:r>
              <w:rPr>
                <w:rFonts w:ascii="Arial" w:cs="Arial" w:eastAsia="Arial" w:hAnsi="Arial"/>
                <w:sz w:val="18"/>
                <w:szCs w:val="18"/>
                <w:color w:val="0000EE"/>
              </w:rPr>
              <w:t>Board Membership Criteria, Refreshment, and Succession</w:t>
            </w:r>
          </w:p>
        </w:tc>
        <w:tc>
          <w:tcPr>
            <w:tcW w:w="440" w:type="dxa"/>
            <w:vAlign w:val="bottom"/>
            <w:vMerge w:val="restart"/>
          </w:tcPr>
          <w:p>
            <w:pPr>
              <w:jc w:val="right"/>
              <w:spacing w:after="0"/>
              <w:rPr>
                <w:sz w:val="20"/>
                <w:szCs w:val="20"/>
                <w:color w:val="auto"/>
              </w:rPr>
            </w:pPr>
            <w:r>
              <w:rPr>
                <w:rFonts w:ascii="Arial" w:cs="Arial" w:eastAsia="Arial" w:hAnsi="Arial"/>
                <w:sz w:val="18"/>
                <w:szCs w:val="18"/>
                <w:i w:val="1"/>
                <w:iCs w:val="1"/>
                <w:color w:val="3E3935"/>
              </w:rPr>
              <w:t>21</w:t>
            </w:r>
          </w:p>
        </w:tc>
        <w:tc>
          <w:tcPr>
            <w:tcW w:w="0" w:type="dxa"/>
            <w:vAlign w:val="bottom"/>
          </w:tcPr>
          <w:p>
            <w:pPr>
              <w:spacing w:after="0"/>
              <w:rPr>
                <w:sz w:val="1"/>
                <w:szCs w:val="1"/>
                <w:color w:val="auto"/>
              </w:rPr>
            </w:pPr>
          </w:p>
        </w:tc>
      </w:tr>
      <w:tr>
        <w:trPr>
          <w:trHeight w:val="183"/>
        </w:trPr>
        <w:tc>
          <w:tcPr>
            <w:tcW w:w="180" w:type="dxa"/>
            <w:vAlign w:val="bottom"/>
            <w:tcBorders>
              <w:top w:val="single" w:sz="8" w:color="0000EE"/>
            </w:tcBorders>
          </w:tcPr>
          <w:p>
            <w:pPr>
              <w:spacing w:after="0"/>
              <w:rPr>
                <w:sz w:val="15"/>
                <w:szCs w:val="15"/>
                <w:color w:val="auto"/>
              </w:rPr>
            </w:pPr>
          </w:p>
        </w:tc>
        <w:tc>
          <w:tcPr>
            <w:tcW w:w="4480" w:type="dxa"/>
            <w:vAlign w:val="bottom"/>
            <w:tcBorders>
              <w:top w:val="single" w:sz="8" w:color="0000EE"/>
            </w:tcBorders>
            <w:gridSpan w:val="34"/>
          </w:tcPr>
          <w:p>
            <w:pPr>
              <w:spacing w:after="0" w:line="182" w:lineRule="exact"/>
              <w:rPr>
                <w:sz w:val="20"/>
                <w:szCs w:val="20"/>
                <w:color w:val="auto"/>
              </w:rPr>
            </w:pPr>
            <w:r>
              <w:rPr>
                <w:rFonts w:ascii="Arial" w:cs="Arial" w:eastAsia="Arial" w:hAnsi="Arial"/>
                <w:sz w:val="18"/>
                <w:szCs w:val="18"/>
                <w:color w:val="0000EE"/>
              </w:rPr>
              <w:t>Planning</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vMerge w:val="restart"/>
          </w:tcPr>
          <w:p>
            <w:pPr>
              <w:jc w:val="right"/>
              <w:spacing w:after="0" w:line="202" w:lineRule="exact"/>
              <w:rPr>
                <w:sz w:val="20"/>
                <w:szCs w:val="20"/>
                <w:color w:val="auto"/>
              </w:rPr>
            </w:pPr>
            <w:r>
              <w:rPr>
                <w:rFonts w:ascii="Arial" w:cs="Arial" w:eastAsia="Arial" w:hAnsi="Arial"/>
                <w:sz w:val="18"/>
                <w:szCs w:val="18"/>
                <w:i w:val="1"/>
                <w:iCs w:val="1"/>
                <w:color w:val="3E3935"/>
              </w:rPr>
              <w:t>23</w:t>
            </w:r>
          </w:p>
        </w:tc>
        <w:tc>
          <w:tcPr>
            <w:tcW w:w="0" w:type="dxa"/>
            <w:vAlign w:val="bottom"/>
          </w:tcPr>
          <w:p>
            <w:pPr>
              <w:spacing w:after="0" w:line="20" w:lineRule="exact"/>
              <w:rPr>
                <w:sz w:val="1"/>
                <w:szCs w:val="1"/>
                <w:color w:val="auto"/>
              </w:rPr>
            </w:pPr>
          </w:p>
        </w:tc>
      </w:tr>
      <w:tr>
        <w:trPr>
          <w:trHeight w:val="183"/>
        </w:trPr>
        <w:tc>
          <w:tcPr>
            <w:tcW w:w="4840" w:type="dxa"/>
            <w:vAlign w:val="bottom"/>
            <w:gridSpan w:val="37"/>
          </w:tcPr>
          <w:p>
            <w:pPr>
              <w:spacing w:after="0" w:line="182" w:lineRule="exact"/>
              <w:rPr>
                <w:sz w:val="20"/>
                <w:szCs w:val="20"/>
                <w:color w:val="auto"/>
              </w:rPr>
            </w:pPr>
            <w:r>
              <w:rPr>
                <w:rFonts w:ascii="Arial" w:cs="Arial" w:eastAsia="Arial" w:hAnsi="Arial"/>
                <w:sz w:val="18"/>
                <w:szCs w:val="18"/>
                <w:color w:val="0000EE"/>
              </w:rPr>
              <w:t>Non-Employee Director Compensation</w:t>
            </w:r>
          </w:p>
        </w:tc>
        <w:tc>
          <w:tcPr>
            <w:tcW w:w="4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63"/>
        </w:trPr>
        <w:tc>
          <w:tcPr>
            <w:tcW w:w="3080" w:type="dxa"/>
            <w:vAlign w:val="bottom"/>
            <w:tcBorders>
              <w:top w:val="single" w:sz="8" w:color="0000EE"/>
            </w:tcBorders>
            <w:gridSpan w:val="18"/>
          </w:tcPr>
          <w:p>
            <w:pPr>
              <w:spacing w:after="0"/>
              <w:rPr>
                <w:sz w:val="20"/>
                <w:szCs w:val="20"/>
                <w:color w:val="auto"/>
              </w:rPr>
            </w:pPr>
            <w:r>
              <w:rPr>
                <w:rFonts w:ascii="Arial" w:cs="Arial" w:eastAsia="Arial" w:hAnsi="Arial"/>
                <w:sz w:val="18"/>
                <w:szCs w:val="18"/>
                <w:color w:val="0000EE"/>
              </w:rPr>
              <w:t>CORPORATE GOVERNANCE</w:t>
            </w:r>
          </w:p>
        </w:tc>
        <w:tc>
          <w:tcPr>
            <w:tcW w:w="1760" w:type="dxa"/>
            <w:vAlign w:val="bottom"/>
            <w:gridSpan w:val="19"/>
          </w:tcPr>
          <w:p>
            <w:pPr>
              <w:spacing w:after="0"/>
              <w:rPr>
                <w:sz w:val="22"/>
                <w:szCs w:val="22"/>
                <w:color w:val="auto"/>
              </w:rPr>
            </w:pPr>
          </w:p>
        </w:tc>
        <w:tc>
          <w:tcPr>
            <w:tcW w:w="440" w:type="dxa"/>
            <w:vAlign w:val="bottom"/>
          </w:tcPr>
          <w:p>
            <w:pPr>
              <w:jc w:val="right"/>
              <w:spacing w:after="0"/>
              <w:rPr>
                <w:sz w:val="20"/>
                <w:szCs w:val="20"/>
                <w:color w:val="auto"/>
              </w:rPr>
            </w:pPr>
            <w:r>
              <w:rPr>
                <w:rFonts w:ascii="Arial" w:cs="Arial" w:eastAsia="Arial" w:hAnsi="Arial"/>
                <w:sz w:val="18"/>
                <w:szCs w:val="18"/>
                <w:i w:val="1"/>
                <w:iCs w:val="1"/>
                <w:color w:val="00C1DE"/>
              </w:rPr>
              <w:t>28</w:t>
            </w:r>
          </w:p>
        </w:tc>
        <w:tc>
          <w:tcPr>
            <w:tcW w:w="0" w:type="dxa"/>
            <w:vAlign w:val="bottom"/>
          </w:tcPr>
          <w:p>
            <w:pPr>
              <w:spacing w:after="0"/>
              <w:rPr>
                <w:sz w:val="1"/>
                <w:szCs w:val="1"/>
                <w:color w:val="auto"/>
              </w:rPr>
            </w:pPr>
          </w:p>
        </w:tc>
      </w:tr>
      <w:tr>
        <w:trPr>
          <w:trHeight w:val="20"/>
        </w:trPr>
        <w:tc>
          <w:tcPr>
            <w:tcW w:w="180" w:type="dxa"/>
            <w:vAlign w:val="bottom"/>
            <w:tcBorders>
              <w:top w:val="single" w:sz="8" w:color="0000EE"/>
              <w:bottom w:val="single" w:sz="8" w:color="3E3935"/>
            </w:tcBorders>
          </w:tcPr>
          <w:p>
            <w:pPr>
              <w:spacing w:after="0" w:line="20" w:lineRule="exact"/>
              <w:rPr>
                <w:sz w:val="1"/>
                <w:szCs w:val="1"/>
                <w:color w:val="auto"/>
              </w:rPr>
            </w:pPr>
          </w:p>
        </w:tc>
        <w:tc>
          <w:tcPr>
            <w:tcW w:w="360" w:type="dxa"/>
            <w:vAlign w:val="bottom"/>
            <w:tcBorders>
              <w:top w:val="single" w:sz="8" w:color="0000EE"/>
              <w:bottom w:val="single" w:sz="8" w:color="3E3935"/>
            </w:tcBorders>
          </w:tcPr>
          <w:p>
            <w:pPr>
              <w:spacing w:after="0" w:line="20" w:lineRule="exact"/>
              <w:rPr>
                <w:sz w:val="1"/>
                <w:szCs w:val="1"/>
                <w:color w:val="auto"/>
              </w:rPr>
            </w:pPr>
          </w:p>
        </w:tc>
        <w:tc>
          <w:tcPr>
            <w:tcW w:w="340" w:type="dxa"/>
            <w:vAlign w:val="bottom"/>
            <w:tcBorders>
              <w:top w:val="single" w:sz="8" w:color="0000EE"/>
              <w:bottom w:val="single" w:sz="8" w:color="3E3935"/>
            </w:tcBorders>
          </w:tcPr>
          <w:p>
            <w:pPr>
              <w:spacing w:after="0" w:line="20" w:lineRule="exact"/>
              <w:rPr>
                <w:sz w:val="1"/>
                <w:szCs w:val="1"/>
                <w:color w:val="auto"/>
              </w:rPr>
            </w:pPr>
          </w:p>
        </w:tc>
        <w:tc>
          <w:tcPr>
            <w:tcW w:w="160" w:type="dxa"/>
            <w:vAlign w:val="bottom"/>
            <w:tcBorders>
              <w:top w:val="single" w:sz="8" w:color="0000EE"/>
              <w:bottom w:val="single" w:sz="8" w:color="3E3935"/>
            </w:tcBorders>
          </w:tcPr>
          <w:p>
            <w:pPr>
              <w:spacing w:after="0" w:line="20" w:lineRule="exact"/>
              <w:rPr>
                <w:sz w:val="1"/>
                <w:szCs w:val="1"/>
                <w:color w:val="auto"/>
              </w:rPr>
            </w:pPr>
          </w:p>
        </w:tc>
        <w:tc>
          <w:tcPr>
            <w:tcW w:w="100" w:type="dxa"/>
            <w:vAlign w:val="bottom"/>
            <w:tcBorders>
              <w:top w:val="single" w:sz="8" w:color="0000EE"/>
              <w:bottom w:val="single" w:sz="8" w:color="3E3935"/>
            </w:tcBorders>
          </w:tcPr>
          <w:p>
            <w:pPr>
              <w:spacing w:after="0" w:line="20" w:lineRule="exact"/>
              <w:rPr>
                <w:sz w:val="1"/>
                <w:szCs w:val="1"/>
                <w:color w:val="auto"/>
              </w:rPr>
            </w:pPr>
          </w:p>
        </w:tc>
        <w:tc>
          <w:tcPr>
            <w:tcW w:w="100" w:type="dxa"/>
            <w:vAlign w:val="bottom"/>
            <w:tcBorders>
              <w:top w:val="single" w:sz="8" w:color="0000EE"/>
              <w:bottom w:val="single" w:sz="8" w:color="3E3935"/>
            </w:tcBorders>
          </w:tcPr>
          <w:p>
            <w:pPr>
              <w:spacing w:after="0" w:line="20" w:lineRule="exact"/>
              <w:rPr>
                <w:sz w:val="1"/>
                <w:szCs w:val="1"/>
                <w:color w:val="auto"/>
              </w:rPr>
            </w:pPr>
          </w:p>
        </w:tc>
        <w:tc>
          <w:tcPr>
            <w:tcW w:w="260" w:type="dxa"/>
            <w:vAlign w:val="bottom"/>
            <w:tcBorders>
              <w:top w:val="single" w:sz="8" w:color="0000EE"/>
              <w:bottom w:val="single" w:sz="8" w:color="3E3935"/>
            </w:tcBorders>
          </w:tcPr>
          <w:p>
            <w:pPr>
              <w:spacing w:after="0" w:line="20" w:lineRule="exact"/>
              <w:rPr>
                <w:sz w:val="1"/>
                <w:szCs w:val="1"/>
                <w:color w:val="auto"/>
              </w:rPr>
            </w:pPr>
          </w:p>
        </w:tc>
        <w:tc>
          <w:tcPr>
            <w:tcW w:w="100" w:type="dxa"/>
            <w:vAlign w:val="bottom"/>
            <w:tcBorders>
              <w:top w:val="single" w:sz="8" w:color="0000EE"/>
              <w:bottom w:val="single" w:sz="8" w:color="3E3935"/>
            </w:tcBorders>
          </w:tcPr>
          <w:p>
            <w:pPr>
              <w:spacing w:after="0" w:line="20" w:lineRule="exact"/>
              <w:rPr>
                <w:sz w:val="1"/>
                <w:szCs w:val="1"/>
                <w:color w:val="auto"/>
              </w:rPr>
            </w:pPr>
          </w:p>
        </w:tc>
        <w:tc>
          <w:tcPr>
            <w:tcW w:w="220" w:type="dxa"/>
            <w:vAlign w:val="bottom"/>
            <w:tcBorders>
              <w:top w:val="single" w:sz="8" w:color="0000EE"/>
              <w:bottom w:val="single" w:sz="8" w:color="3E3935"/>
            </w:tcBorders>
          </w:tcPr>
          <w:p>
            <w:pPr>
              <w:spacing w:after="0" w:line="20" w:lineRule="exact"/>
              <w:rPr>
                <w:sz w:val="1"/>
                <w:szCs w:val="1"/>
                <w:color w:val="auto"/>
              </w:rPr>
            </w:pPr>
          </w:p>
        </w:tc>
        <w:tc>
          <w:tcPr>
            <w:tcW w:w="60" w:type="dxa"/>
            <w:vAlign w:val="bottom"/>
            <w:tcBorders>
              <w:top w:val="single" w:sz="8" w:color="0000EE"/>
              <w:bottom w:val="single" w:sz="8" w:color="3E3935"/>
            </w:tcBorders>
          </w:tcPr>
          <w:p>
            <w:pPr>
              <w:spacing w:after="0" w:line="20" w:lineRule="exact"/>
              <w:rPr>
                <w:sz w:val="1"/>
                <w:szCs w:val="1"/>
                <w:color w:val="auto"/>
              </w:rPr>
            </w:pPr>
          </w:p>
        </w:tc>
        <w:tc>
          <w:tcPr>
            <w:tcW w:w="80" w:type="dxa"/>
            <w:vAlign w:val="bottom"/>
            <w:tcBorders>
              <w:top w:val="single" w:sz="8" w:color="0000EE"/>
              <w:bottom w:val="single" w:sz="8" w:color="3E3935"/>
            </w:tcBorders>
          </w:tcPr>
          <w:p>
            <w:pPr>
              <w:spacing w:after="0" w:line="20" w:lineRule="exact"/>
              <w:rPr>
                <w:sz w:val="1"/>
                <w:szCs w:val="1"/>
                <w:color w:val="auto"/>
              </w:rPr>
            </w:pPr>
          </w:p>
        </w:tc>
        <w:tc>
          <w:tcPr>
            <w:tcW w:w="40" w:type="dxa"/>
            <w:vAlign w:val="bottom"/>
            <w:tcBorders>
              <w:top w:val="single" w:sz="8" w:color="0000EE"/>
              <w:bottom w:val="single" w:sz="8" w:color="3E3935"/>
            </w:tcBorders>
          </w:tcPr>
          <w:p>
            <w:pPr>
              <w:spacing w:after="0" w:line="20" w:lineRule="exact"/>
              <w:rPr>
                <w:sz w:val="1"/>
                <w:szCs w:val="1"/>
                <w:color w:val="auto"/>
              </w:rPr>
            </w:pPr>
          </w:p>
        </w:tc>
        <w:tc>
          <w:tcPr>
            <w:tcW w:w="200" w:type="dxa"/>
            <w:vAlign w:val="bottom"/>
            <w:tcBorders>
              <w:top w:val="single" w:sz="8" w:color="0000EE"/>
              <w:bottom w:val="single" w:sz="8" w:color="3E3935"/>
            </w:tcBorders>
          </w:tcPr>
          <w:p>
            <w:pPr>
              <w:spacing w:after="0" w:line="20" w:lineRule="exact"/>
              <w:rPr>
                <w:sz w:val="1"/>
                <w:szCs w:val="1"/>
                <w:color w:val="auto"/>
              </w:rPr>
            </w:pPr>
          </w:p>
        </w:tc>
        <w:tc>
          <w:tcPr>
            <w:tcW w:w="260" w:type="dxa"/>
            <w:vAlign w:val="bottom"/>
            <w:tcBorders>
              <w:top w:val="single" w:sz="8" w:color="0000EE"/>
              <w:bottom w:val="single" w:sz="8" w:color="3E3935"/>
            </w:tcBorders>
          </w:tcPr>
          <w:p>
            <w:pPr>
              <w:spacing w:after="0" w:line="20" w:lineRule="exact"/>
              <w:rPr>
                <w:sz w:val="1"/>
                <w:szCs w:val="1"/>
                <w:color w:val="auto"/>
              </w:rPr>
            </w:pPr>
          </w:p>
        </w:tc>
        <w:tc>
          <w:tcPr>
            <w:tcW w:w="120" w:type="dxa"/>
            <w:vAlign w:val="bottom"/>
            <w:tcBorders>
              <w:bottom w:val="single" w:sz="8" w:color="3E3935"/>
            </w:tcBorders>
          </w:tcPr>
          <w:p>
            <w:pPr>
              <w:spacing w:after="0" w:line="20" w:lineRule="exact"/>
              <w:rPr>
                <w:sz w:val="1"/>
                <w:szCs w:val="1"/>
                <w:color w:val="auto"/>
              </w:rPr>
            </w:pPr>
          </w:p>
        </w:tc>
        <w:tc>
          <w:tcPr>
            <w:tcW w:w="20" w:type="dxa"/>
            <w:vAlign w:val="bottom"/>
            <w:tcBorders>
              <w:bottom w:val="single" w:sz="8" w:color="3E3935"/>
            </w:tcBorders>
          </w:tcPr>
          <w:p>
            <w:pPr>
              <w:spacing w:after="0" w:line="20" w:lineRule="exact"/>
              <w:rPr>
                <w:sz w:val="1"/>
                <w:szCs w:val="1"/>
                <w:color w:val="auto"/>
              </w:rPr>
            </w:pPr>
          </w:p>
        </w:tc>
        <w:tc>
          <w:tcPr>
            <w:tcW w:w="80" w:type="dxa"/>
            <w:vAlign w:val="bottom"/>
            <w:tcBorders>
              <w:bottom w:val="single" w:sz="8" w:color="3E3935"/>
            </w:tcBorders>
          </w:tcPr>
          <w:p>
            <w:pPr>
              <w:spacing w:after="0" w:line="20" w:lineRule="exact"/>
              <w:rPr>
                <w:sz w:val="1"/>
                <w:szCs w:val="1"/>
                <w:color w:val="auto"/>
              </w:rPr>
            </w:pPr>
          </w:p>
        </w:tc>
        <w:tc>
          <w:tcPr>
            <w:tcW w:w="400" w:type="dxa"/>
            <w:vAlign w:val="bottom"/>
            <w:tcBorders>
              <w:bottom w:val="single" w:sz="8" w:color="3E3935"/>
            </w:tcBorders>
          </w:tcPr>
          <w:p>
            <w:pPr>
              <w:spacing w:after="0" w:line="20" w:lineRule="exact"/>
              <w:rPr>
                <w:sz w:val="1"/>
                <w:szCs w:val="1"/>
                <w:color w:val="auto"/>
              </w:rPr>
            </w:pPr>
          </w:p>
        </w:tc>
        <w:tc>
          <w:tcPr>
            <w:tcW w:w="100" w:type="dxa"/>
            <w:vAlign w:val="bottom"/>
            <w:tcBorders>
              <w:bottom w:val="single" w:sz="8" w:color="3E3935"/>
            </w:tcBorders>
          </w:tcPr>
          <w:p>
            <w:pPr>
              <w:spacing w:after="0" w:line="20" w:lineRule="exact"/>
              <w:rPr>
                <w:sz w:val="1"/>
                <w:szCs w:val="1"/>
                <w:color w:val="auto"/>
              </w:rPr>
            </w:pPr>
          </w:p>
        </w:tc>
        <w:tc>
          <w:tcPr>
            <w:tcW w:w="160" w:type="dxa"/>
            <w:vAlign w:val="bottom"/>
            <w:tcBorders>
              <w:bottom w:val="single" w:sz="8" w:color="3E3935"/>
            </w:tcBorders>
          </w:tcPr>
          <w:p>
            <w:pPr>
              <w:spacing w:after="0" w:line="20" w:lineRule="exact"/>
              <w:rPr>
                <w:sz w:val="1"/>
                <w:szCs w:val="1"/>
                <w:color w:val="auto"/>
              </w:rPr>
            </w:pPr>
          </w:p>
        </w:tc>
        <w:tc>
          <w:tcPr>
            <w:tcW w:w="20" w:type="dxa"/>
            <w:vAlign w:val="bottom"/>
            <w:tcBorders>
              <w:bottom w:val="single" w:sz="8" w:color="3E3935"/>
            </w:tcBorders>
          </w:tcPr>
          <w:p>
            <w:pPr>
              <w:spacing w:after="0" w:line="20" w:lineRule="exact"/>
              <w:rPr>
                <w:sz w:val="1"/>
                <w:szCs w:val="1"/>
                <w:color w:val="auto"/>
              </w:rPr>
            </w:pPr>
          </w:p>
        </w:tc>
        <w:tc>
          <w:tcPr>
            <w:tcW w:w="240" w:type="dxa"/>
            <w:vAlign w:val="bottom"/>
            <w:tcBorders>
              <w:bottom w:val="single" w:sz="8" w:color="3E3935"/>
            </w:tcBorders>
          </w:tcPr>
          <w:p>
            <w:pPr>
              <w:spacing w:after="0" w:line="20" w:lineRule="exact"/>
              <w:rPr>
                <w:sz w:val="1"/>
                <w:szCs w:val="1"/>
                <w:color w:val="auto"/>
              </w:rPr>
            </w:pPr>
          </w:p>
        </w:tc>
        <w:tc>
          <w:tcPr>
            <w:tcW w:w="120" w:type="dxa"/>
            <w:vAlign w:val="bottom"/>
            <w:tcBorders>
              <w:bottom w:val="single" w:sz="8" w:color="3E3935"/>
            </w:tcBorders>
          </w:tcPr>
          <w:p>
            <w:pPr>
              <w:spacing w:after="0" w:line="20" w:lineRule="exact"/>
              <w:rPr>
                <w:sz w:val="1"/>
                <w:szCs w:val="1"/>
                <w:color w:val="auto"/>
              </w:rPr>
            </w:pPr>
          </w:p>
        </w:tc>
        <w:tc>
          <w:tcPr>
            <w:tcW w:w="80" w:type="dxa"/>
            <w:vAlign w:val="bottom"/>
            <w:tcBorders>
              <w:bottom w:val="single" w:sz="8" w:color="3E3935"/>
            </w:tcBorders>
          </w:tcPr>
          <w:p>
            <w:pPr>
              <w:spacing w:after="0" w:line="20" w:lineRule="exact"/>
              <w:rPr>
                <w:sz w:val="1"/>
                <w:szCs w:val="1"/>
                <w:color w:val="auto"/>
              </w:rPr>
            </w:pPr>
          </w:p>
        </w:tc>
        <w:tc>
          <w:tcPr>
            <w:tcW w:w="140" w:type="dxa"/>
            <w:vAlign w:val="bottom"/>
            <w:tcBorders>
              <w:bottom w:val="single" w:sz="8" w:color="3E3935"/>
            </w:tcBorders>
          </w:tcPr>
          <w:p>
            <w:pPr>
              <w:spacing w:after="0" w:line="20" w:lineRule="exact"/>
              <w:rPr>
                <w:sz w:val="1"/>
                <w:szCs w:val="1"/>
                <w:color w:val="auto"/>
              </w:rPr>
            </w:pPr>
          </w:p>
        </w:tc>
        <w:tc>
          <w:tcPr>
            <w:tcW w:w="20" w:type="dxa"/>
            <w:vAlign w:val="bottom"/>
            <w:tcBorders>
              <w:bottom w:val="single" w:sz="8" w:color="3E3935"/>
            </w:tcBorders>
          </w:tcPr>
          <w:p>
            <w:pPr>
              <w:spacing w:after="0" w:line="20" w:lineRule="exact"/>
              <w:rPr>
                <w:sz w:val="1"/>
                <w:szCs w:val="1"/>
                <w:color w:val="auto"/>
              </w:rPr>
            </w:pPr>
          </w:p>
        </w:tc>
        <w:tc>
          <w:tcPr>
            <w:tcW w:w="100" w:type="dxa"/>
            <w:vAlign w:val="bottom"/>
            <w:tcBorders>
              <w:bottom w:val="single" w:sz="8" w:color="3E3935"/>
            </w:tcBorders>
          </w:tcPr>
          <w:p>
            <w:pPr>
              <w:spacing w:after="0" w:line="20" w:lineRule="exact"/>
              <w:rPr>
                <w:sz w:val="1"/>
                <w:szCs w:val="1"/>
                <w:color w:val="auto"/>
              </w:rPr>
            </w:pPr>
          </w:p>
        </w:tc>
        <w:tc>
          <w:tcPr>
            <w:tcW w:w="20" w:type="dxa"/>
            <w:vAlign w:val="bottom"/>
            <w:tcBorders>
              <w:bottom w:val="single" w:sz="8" w:color="3E3935"/>
            </w:tcBorders>
          </w:tcPr>
          <w:p>
            <w:pPr>
              <w:spacing w:after="0" w:line="20" w:lineRule="exact"/>
              <w:rPr>
                <w:sz w:val="1"/>
                <w:szCs w:val="1"/>
                <w:color w:val="auto"/>
              </w:rPr>
            </w:pPr>
          </w:p>
        </w:tc>
        <w:tc>
          <w:tcPr>
            <w:tcW w:w="200" w:type="dxa"/>
            <w:vAlign w:val="bottom"/>
            <w:tcBorders>
              <w:bottom w:val="single" w:sz="8" w:color="3E3935"/>
            </w:tcBorders>
          </w:tcPr>
          <w:p>
            <w:pPr>
              <w:spacing w:after="0" w:line="20" w:lineRule="exact"/>
              <w:rPr>
                <w:sz w:val="1"/>
                <w:szCs w:val="1"/>
                <w:color w:val="auto"/>
              </w:rPr>
            </w:pPr>
          </w:p>
        </w:tc>
        <w:tc>
          <w:tcPr>
            <w:tcW w:w="20" w:type="dxa"/>
            <w:vAlign w:val="bottom"/>
            <w:tcBorders>
              <w:bottom w:val="single" w:sz="8" w:color="3E3935"/>
            </w:tcBorders>
          </w:tcPr>
          <w:p>
            <w:pPr>
              <w:spacing w:after="0" w:line="20" w:lineRule="exact"/>
              <w:rPr>
                <w:sz w:val="1"/>
                <w:szCs w:val="1"/>
                <w:color w:val="auto"/>
              </w:rPr>
            </w:pPr>
          </w:p>
        </w:tc>
        <w:tc>
          <w:tcPr>
            <w:tcW w:w="60" w:type="dxa"/>
            <w:vAlign w:val="bottom"/>
            <w:tcBorders>
              <w:bottom w:val="single" w:sz="8" w:color="3E3935"/>
            </w:tcBorders>
          </w:tcPr>
          <w:p>
            <w:pPr>
              <w:spacing w:after="0" w:line="20" w:lineRule="exact"/>
              <w:rPr>
                <w:sz w:val="1"/>
                <w:szCs w:val="1"/>
                <w:color w:val="auto"/>
              </w:rPr>
            </w:pPr>
          </w:p>
        </w:tc>
        <w:tc>
          <w:tcPr>
            <w:tcW w:w="40" w:type="dxa"/>
            <w:vAlign w:val="bottom"/>
            <w:tcBorders>
              <w:bottom w:val="single" w:sz="8" w:color="3E3935"/>
            </w:tcBorders>
          </w:tcPr>
          <w:p>
            <w:pPr>
              <w:spacing w:after="0" w:line="20" w:lineRule="exact"/>
              <w:rPr>
                <w:sz w:val="1"/>
                <w:szCs w:val="1"/>
                <w:color w:val="auto"/>
              </w:rPr>
            </w:pPr>
          </w:p>
        </w:tc>
        <w:tc>
          <w:tcPr>
            <w:tcW w:w="60" w:type="dxa"/>
            <w:vAlign w:val="bottom"/>
            <w:tcBorders>
              <w:bottom w:val="single" w:sz="8" w:color="3E3935"/>
            </w:tcBorders>
          </w:tcPr>
          <w:p>
            <w:pPr>
              <w:spacing w:after="0" w:line="20" w:lineRule="exact"/>
              <w:rPr>
                <w:sz w:val="1"/>
                <w:szCs w:val="1"/>
                <w:color w:val="auto"/>
              </w:rPr>
            </w:pPr>
          </w:p>
        </w:tc>
        <w:tc>
          <w:tcPr>
            <w:tcW w:w="180" w:type="dxa"/>
            <w:vAlign w:val="bottom"/>
            <w:tcBorders>
              <w:bottom w:val="single" w:sz="8" w:color="3E3935"/>
            </w:tcBorders>
          </w:tcPr>
          <w:p>
            <w:pPr>
              <w:spacing w:after="0" w:line="20" w:lineRule="exact"/>
              <w:rPr>
                <w:sz w:val="1"/>
                <w:szCs w:val="1"/>
                <w:color w:val="auto"/>
              </w:rPr>
            </w:pPr>
          </w:p>
        </w:tc>
        <w:tc>
          <w:tcPr>
            <w:tcW w:w="20" w:type="dxa"/>
            <w:vAlign w:val="bottom"/>
            <w:tcBorders>
              <w:bottom w:val="single" w:sz="8" w:color="3E3935"/>
            </w:tcBorders>
          </w:tcPr>
          <w:p>
            <w:pPr>
              <w:spacing w:after="0" w:line="20" w:lineRule="exact"/>
              <w:rPr>
                <w:sz w:val="1"/>
                <w:szCs w:val="1"/>
                <w:color w:val="auto"/>
              </w:rPr>
            </w:pPr>
          </w:p>
        </w:tc>
        <w:tc>
          <w:tcPr>
            <w:tcW w:w="20" w:type="dxa"/>
            <w:vAlign w:val="bottom"/>
            <w:tcBorders>
              <w:bottom w:val="single" w:sz="8" w:color="3E3935"/>
            </w:tcBorders>
          </w:tcPr>
          <w:p>
            <w:pPr>
              <w:spacing w:after="0" w:line="20" w:lineRule="exact"/>
              <w:rPr>
                <w:sz w:val="1"/>
                <w:szCs w:val="1"/>
                <w:color w:val="auto"/>
              </w:rPr>
            </w:pPr>
          </w:p>
        </w:tc>
        <w:tc>
          <w:tcPr>
            <w:tcW w:w="160" w:type="dxa"/>
            <w:vAlign w:val="bottom"/>
            <w:tcBorders>
              <w:bottom w:val="single" w:sz="8" w:color="3E3935"/>
            </w:tcBorders>
          </w:tcPr>
          <w:p>
            <w:pPr>
              <w:spacing w:after="0" w:line="20" w:lineRule="exact"/>
              <w:rPr>
                <w:sz w:val="1"/>
                <w:szCs w:val="1"/>
                <w:color w:val="auto"/>
              </w:rPr>
            </w:pPr>
          </w:p>
        </w:tc>
        <w:tc>
          <w:tcPr>
            <w:tcW w:w="440" w:type="dxa"/>
            <w:vAlign w:val="bottom"/>
            <w:tcBorders>
              <w:bottom w:val="single" w:sz="8" w:color="3E3935"/>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820" w:type="dxa"/>
            <w:vAlign w:val="bottom"/>
            <w:tcBorders>
              <w:bottom w:val="single" w:sz="8" w:color="0000EE"/>
            </w:tcBorders>
            <w:gridSpan w:val="9"/>
          </w:tcPr>
          <w:p>
            <w:pPr>
              <w:spacing w:after="0" w:line="156" w:lineRule="exact"/>
              <w:rPr>
                <w:sz w:val="20"/>
                <w:szCs w:val="20"/>
                <w:color w:val="auto"/>
              </w:rPr>
            </w:pPr>
            <w:r>
              <w:rPr>
                <w:rFonts w:ascii="Arial" w:cs="Arial" w:eastAsia="Arial" w:hAnsi="Arial"/>
                <w:sz w:val="18"/>
                <w:szCs w:val="18"/>
                <w:color w:val="0000EE"/>
                <w:w w:val="99"/>
              </w:rPr>
              <w:t>The Board of Directors</w:t>
            </w:r>
          </w:p>
        </w:tc>
        <w:tc>
          <w:tcPr>
            <w:tcW w:w="3020" w:type="dxa"/>
            <w:vAlign w:val="bottom"/>
            <w:gridSpan w:val="28"/>
          </w:tcPr>
          <w:p>
            <w:pPr>
              <w:spacing w:after="0"/>
              <w:rPr>
                <w:sz w:val="13"/>
                <w:szCs w:val="13"/>
                <w:color w:val="auto"/>
              </w:rPr>
            </w:pPr>
          </w:p>
        </w:tc>
        <w:tc>
          <w:tcPr>
            <w:tcW w:w="440" w:type="dxa"/>
            <w:vAlign w:val="bottom"/>
          </w:tcPr>
          <w:p>
            <w:pPr>
              <w:jc w:val="right"/>
              <w:spacing w:after="0" w:line="156" w:lineRule="exact"/>
              <w:rPr>
                <w:sz w:val="20"/>
                <w:szCs w:val="20"/>
                <w:color w:val="auto"/>
              </w:rPr>
            </w:pPr>
            <w:r>
              <w:rPr>
                <w:rFonts w:ascii="Arial" w:cs="Arial" w:eastAsia="Arial" w:hAnsi="Arial"/>
                <w:sz w:val="18"/>
                <w:szCs w:val="18"/>
                <w:i w:val="1"/>
                <w:iCs w:val="1"/>
                <w:color w:val="3E3935"/>
              </w:rPr>
              <w:t>28</w:t>
            </w:r>
          </w:p>
        </w:tc>
        <w:tc>
          <w:tcPr>
            <w:tcW w:w="0" w:type="dxa"/>
            <w:vAlign w:val="bottom"/>
          </w:tcPr>
          <w:p>
            <w:pPr>
              <w:spacing w:after="0"/>
              <w:rPr>
                <w:sz w:val="1"/>
                <w:szCs w:val="1"/>
                <w:color w:val="auto"/>
              </w:rPr>
            </w:pPr>
          </w:p>
        </w:tc>
      </w:tr>
      <w:tr>
        <w:trPr>
          <w:trHeight w:val="183"/>
        </w:trPr>
        <w:tc>
          <w:tcPr>
            <w:tcW w:w="4840" w:type="dxa"/>
            <w:vAlign w:val="bottom"/>
            <w:gridSpan w:val="37"/>
          </w:tcPr>
          <w:p>
            <w:pPr>
              <w:spacing w:after="0" w:line="182" w:lineRule="exact"/>
              <w:rPr>
                <w:sz w:val="20"/>
                <w:szCs w:val="20"/>
                <w:color w:val="auto"/>
              </w:rPr>
            </w:pPr>
            <w:r>
              <w:rPr>
                <w:rFonts w:ascii="Arial" w:cs="Arial" w:eastAsia="Arial" w:hAnsi="Arial"/>
                <w:sz w:val="18"/>
                <w:szCs w:val="18"/>
                <w:color w:val="0000EE"/>
              </w:rPr>
              <w:t>Board Leadership Structure and Composition</w:t>
            </w:r>
          </w:p>
        </w:tc>
        <w:tc>
          <w:tcPr>
            <w:tcW w:w="440" w:type="dxa"/>
            <w:vAlign w:val="bottom"/>
          </w:tcPr>
          <w:p>
            <w:pPr>
              <w:jc w:val="right"/>
              <w:spacing w:after="0" w:line="182" w:lineRule="exact"/>
              <w:rPr>
                <w:sz w:val="20"/>
                <w:szCs w:val="20"/>
                <w:color w:val="auto"/>
              </w:rPr>
            </w:pPr>
            <w:r>
              <w:rPr>
                <w:rFonts w:ascii="Arial" w:cs="Arial" w:eastAsia="Arial" w:hAnsi="Arial"/>
                <w:sz w:val="18"/>
                <w:szCs w:val="18"/>
                <w:i w:val="1"/>
                <w:iCs w:val="1"/>
                <w:color w:val="3E3935"/>
              </w:rPr>
              <w:t>29</w:t>
            </w:r>
          </w:p>
        </w:tc>
        <w:tc>
          <w:tcPr>
            <w:tcW w:w="0" w:type="dxa"/>
            <w:vAlign w:val="bottom"/>
          </w:tcPr>
          <w:p>
            <w:pPr>
              <w:spacing w:after="0"/>
              <w:rPr>
                <w:sz w:val="1"/>
                <w:szCs w:val="1"/>
                <w:color w:val="auto"/>
              </w:rPr>
            </w:pPr>
          </w:p>
        </w:tc>
      </w:tr>
      <w:tr>
        <w:trPr>
          <w:trHeight w:val="183"/>
        </w:trPr>
        <w:tc>
          <w:tcPr>
            <w:tcW w:w="1500" w:type="dxa"/>
            <w:vAlign w:val="bottom"/>
            <w:tcBorders>
              <w:top w:val="single" w:sz="8" w:color="0000EE"/>
              <w:bottom w:val="single" w:sz="8" w:color="0000EE"/>
            </w:tcBorders>
            <w:gridSpan w:val="7"/>
          </w:tcPr>
          <w:p>
            <w:pPr>
              <w:spacing w:after="0" w:line="182" w:lineRule="exact"/>
              <w:rPr>
                <w:sz w:val="20"/>
                <w:szCs w:val="20"/>
                <w:color w:val="auto"/>
              </w:rPr>
            </w:pPr>
            <w:r>
              <w:rPr>
                <w:rFonts w:ascii="Arial" w:cs="Arial" w:eastAsia="Arial" w:hAnsi="Arial"/>
                <w:sz w:val="18"/>
                <w:szCs w:val="18"/>
                <w:color w:val="0000EE"/>
                <w:w w:val="99"/>
              </w:rPr>
              <w:t>Board Committees</w:t>
            </w:r>
          </w:p>
        </w:tc>
        <w:tc>
          <w:tcPr>
            <w:tcW w:w="2100" w:type="dxa"/>
            <w:vAlign w:val="bottom"/>
            <w:tcBorders>
              <w:top w:val="single" w:sz="8" w:color="0000EE"/>
            </w:tcBorders>
            <w:gridSpan w:val="15"/>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gridSpan w:val="2"/>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160" w:type="dxa"/>
            <w:vAlign w:val="bottom"/>
          </w:tcPr>
          <w:p>
            <w:pPr>
              <w:spacing w:after="0"/>
              <w:rPr>
                <w:sz w:val="15"/>
                <w:szCs w:val="15"/>
                <w:color w:val="auto"/>
              </w:rPr>
            </w:pPr>
          </w:p>
        </w:tc>
        <w:tc>
          <w:tcPr>
            <w:tcW w:w="440" w:type="dxa"/>
            <w:vAlign w:val="bottom"/>
          </w:tcPr>
          <w:p>
            <w:pPr>
              <w:jc w:val="right"/>
              <w:spacing w:after="0" w:line="182" w:lineRule="exact"/>
              <w:rPr>
                <w:sz w:val="20"/>
                <w:szCs w:val="20"/>
                <w:color w:val="auto"/>
              </w:rPr>
            </w:pPr>
            <w:r>
              <w:rPr>
                <w:rFonts w:ascii="Arial" w:cs="Arial" w:eastAsia="Arial" w:hAnsi="Arial"/>
                <w:sz w:val="18"/>
                <w:szCs w:val="18"/>
                <w:i w:val="1"/>
                <w:iCs w:val="1"/>
                <w:color w:val="3E3935"/>
              </w:rPr>
              <w:t>30</w:t>
            </w:r>
          </w:p>
        </w:tc>
        <w:tc>
          <w:tcPr>
            <w:tcW w:w="0" w:type="dxa"/>
            <w:vAlign w:val="bottom"/>
          </w:tcPr>
          <w:p>
            <w:pPr>
              <w:spacing w:after="0"/>
              <w:rPr>
                <w:sz w:val="1"/>
                <w:szCs w:val="1"/>
                <w:color w:val="auto"/>
              </w:rPr>
            </w:pPr>
          </w:p>
        </w:tc>
      </w:tr>
      <w:tr>
        <w:trPr>
          <w:trHeight w:val="183"/>
        </w:trPr>
        <w:tc>
          <w:tcPr>
            <w:tcW w:w="4840" w:type="dxa"/>
            <w:vAlign w:val="bottom"/>
            <w:gridSpan w:val="37"/>
          </w:tcPr>
          <w:p>
            <w:pPr>
              <w:spacing w:after="0" w:line="182" w:lineRule="exact"/>
              <w:rPr>
                <w:sz w:val="20"/>
                <w:szCs w:val="20"/>
                <w:color w:val="auto"/>
              </w:rPr>
            </w:pPr>
            <w:r>
              <w:rPr>
                <w:rFonts w:ascii="Arial" w:cs="Arial" w:eastAsia="Arial" w:hAnsi="Arial"/>
                <w:sz w:val="18"/>
                <w:szCs w:val="18"/>
                <w:color w:val="0000EE"/>
              </w:rPr>
              <w:t>Board and Committee Oversight of Risk</w:t>
            </w:r>
          </w:p>
        </w:tc>
        <w:tc>
          <w:tcPr>
            <w:tcW w:w="440" w:type="dxa"/>
            <w:vAlign w:val="bottom"/>
          </w:tcPr>
          <w:p>
            <w:pPr>
              <w:jc w:val="right"/>
              <w:spacing w:after="0" w:line="182" w:lineRule="exact"/>
              <w:rPr>
                <w:sz w:val="20"/>
                <w:szCs w:val="20"/>
                <w:color w:val="auto"/>
              </w:rPr>
            </w:pPr>
            <w:r>
              <w:rPr>
                <w:rFonts w:ascii="Arial" w:cs="Arial" w:eastAsia="Arial" w:hAnsi="Arial"/>
                <w:sz w:val="18"/>
                <w:szCs w:val="18"/>
                <w:i w:val="1"/>
                <w:iCs w:val="1"/>
                <w:color w:val="3E3935"/>
              </w:rPr>
              <w:t>34</w:t>
            </w:r>
          </w:p>
        </w:tc>
        <w:tc>
          <w:tcPr>
            <w:tcW w:w="0" w:type="dxa"/>
            <w:vAlign w:val="bottom"/>
          </w:tcPr>
          <w:p>
            <w:pPr>
              <w:spacing w:after="0"/>
              <w:rPr>
                <w:sz w:val="1"/>
                <w:szCs w:val="1"/>
                <w:color w:val="auto"/>
              </w:rPr>
            </w:pPr>
          </w:p>
        </w:tc>
      </w:tr>
      <w:tr>
        <w:trPr>
          <w:trHeight w:val="183"/>
        </w:trPr>
        <w:tc>
          <w:tcPr>
            <w:tcW w:w="3180" w:type="dxa"/>
            <w:vAlign w:val="bottom"/>
            <w:tcBorders>
              <w:top w:val="single" w:sz="8" w:color="0000EE"/>
            </w:tcBorders>
            <w:gridSpan w:val="19"/>
          </w:tcPr>
          <w:p>
            <w:pPr>
              <w:spacing w:after="0" w:line="182" w:lineRule="exact"/>
              <w:rPr>
                <w:sz w:val="20"/>
                <w:szCs w:val="20"/>
                <w:color w:val="auto"/>
              </w:rPr>
            </w:pPr>
            <w:r>
              <w:rPr>
                <w:rFonts w:ascii="Arial" w:cs="Arial" w:eastAsia="Arial" w:hAnsi="Arial"/>
                <w:sz w:val="18"/>
                <w:szCs w:val="18"/>
                <w:color w:val="0000EE"/>
              </w:rPr>
              <w:t>The Board’s Governance Policies and</w:t>
            </w:r>
          </w:p>
        </w:tc>
        <w:tc>
          <w:tcPr>
            <w:tcW w:w="1660" w:type="dxa"/>
            <w:vAlign w:val="bottom"/>
            <w:gridSpan w:val="18"/>
          </w:tcPr>
          <w:p>
            <w:pPr>
              <w:spacing w:after="0" w:line="182" w:lineRule="exact"/>
              <w:rPr>
                <w:sz w:val="20"/>
                <w:szCs w:val="20"/>
                <w:color w:val="auto"/>
              </w:rPr>
            </w:pPr>
            <w:r>
              <w:rPr>
                <w:rFonts w:ascii="Arial" w:cs="Arial" w:eastAsia="Arial" w:hAnsi="Arial"/>
                <w:sz w:val="18"/>
                <w:szCs w:val="18"/>
                <w:color w:val="0000EE"/>
              </w:rPr>
              <w:t>Practices</w:t>
            </w:r>
          </w:p>
        </w:tc>
        <w:tc>
          <w:tcPr>
            <w:tcW w:w="440" w:type="dxa"/>
            <w:vAlign w:val="bottom"/>
          </w:tcPr>
          <w:p>
            <w:pPr>
              <w:jc w:val="right"/>
              <w:spacing w:after="0" w:line="182" w:lineRule="exact"/>
              <w:rPr>
                <w:sz w:val="20"/>
                <w:szCs w:val="20"/>
                <w:color w:val="auto"/>
              </w:rPr>
            </w:pPr>
            <w:r>
              <w:rPr>
                <w:rFonts w:ascii="Arial" w:cs="Arial" w:eastAsia="Arial" w:hAnsi="Arial"/>
                <w:sz w:val="18"/>
                <w:szCs w:val="18"/>
                <w:i w:val="1"/>
                <w:iCs w:val="1"/>
                <w:color w:val="3E3935"/>
              </w:rPr>
              <w:t>37</w:t>
            </w:r>
          </w:p>
        </w:tc>
        <w:tc>
          <w:tcPr>
            <w:tcW w:w="0" w:type="dxa"/>
            <w:vAlign w:val="bottom"/>
          </w:tcPr>
          <w:p>
            <w:pPr>
              <w:spacing w:after="0"/>
              <w:rPr>
                <w:sz w:val="1"/>
                <w:szCs w:val="1"/>
                <w:color w:val="auto"/>
              </w:rPr>
            </w:pPr>
          </w:p>
        </w:tc>
      </w:tr>
      <w:tr>
        <w:trPr>
          <w:trHeight w:val="183"/>
        </w:trPr>
        <w:tc>
          <w:tcPr>
            <w:tcW w:w="3800" w:type="dxa"/>
            <w:vAlign w:val="bottom"/>
            <w:tcBorders>
              <w:top w:val="single" w:sz="8" w:color="0000EE"/>
            </w:tcBorders>
            <w:gridSpan w:val="24"/>
          </w:tcPr>
          <w:p>
            <w:pPr>
              <w:spacing w:after="0" w:line="182" w:lineRule="exact"/>
              <w:rPr>
                <w:sz w:val="20"/>
                <w:szCs w:val="20"/>
                <w:color w:val="auto"/>
              </w:rPr>
            </w:pPr>
            <w:r>
              <w:rPr>
                <w:rFonts w:ascii="Arial" w:cs="Arial" w:eastAsia="Arial" w:hAnsi="Arial"/>
                <w:sz w:val="18"/>
                <w:szCs w:val="18"/>
                <w:color w:val="0000EE"/>
              </w:rPr>
              <w:t>Corporate Political Contributions and Lobbying</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gridSpan w:val="2"/>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160" w:type="dxa"/>
            <w:vAlign w:val="bottom"/>
          </w:tcPr>
          <w:p>
            <w:pPr>
              <w:spacing w:after="0"/>
              <w:rPr>
                <w:sz w:val="15"/>
                <w:szCs w:val="15"/>
                <w:color w:val="auto"/>
              </w:rPr>
            </w:pPr>
          </w:p>
        </w:tc>
        <w:tc>
          <w:tcPr>
            <w:tcW w:w="440" w:type="dxa"/>
            <w:vAlign w:val="bottom"/>
            <w:vMerge w:val="restart"/>
          </w:tcPr>
          <w:p>
            <w:pPr>
              <w:jc w:val="right"/>
              <w:spacing w:after="0"/>
              <w:rPr>
                <w:sz w:val="20"/>
                <w:szCs w:val="20"/>
                <w:color w:val="auto"/>
              </w:rPr>
            </w:pPr>
            <w:r>
              <w:rPr>
                <w:rFonts w:ascii="Arial" w:cs="Arial" w:eastAsia="Arial" w:hAnsi="Arial"/>
                <w:sz w:val="18"/>
                <w:szCs w:val="18"/>
                <w:i w:val="1"/>
                <w:iCs w:val="1"/>
                <w:color w:val="3E3935"/>
              </w:rPr>
              <w:t>41</w:t>
            </w:r>
          </w:p>
        </w:tc>
        <w:tc>
          <w:tcPr>
            <w:tcW w:w="0" w:type="dxa"/>
            <w:vAlign w:val="bottom"/>
          </w:tcPr>
          <w:p>
            <w:pPr>
              <w:spacing w:after="0"/>
              <w:rPr>
                <w:sz w:val="1"/>
                <w:szCs w:val="1"/>
                <w:color w:val="auto"/>
              </w:rPr>
            </w:pPr>
          </w:p>
        </w:tc>
      </w:tr>
      <w:tr>
        <w:trPr>
          <w:trHeight w:val="183"/>
        </w:trPr>
        <w:tc>
          <w:tcPr>
            <w:tcW w:w="180" w:type="dxa"/>
            <w:vAlign w:val="bottom"/>
            <w:tcBorders>
              <w:top w:val="single" w:sz="8" w:color="0000EE"/>
            </w:tcBorders>
          </w:tcPr>
          <w:p>
            <w:pPr>
              <w:spacing w:after="0"/>
              <w:rPr>
                <w:sz w:val="15"/>
                <w:szCs w:val="15"/>
                <w:color w:val="auto"/>
              </w:rPr>
            </w:pPr>
          </w:p>
        </w:tc>
        <w:tc>
          <w:tcPr>
            <w:tcW w:w="1060" w:type="dxa"/>
            <w:vAlign w:val="bottom"/>
            <w:tcBorders>
              <w:top w:val="single" w:sz="8" w:color="0000EE"/>
              <w:bottom w:val="single" w:sz="8" w:color="0000EE"/>
            </w:tcBorders>
            <w:gridSpan w:val="5"/>
          </w:tcPr>
          <w:p>
            <w:pPr>
              <w:spacing w:after="0" w:line="182" w:lineRule="exact"/>
              <w:rPr>
                <w:sz w:val="20"/>
                <w:szCs w:val="20"/>
                <w:color w:val="auto"/>
              </w:rPr>
            </w:pPr>
            <w:r>
              <w:rPr>
                <w:rFonts w:ascii="Arial" w:cs="Arial" w:eastAsia="Arial" w:hAnsi="Arial"/>
                <w:sz w:val="18"/>
                <w:szCs w:val="18"/>
                <w:color w:val="0000EE"/>
                <w:w w:val="98"/>
              </w:rPr>
              <w:t>Expenditures</w:t>
            </w:r>
          </w:p>
        </w:tc>
        <w:tc>
          <w:tcPr>
            <w:tcW w:w="2480" w:type="dxa"/>
            <w:vAlign w:val="bottom"/>
            <w:tcBorders>
              <w:top w:val="single" w:sz="8" w:color="0000EE"/>
            </w:tcBorders>
            <w:gridSpan w:val="17"/>
          </w:tcPr>
          <w:p>
            <w:pPr>
              <w:spacing w:after="0"/>
              <w:rPr>
                <w:sz w:val="15"/>
                <w:szCs w:val="15"/>
                <w:color w:val="auto"/>
              </w:rPr>
            </w:pPr>
          </w:p>
        </w:tc>
        <w:tc>
          <w:tcPr>
            <w:tcW w:w="22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gridSpan w:val="2"/>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160" w:type="dxa"/>
            <w:vAlign w:val="bottom"/>
          </w:tcPr>
          <w:p>
            <w:pPr>
              <w:spacing w:after="0"/>
              <w:rPr>
                <w:sz w:val="15"/>
                <w:szCs w:val="15"/>
                <w:color w:val="auto"/>
              </w:rPr>
            </w:pPr>
          </w:p>
        </w:tc>
        <w:tc>
          <w:tcPr>
            <w:tcW w:w="4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280" w:type="dxa"/>
            <w:vAlign w:val="bottom"/>
            <w:tcBorders>
              <w:bottom w:val="single" w:sz="8" w:color="0000EE"/>
            </w:tcBorders>
            <w:gridSpan w:val="29"/>
          </w:tcPr>
          <w:p>
            <w:pPr>
              <w:spacing w:after="0" w:line="182" w:lineRule="exact"/>
              <w:rPr>
                <w:sz w:val="20"/>
                <w:szCs w:val="20"/>
                <w:color w:val="auto"/>
              </w:rPr>
            </w:pPr>
            <w:r>
              <w:rPr>
                <w:rFonts w:ascii="Arial" w:cs="Arial" w:eastAsia="Arial" w:hAnsi="Arial"/>
                <w:sz w:val="18"/>
                <w:szCs w:val="18"/>
                <w:color w:val="0000EE"/>
                <w:w w:val="99"/>
              </w:rPr>
              <w:t>Certain Relationships and Related Party Transactions</w:t>
            </w:r>
          </w:p>
        </w:tc>
        <w:tc>
          <w:tcPr>
            <w:tcW w:w="560" w:type="dxa"/>
            <w:vAlign w:val="bottom"/>
            <w:gridSpan w:val="8"/>
          </w:tcPr>
          <w:p>
            <w:pPr>
              <w:spacing w:after="0"/>
              <w:rPr>
                <w:sz w:val="15"/>
                <w:szCs w:val="15"/>
                <w:color w:val="auto"/>
              </w:rPr>
            </w:pPr>
          </w:p>
        </w:tc>
        <w:tc>
          <w:tcPr>
            <w:tcW w:w="440" w:type="dxa"/>
            <w:vAlign w:val="bottom"/>
          </w:tcPr>
          <w:p>
            <w:pPr>
              <w:jc w:val="right"/>
              <w:spacing w:after="0" w:line="182" w:lineRule="exact"/>
              <w:rPr>
                <w:sz w:val="20"/>
                <w:szCs w:val="20"/>
                <w:color w:val="auto"/>
              </w:rPr>
            </w:pPr>
            <w:r>
              <w:rPr>
                <w:rFonts w:ascii="Arial" w:cs="Arial" w:eastAsia="Arial" w:hAnsi="Arial"/>
                <w:sz w:val="18"/>
                <w:szCs w:val="18"/>
                <w:i w:val="1"/>
                <w:iCs w:val="1"/>
                <w:color w:val="3E3935"/>
              </w:rPr>
              <w:t>42</w:t>
            </w:r>
          </w:p>
        </w:tc>
        <w:tc>
          <w:tcPr>
            <w:tcW w:w="0" w:type="dxa"/>
            <w:vAlign w:val="bottom"/>
          </w:tcPr>
          <w:p>
            <w:pPr>
              <w:spacing w:after="0"/>
              <w:rPr>
                <w:sz w:val="1"/>
                <w:szCs w:val="1"/>
                <w:color w:val="auto"/>
              </w:rPr>
            </w:pPr>
          </w:p>
        </w:tc>
      </w:tr>
      <w:tr>
        <w:trPr>
          <w:trHeight w:val="263"/>
        </w:trPr>
        <w:tc>
          <w:tcPr>
            <w:tcW w:w="4840" w:type="dxa"/>
            <w:vAlign w:val="bottom"/>
            <w:gridSpan w:val="37"/>
          </w:tcPr>
          <w:p>
            <w:pPr>
              <w:spacing w:after="0"/>
              <w:rPr>
                <w:sz w:val="20"/>
                <w:szCs w:val="20"/>
                <w:color w:val="auto"/>
              </w:rPr>
            </w:pPr>
            <w:r>
              <w:rPr>
                <w:rFonts w:ascii="Arial" w:cs="Arial" w:eastAsia="Arial" w:hAnsi="Arial"/>
                <w:sz w:val="18"/>
                <w:szCs w:val="18"/>
                <w:color w:val="0000EE"/>
              </w:rPr>
              <w:t>SECURITY OWNERSHIP INFORMATION</w:t>
            </w:r>
          </w:p>
        </w:tc>
        <w:tc>
          <w:tcPr>
            <w:tcW w:w="440" w:type="dxa"/>
            <w:vAlign w:val="bottom"/>
          </w:tcPr>
          <w:p>
            <w:pPr>
              <w:jc w:val="right"/>
              <w:spacing w:after="0"/>
              <w:rPr>
                <w:sz w:val="20"/>
                <w:szCs w:val="20"/>
                <w:color w:val="auto"/>
              </w:rPr>
            </w:pPr>
            <w:r>
              <w:rPr>
                <w:rFonts w:ascii="Arial" w:cs="Arial" w:eastAsia="Arial" w:hAnsi="Arial"/>
                <w:sz w:val="18"/>
                <w:szCs w:val="18"/>
                <w:i w:val="1"/>
                <w:iCs w:val="1"/>
                <w:color w:val="00C1DE"/>
              </w:rPr>
              <w:t>44</w:t>
            </w:r>
          </w:p>
        </w:tc>
        <w:tc>
          <w:tcPr>
            <w:tcW w:w="0" w:type="dxa"/>
            <w:vAlign w:val="bottom"/>
          </w:tcPr>
          <w:p>
            <w:pPr>
              <w:spacing w:after="0"/>
              <w:rPr>
                <w:sz w:val="1"/>
                <w:szCs w:val="1"/>
                <w:color w:val="auto"/>
              </w:rPr>
            </w:pPr>
          </w:p>
        </w:tc>
      </w:tr>
      <w:tr>
        <w:trPr>
          <w:trHeight w:val="20"/>
        </w:trPr>
        <w:tc>
          <w:tcPr>
            <w:tcW w:w="180" w:type="dxa"/>
            <w:vAlign w:val="bottom"/>
            <w:tcBorders>
              <w:top w:val="single" w:sz="8" w:color="0000EE"/>
              <w:bottom w:val="single" w:sz="8" w:color="3E3935"/>
            </w:tcBorders>
          </w:tcPr>
          <w:p>
            <w:pPr>
              <w:spacing w:after="0" w:line="20" w:lineRule="exact"/>
              <w:rPr>
                <w:sz w:val="1"/>
                <w:szCs w:val="1"/>
                <w:color w:val="auto"/>
              </w:rPr>
            </w:pPr>
          </w:p>
        </w:tc>
        <w:tc>
          <w:tcPr>
            <w:tcW w:w="360" w:type="dxa"/>
            <w:vAlign w:val="bottom"/>
            <w:tcBorders>
              <w:top w:val="single" w:sz="8" w:color="0000EE"/>
              <w:bottom w:val="single" w:sz="8" w:color="3E3935"/>
            </w:tcBorders>
          </w:tcPr>
          <w:p>
            <w:pPr>
              <w:spacing w:after="0" w:line="20" w:lineRule="exact"/>
              <w:rPr>
                <w:sz w:val="1"/>
                <w:szCs w:val="1"/>
                <w:color w:val="auto"/>
              </w:rPr>
            </w:pPr>
          </w:p>
        </w:tc>
        <w:tc>
          <w:tcPr>
            <w:tcW w:w="340" w:type="dxa"/>
            <w:vAlign w:val="bottom"/>
            <w:tcBorders>
              <w:top w:val="single" w:sz="8" w:color="0000EE"/>
              <w:bottom w:val="single" w:sz="8" w:color="3E3935"/>
            </w:tcBorders>
          </w:tcPr>
          <w:p>
            <w:pPr>
              <w:spacing w:after="0" w:line="20" w:lineRule="exact"/>
              <w:rPr>
                <w:sz w:val="1"/>
                <w:szCs w:val="1"/>
                <w:color w:val="auto"/>
              </w:rPr>
            </w:pPr>
          </w:p>
        </w:tc>
        <w:tc>
          <w:tcPr>
            <w:tcW w:w="160" w:type="dxa"/>
            <w:vAlign w:val="bottom"/>
            <w:tcBorders>
              <w:top w:val="single" w:sz="8" w:color="0000EE"/>
              <w:bottom w:val="single" w:sz="8" w:color="3E3935"/>
            </w:tcBorders>
          </w:tcPr>
          <w:p>
            <w:pPr>
              <w:spacing w:after="0" w:line="20" w:lineRule="exact"/>
              <w:rPr>
                <w:sz w:val="1"/>
                <w:szCs w:val="1"/>
                <w:color w:val="auto"/>
              </w:rPr>
            </w:pPr>
          </w:p>
        </w:tc>
        <w:tc>
          <w:tcPr>
            <w:tcW w:w="100" w:type="dxa"/>
            <w:vAlign w:val="bottom"/>
            <w:tcBorders>
              <w:top w:val="single" w:sz="8" w:color="0000EE"/>
              <w:bottom w:val="single" w:sz="8" w:color="3E3935"/>
            </w:tcBorders>
          </w:tcPr>
          <w:p>
            <w:pPr>
              <w:spacing w:after="0" w:line="20" w:lineRule="exact"/>
              <w:rPr>
                <w:sz w:val="1"/>
                <w:szCs w:val="1"/>
                <w:color w:val="auto"/>
              </w:rPr>
            </w:pPr>
          </w:p>
        </w:tc>
        <w:tc>
          <w:tcPr>
            <w:tcW w:w="100" w:type="dxa"/>
            <w:vAlign w:val="bottom"/>
            <w:tcBorders>
              <w:top w:val="single" w:sz="8" w:color="0000EE"/>
              <w:bottom w:val="single" w:sz="8" w:color="3E3935"/>
            </w:tcBorders>
          </w:tcPr>
          <w:p>
            <w:pPr>
              <w:spacing w:after="0" w:line="20" w:lineRule="exact"/>
              <w:rPr>
                <w:sz w:val="1"/>
                <w:szCs w:val="1"/>
                <w:color w:val="auto"/>
              </w:rPr>
            </w:pPr>
          </w:p>
        </w:tc>
        <w:tc>
          <w:tcPr>
            <w:tcW w:w="260" w:type="dxa"/>
            <w:vAlign w:val="bottom"/>
            <w:tcBorders>
              <w:top w:val="single" w:sz="8" w:color="0000EE"/>
              <w:bottom w:val="single" w:sz="8" w:color="3E3935"/>
            </w:tcBorders>
          </w:tcPr>
          <w:p>
            <w:pPr>
              <w:spacing w:after="0" w:line="20" w:lineRule="exact"/>
              <w:rPr>
                <w:sz w:val="1"/>
                <w:szCs w:val="1"/>
                <w:color w:val="auto"/>
              </w:rPr>
            </w:pPr>
          </w:p>
        </w:tc>
        <w:tc>
          <w:tcPr>
            <w:tcW w:w="100" w:type="dxa"/>
            <w:vAlign w:val="bottom"/>
            <w:tcBorders>
              <w:top w:val="single" w:sz="8" w:color="0000EE"/>
              <w:bottom w:val="single" w:sz="8" w:color="3E3935"/>
            </w:tcBorders>
          </w:tcPr>
          <w:p>
            <w:pPr>
              <w:spacing w:after="0" w:line="20" w:lineRule="exact"/>
              <w:rPr>
                <w:sz w:val="1"/>
                <w:szCs w:val="1"/>
                <w:color w:val="auto"/>
              </w:rPr>
            </w:pPr>
          </w:p>
        </w:tc>
        <w:tc>
          <w:tcPr>
            <w:tcW w:w="220" w:type="dxa"/>
            <w:vAlign w:val="bottom"/>
            <w:tcBorders>
              <w:top w:val="single" w:sz="8" w:color="0000EE"/>
              <w:bottom w:val="single" w:sz="8" w:color="3E3935"/>
            </w:tcBorders>
          </w:tcPr>
          <w:p>
            <w:pPr>
              <w:spacing w:after="0" w:line="20" w:lineRule="exact"/>
              <w:rPr>
                <w:sz w:val="1"/>
                <w:szCs w:val="1"/>
                <w:color w:val="auto"/>
              </w:rPr>
            </w:pPr>
          </w:p>
        </w:tc>
        <w:tc>
          <w:tcPr>
            <w:tcW w:w="60" w:type="dxa"/>
            <w:vAlign w:val="bottom"/>
            <w:tcBorders>
              <w:top w:val="single" w:sz="8" w:color="0000EE"/>
              <w:bottom w:val="single" w:sz="8" w:color="3E3935"/>
            </w:tcBorders>
          </w:tcPr>
          <w:p>
            <w:pPr>
              <w:spacing w:after="0" w:line="20" w:lineRule="exact"/>
              <w:rPr>
                <w:sz w:val="1"/>
                <w:szCs w:val="1"/>
                <w:color w:val="auto"/>
              </w:rPr>
            </w:pPr>
          </w:p>
        </w:tc>
        <w:tc>
          <w:tcPr>
            <w:tcW w:w="80" w:type="dxa"/>
            <w:vAlign w:val="bottom"/>
            <w:tcBorders>
              <w:top w:val="single" w:sz="8" w:color="0000EE"/>
              <w:bottom w:val="single" w:sz="8" w:color="3E3935"/>
            </w:tcBorders>
          </w:tcPr>
          <w:p>
            <w:pPr>
              <w:spacing w:after="0" w:line="20" w:lineRule="exact"/>
              <w:rPr>
                <w:sz w:val="1"/>
                <w:szCs w:val="1"/>
                <w:color w:val="auto"/>
              </w:rPr>
            </w:pPr>
          </w:p>
        </w:tc>
        <w:tc>
          <w:tcPr>
            <w:tcW w:w="40" w:type="dxa"/>
            <w:vAlign w:val="bottom"/>
            <w:tcBorders>
              <w:top w:val="single" w:sz="8" w:color="0000EE"/>
              <w:bottom w:val="single" w:sz="8" w:color="3E3935"/>
            </w:tcBorders>
          </w:tcPr>
          <w:p>
            <w:pPr>
              <w:spacing w:after="0" w:line="20" w:lineRule="exact"/>
              <w:rPr>
                <w:sz w:val="1"/>
                <w:szCs w:val="1"/>
                <w:color w:val="auto"/>
              </w:rPr>
            </w:pPr>
          </w:p>
        </w:tc>
        <w:tc>
          <w:tcPr>
            <w:tcW w:w="200" w:type="dxa"/>
            <w:vAlign w:val="bottom"/>
            <w:tcBorders>
              <w:top w:val="single" w:sz="8" w:color="0000EE"/>
              <w:bottom w:val="single" w:sz="8" w:color="3E3935"/>
            </w:tcBorders>
          </w:tcPr>
          <w:p>
            <w:pPr>
              <w:spacing w:after="0" w:line="20" w:lineRule="exact"/>
              <w:rPr>
                <w:sz w:val="1"/>
                <w:szCs w:val="1"/>
                <w:color w:val="auto"/>
              </w:rPr>
            </w:pPr>
          </w:p>
        </w:tc>
        <w:tc>
          <w:tcPr>
            <w:tcW w:w="260" w:type="dxa"/>
            <w:vAlign w:val="bottom"/>
            <w:tcBorders>
              <w:top w:val="single" w:sz="8" w:color="0000EE"/>
              <w:bottom w:val="single" w:sz="8" w:color="3E3935"/>
            </w:tcBorders>
          </w:tcPr>
          <w:p>
            <w:pPr>
              <w:spacing w:after="0" w:line="20" w:lineRule="exact"/>
              <w:rPr>
                <w:sz w:val="1"/>
                <w:szCs w:val="1"/>
                <w:color w:val="auto"/>
              </w:rPr>
            </w:pPr>
          </w:p>
        </w:tc>
        <w:tc>
          <w:tcPr>
            <w:tcW w:w="120" w:type="dxa"/>
            <w:vAlign w:val="bottom"/>
            <w:tcBorders>
              <w:top w:val="single" w:sz="8" w:color="0000EE"/>
              <w:bottom w:val="single" w:sz="8" w:color="3E3935"/>
            </w:tcBorders>
          </w:tcPr>
          <w:p>
            <w:pPr>
              <w:spacing w:after="0" w:line="20" w:lineRule="exact"/>
              <w:rPr>
                <w:sz w:val="1"/>
                <w:szCs w:val="1"/>
                <w:color w:val="auto"/>
              </w:rPr>
            </w:pPr>
          </w:p>
        </w:tc>
        <w:tc>
          <w:tcPr>
            <w:tcW w:w="20" w:type="dxa"/>
            <w:vAlign w:val="bottom"/>
            <w:tcBorders>
              <w:top w:val="single" w:sz="8" w:color="0000EE"/>
              <w:bottom w:val="single" w:sz="8" w:color="3E3935"/>
            </w:tcBorders>
          </w:tcPr>
          <w:p>
            <w:pPr>
              <w:spacing w:after="0" w:line="20" w:lineRule="exact"/>
              <w:rPr>
                <w:sz w:val="1"/>
                <w:szCs w:val="1"/>
                <w:color w:val="auto"/>
              </w:rPr>
            </w:pPr>
          </w:p>
        </w:tc>
        <w:tc>
          <w:tcPr>
            <w:tcW w:w="80" w:type="dxa"/>
            <w:vAlign w:val="bottom"/>
            <w:tcBorders>
              <w:top w:val="single" w:sz="8" w:color="0000EE"/>
              <w:bottom w:val="single" w:sz="8" w:color="3E3935"/>
            </w:tcBorders>
          </w:tcPr>
          <w:p>
            <w:pPr>
              <w:spacing w:after="0" w:line="20" w:lineRule="exact"/>
              <w:rPr>
                <w:sz w:val="1"/>
                <w:szCs w:val="1"/>
                <w:color w:val="auto"/>
              </w:rPr>
            </w:pPr>
          </w:p>
        </w:tc>
        <w:tc>
          <w:tcPr>
            <w:tcW w:w="400" w:type="dxa"/>
            <w:vAlign w:val="bottom"/>
            <w:tcBorders>
              <w:top w:val="single" w:sz="8" w:color="0000EE"/>
              <w:bottom w:val="single" w:sz="8" w:color="3E3935"/>
            </w:tcBorders>
          </w:tcPr>
          <w:p>
            <w:pPr>
              <w:spacing w:after="0" w:line="20" w:lineRule="exact"/>
              <w:rPr>
                <w:sz w:val="1"/>
                <w:szCs w:val="1"/>
                <w:color w:val="auto"/>
              </w:rPr>
            </w:pPr>
          </w:p>
        </w:tc>
        <w:tc>
          <w:tcPr>
            <w:tcW w:w="100" w:type="dxa"/>
            <w:vAlign w:val="bottom"/>
            <w:tcBorders>
              <w:top w:val="single" w:sz="8" w:color="0000EE"/>
              <w:bottom w:val="single" w:sz="8" w:color="3E3935"/>
            </w:tcBorders>
          </w:tcPr>
          <w:p>
            <w:pPr>
              <w:spacing w:after="0" w:line="20" w:lineRule="exact"/>
              <w:rPr>
                <w:sz w:val="1"/>
                <w:szCs w:val="1"/>
                <w:color w:val="auto"/>
              </w:rPr>
            </w:pPr>
          </w:p>
        </w:tc>
        <w:tc>
          <w:tcPr>
            <w:tcW w:w="160" w:type="dxa"/>
            <w:vAlign w:val="bottom"/>
            <w:tcBorders>
              <w:top w:val="single" w:sz="8" w:color="0000EE"/>
              <w:bottom w:val="single" w:sz="8" w:color="3E3935"/>
            </w:tcBorders>
          </w:tcPr>
          <w:p>
            <w:pPr>
              <w:spacing w:after="0" w:line="20" w:lineRule="exact"/>
              <w:rPr>
                <w:sz w:val="1"/>
                <w:szCs w:val="1"/>
                <w:color w:val="auto"/>
              </w:rPr>
            </w:pPr>
          </w:p>
        </w:tc>
        <w:tc>
          <w:tcPr>
            <w:tcW w:w="20" w:type="dxa"/>
            <w:vAlign w:val="bottom"/>
            <w:tcBorders>
              <w:top w:val="single" w:sz="8" w:color="0000EE"/>
              <w:bottom w:val="single" w:sz="8" w:color="3E3935"/>
            </w:tcBorders>
          </w:tcPr>
          <w:p>
            <w:pPr>
              <w:spacing w:after="0" w:line="20" w:lineRule="exact"/>
              <w:rPr>
                <w:sz w:val="1"/>
                <w:szCs w:val="1"/>
                <w:color w:val="auto"/>
              </w:rPr>
            </w:pPr>
          </w:p>
        </w:tc>
        <w:tc>
          <w:tcPr>
            <w:tcW w:w="240" w:type="dxa"/>
            <w:vAlign w:val="bottom"/>
            <w:tcBorders>
              <w:bottom w:val="single" w:sz="8" w:color="3E3935"/>
            </w:tcBorders>
          </w:tcPr>
          <w:p>
            <w:pPr>
              <w:spacing w:after="0" w:line="20" w:lineRule="exact"/>
              <w:rPr>
                <w:sz w:val="1"/>
                <w:szCs w:val="1"/>
                <w:color w:val="auto"/>
              </w:rPr>
            </w:pPr>
          </w:p>
        </w:tc>
        <w:tc>
          <w:tcPr>
            <w:tcW w:w="120" w:type="dxa"/>
            <w:vAlign w:val="bottom"/>
            <w:tcBorders>
              <w:bottom w:val="single" w:sz="8" w:color="3E3935"/>
            </w:tcBorders>
          </w:tcPr>
          <w:p>
            <w:pPr>
              <w:spacing w:after="0" w:line="20" w:lineRule="exact"/>
              <w:rPr>
                <w:sz w:val="1"/>
                <w:szCs w:val="1"/>
                <w:color w:val="auto"/>
              </w:rPr>
            </w:pPr>
          </w:p>
        </w:tc>
        <w:tc>
          <w:tcPr>
            <w:tcW w:w="80" w:type="dxa"/>
            <w:vAlign w:val="bottom"/>
            <w:tcBorders>
              <w:bottom w:val="single" w:sz="8" w:color="3E3935"/>
            </w:tcBorders>
          </w:tcPr>
          <w:p>
            <w:pPr>
              <w:spacing w:after="0" w:line="20" w:lineRule="exact"/>
              <w:rPr>
                <w:sz w:val="1"/>
                <w:szCs w:val="1"/>
                <w:color w:val="auto"/>
              </w:rPr>
            </w:pPr>
          </w:p>
        </w:tc>
        <w:tc>
          <w:tcPr>
            <w:tcW w:w="140" w:type="dxa"/>
            <w:vAlign w:val="bottom"/>
            <w:tcBorders>
              <w:bottom w:val="single" w:sz="8" w:color="3E3935"/>
            </w:tcBorders>
          </w:tcPr>
          <w:p>
            <w:pPr>
              <w:spacing w:after="0" w:line="20" w:lineRule="exact"/>
              <w:rPr>
                <w:sz w:val="1"/>
                <w:szCs w:val="1"/>
                <w:color w:val="auto"/>
              </w:rPr>
            </w:pPr>
          </w:p>
        </w:tc>
        <w:tc>
          <w:tcPr>
            <w:tcW w:w="20" w:type="dxa"/>
            <w:vAlign w:val="bottom"/>
            <w:tcBorders>
              <w:bottom w:val="single" w:sz="8" w:color="3E3935"/>
            </w:tcBorders>
          </w:tcPr>
          <w:p>
            <w:pPr>
              <w:spacing w:after="0" w:line="20" w:lineRule="exact"/>
              <w:rPr>
                <w:sz w:val="1"/>
                <w:szCs w:val="1"/>
                <w:color w:val="auto"/>
              </w:rPr>
            </w:pPr>
          </w:p>
        </w:tc>
        <w:tc>
          <w:tcPr>
            <w:tcW w:w="100" w:type="dxa"/>
            <w:vAlign w:val="bottom"/>
            <w:tcBorders>
              <w:bottom w:val="single" w:sz="8" w:color="3E3935"/>
            </w:tcBorders>
          </w:tcPr>
          <w:p>
            <w:pPr>
              <w:spacing w:after="0" w:line="20" w:lineRule="exact"/>
              <w:rPr>
                <w:sz w:val="1"/>
                <w:szCs w:val="1"/>
                <w:color w:val="auto"/>
              </w:rPr>
            </w:pPr>
          </w:p>
        </w:tc>
        <w:tc>
          <w:tcPr>
            <w:tcW w:w="20" w:type="dxa"/>
            <w:vAlign w:val="bottom"/>
            <w:tcBorders>
              <w:bottom w:val="single" w:sz="8" w:color="3E3935"/>
            </w:tcBorders>
          </w:tcPr>
          <w:p>
            <w:pPr>
              <w:spacing w:after="0" w:line="20" w:lineRule="exact"/>
              <w:rPr>
                <w:sz w:val="1"/>
                <w:szCs w:val="1"/>
                <w:color w:val="auto"/>
              </w:rPr>
            </w:pPr>
          </w:p>
        </w:tc>
        <w:tc>
          <w:tcPr>
            <w:tcW w:w="200" w:type="dxa"/>
            <w:vAlign w:val="bottom"/>
            <w:tcBorders>
              <w:bottom w:val="single" w:sz="8" w:color="3E3935"/>
            </w:tcBorders>
          </w:tcPr>
          <w:p>
            <w:pPr>
              <w:spacing w:after="0" w:line="20" w:lineRule="exact"/>
              <w:rPr>
                <w:sz w:val="1"/>
                <w:szCs w:val="1"/>
                <w:color w:val="auto"/>
              </w:rPr>
            </w:pPr>
          </w:p>
        </w:tc>
        <w:tc>
          <w:tcPr>
            <w:tcW w:w="20" w:type="dxa"/>
            <w:vAlign w:val="bottom"/>
            <w:tcBorders>
              <w:bottom w:val="single" w:sz="8" w:color="3E3935"/>
            </w:tcBorders>
          </w:tcPr>
          <w:p>
            <w:pPr>
              <w:spacing w:after="0" w:line="20" w:lineRule="exact"/>
              <w:rPr>
                <w:sz w:val="1"/>
                <w:szCs w:val="1"/>
                <w:color w:val="auto"/>
              </w:rPr>
            </w:pPr>
          </w:p>
        </w:tc>
        <w:tc>
          <w:tcPr>
            <w:tcW w:w="60" w:type="dxa"/>
            <w:vAlign w:val="bottom"/>
            <w:tcBorders>
              <w:bottom w:val="single" w:sz="8" w:color="3E3935"/>
            </w:tcBorders>
          </w:tcPr>
          <w:p>
            <w:pPr>
              <w:spacing w:after="0" w:line="20" w:lineRule="exact"/>
              <w:rPr>
                <w:sz w:val="1"/>
                <w:szCs w:val="1"/>
                <w:color w:val="auto"/>
              </w:rPr>
            </w:pPr>
          </w:p>
        </w:tc>
        <w:tc>
          <w:tcPr>
            <w:tcW w:w="40" w:type="dxa"/>
            <w:vAlign w:val="bottom"/>
            <w:tcBorders>
              <w:bottom w:val="single" w:sz="8" w:color="3E3935"/>
            </w:tcBorders>
          </w:tcPr>
          <w:p>
            <w:pPr>
              <w:spacing w:after="0" w:line="20" w:lineRule="exact"/>
              <w:rPr>
                <w:sz w:val="1"/>
                <w:szCs w:val="1"/>
                <w:color w:val="auto"/>
              </w:rPr>
            </w:pPr>
          </w:p>
        </w:tc>
        <w:tc>
          <w:tcPr>
            <w:tcW w:w="60" w:type="dxa"/>
            <w:vAlign w:val="bottom"/>
            <w:tcBorders>
              <w:bottom w:val="single" w:sz="8" w:color="3E3935"/>
            </w:tcBorders>
          </w:tcPr>
          <w:p>
            <w:pPr>
              <w:spacing w:after="0" w:line="20" w:lineRule="exact"/>
              <w:rPr>
                <w:sz w:val="1"/>
                <w:szCs w:val="1"/>
                <w:color w:val="auto"/>
              </w:rPr>
            </w:pPr>
          </w:p>
        </w:tc>
        <w:tc>
          <w:tcPr>
            <w:tcW w:w="180" w:type="dxa"/>
            <w:vAlign w:val="bottom"/>
            <w:tcBorders>
              <w:bottom w:val="single" w:sz="8" w:color="3E3935"/>
            </w:tcBorders>
          </w:tcPr>
          <w:p>
            <w:pPr>
              <w:spacing w:after="0" w:line="20" w:lineRule="exact"/>
              <w:rPr>
                <w:sz w:val="1"/>
                <w:szCs w:val="1"/>
                <w:color w:val="auto"/>
              </w:rPr>
            </w:pPr>
          </w:p>
        </w:tc>
        <w:tc>
          <w:tcPr>
            <w:tcW w:w="20" w:type="dxa"/>
            <w:vAlign w:val="bottom"/>
            <w:tcBorders>
              <w:bottom w:val="single" w:sz="8" w:color="3E3935"/>
            </w:tcBorders>
          </w:tcPr>
          <w:p>
            <w:pPr>
              <w:spacing w:after="0" w:line="20" w:lineRule="exact"/>
              <w:rPr>
                <w:sz w:val="1"/>
                <w:szCs w:val="1"/>
                <w:color w:val="auto"/>
              </w:rPr>
            </w:pPr>
          </w:p>
        </w:tc>
        <w:tc>
          <w:tcPr>
            <w:tcW w:w="20" w:type="dxa"/>
            <w:vAlign w:val="bottom"/>
            <w:tcBorders>
              <w:bottom w:val="single" w:sz="8" w:color="3E3935"/>
            </w:tcBorders>
          </w:tcPr>
          <w:p>
            <w:pPr>
              <w:spacing w:after="0" w:line="20" w:lineRule="exact"/>
              <w:rPr>
                <w:sz w:val="1"/>
                <w:szCs w:val="1"/>
                <w:color w:val="auto"/>
              </w:rPr>
            </w:pPr>
          </w:p>
        </w:tc>
        <w:tc>
          <w:tcPr>
            <w:tcW w:w="160" w:type="dxa"/>
            <w:vAlign w:val="bottom"/>
            <w:tcBorders>
              <w:bottom w:val="single" w:sz="8" w:color="3E3935"/>
            </w:tcBorders>
          </w:tcPr>
          <w:p>
            <w:pPr>
              <w:spacing w:after="0" w:line="20" w:lineRule="exact"/>
              <w:rPr>
                <w:sz w:val="1"/>
                <w:szCs w:val="1"/>
                <w:color w:val="auto"/>
              </w:rPr>
            </w:pPr>
          </w:p>
        </w:tc>
        <w:tc>
          <w:tcPr>
            <w:tcW w:w="440" w:type="dxa"/>
            <w:vAlign w:val="bottom"/>
            <w:tcBorders>
              <w:bottom w:val="single" w:sz="8" w:color="3E3935"/>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840" w:type="dxa"/>
            <w:vAlign w:val="bottom"/>
            <w:gridSpan w:val="37"/>
          </w:tcPr>
          <w:p>
            <w:pPr>
              <w:spacing w:after="0"/>
              <w:rPr>
                <w:sz w:val="20"/>
                <w:szCs w:val="20"/>
                <w:color w:val="auto"/>
              </w:rPr>
            </w:pPr>
            <w:r>
              <w:rPr>
                <w:rFonts w:ascii="Arial" w:cs="Arial" w:eastAsia="Arial" w:hAnsi="Arial"/>
                <w:sz w:val="18"/>
                <w:szCs w:val="18"/>
                <w:b w:val="1"/>
                <w:bCs w:val="1"/>
                <w:color w:val="0000EE"/>
              </w:rPr>
              <w:t>ITEM NO. 2 – PROPOSAL TO RATIFY THE SELECTION</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180" w:type="dxa"/>
            <w:vAlign w:val="bottom"/>
            <w:tcBorders>
              <w:top w:val="single" w:sz="8" w:color="0000EE"/>
            </w:tcBorders>
          </w:tcPr>
          <w:p>
            <w:pPr>
              <w:spacing w:after="0"/>
              <w:rPr>
                <w:sz w:val="15"/>
                <w:szCs w:val="15"/>
                <w:color w:val="auto"/>
              </w:rPr>
            </w:pPr>
          </w:p>
        </w:tc>
        <w:tc>
          <w:tcPr>
            <w:tcW w:w="360" w:type="dxa"/>
            <w:vAlign w:val="bottom"/>
            <w:tcBorders>
              <w:top w:val="single" w:sz="8" w:color="0000EE"/>
            </w:tcBorders>
          </w:tcPr>
          <w:p>
            <w:pPr>
              <w:spacing w:after="0"/>
              <w:rPr>
                <w:sz w:val="15"/>
                <w:szCs w:val="15"/>
                <w:color w:val="auto"/>
              </w:rPr>
            </w:pPr>
          </w:p>
        </w:tc>
        <w:tc>
          <w:tcPr>
            <w:tcW w:w="340" w:type="dxa"/>
            <w:vAlign w:val="bottom"/>
            <w:tcBorders>
              <w:top w:val="single" w:sz="8" w:color="0000EE"/>
            </w:tcBorders>
          </w:tcPr>
          <w:p>
            <w:pPr>
              <w:spacing w:after="0"/>
              <w:rPr>
                <w:sz w:val="15"/>
                <w:szCs w:val="15"/>
                <w:color w:val="auto"/>
              </w:rPr>
            </w:pPr>
          </w:p>
        </w:tc>
        <w:tc>
          <w:tcPr>
            <w:tcW w:w="160" w:type="dxa"/>
            <w:vAlign w:val="bottom"/>
            <w:tcBorders>
              <w:top w:val="single" w:sz="8" w:color="0000EE"/>
            </w:tcBorders>
          </w:tcPr>
          <w:p>
            <w:pPr>
              <w:spacing w:after="0"/>
              <w:rPr>
                <w:sz w:val="15"/>
                <w:szCs w:val="15"/>
                <w:color w:val="auto"/>
              </w:rPr>
            </w:pPr>
          </w:p>
        </w:tc>
        <w:tc>
          <w:tcPr>
            <w:tcW w:w="3600" w:type="dxa"/>
            <w:vAlign w:val="bottom"/>
            <w:tcBorders>
              <w:top w:val="single" w:sz="8" w:color="0000EE"/>
            </w:tcBorders>
            <w:gridSpan w:val="30"/>
          </w:tcPr>
          <w:p>
            <w:pPr>
              <w:spacing w:after="0" w:line="182" w:lineRule="exact"/>
              <w:rPr>
                <w:sz w:val="20"/>
                <w:szCs w:val="20"/>
                <w:color w:val="auto"/>
              </w:rPr>
            </w:pPr>
            <w:r>
              <w:rPr>
                <w:rFonts w:ascii="Arial" w:cs="Arial" w:eastAsia="Arial" w:hAnsi="Arial"/>
                <w:sz w:val="18"/>
                <w:szCs w:val="18"/>
                <w:b w:val="1"/>
                <w:bCs w:val="1"/>
                <w:color w:val="0000EE"/>
              </w:rPr>
              <w:t>OF ERNST &amp; YOUNG LLP AS THE</w:t>
            </w:r>
          </w:p>
        </w:tc>
        <w:tc>
          <w:tcPr>
            <w:tcW w:w="40" w:type="dxa"/>
            <w:vAlign w:val="bottom"/>
            <w:gridSpan w:val="2"/>
          </w:tcPr>
          <w:p>
            <w:pPr>
              <w:spacing w:after="0"/>
              <w:rPr>
                <w:sz w:val="15"/>
                <w:szCs w:val="15"/>
                <w:color w:val="auto"/>
              </w:rPr>
            </w:pPr>
          </w:p>
        </w:tc>
        <w:tc>
          <w:tcPr>
            <w:tcW w:w="1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gridSpan w:val="6"/>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20" w:type="dxa"/>
            <w:vAlign w:val="bottom"/>
            <w:gridSpan w:val="3"/>
            <w:shd w:val="clear" w:color="auto" w:fill="0000EE"/>
          </w:tcPr>
          <w:p>
            <w:pPr>
              <w:spacing w:after="0" w:line="20" w:lineRule="exact"/>
              <w:rPr>
                <w:sz w:val="1"/>
                <w:szCs w:val="1"/>
                <w:color w:val="auto"/>
              </w:rPr>
            </w:pPr>
          </w:p>
        </w:tc>
        <w:tc>
          <w:tcPr>
            <w:tcW w:w="660" w:type="dxa"/>
            <w:vAlign w:val="bottom"/>
            <w:gridSpan w:val="3"/>
            <w:shd w:val="clear" w:color="auto" w:fill="0000EE"/>
          </w:tcPr>
          <w:p>
            <w:pPr>
              <w:spacing w:after="0" w:line="20" w:lineRule="exact"/>
              <w:rPr>
                <w:sz w:val="1"/>
                <w:szCs w:val="1"/>
                <w:color w:val="auto"/>
              </w:rPr>
            </w:pPr>
          </w:p>
        </w:tc>
        <w:tc>
          <w:tcPr>
            <w:tcW w:w="600" w:type="dxa"/>
            <w:vAlign w:val="bottom"/>
            <w:gridSpan w:val="5"/>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800" w:type="dxa"/>
            <w:vAlign w:val="bottom"/>
            <w:gridSpan w:val="33"/>
          </w:tcPr>
          <w:p>
            <w:pPr>
              <w:spacing w:after="0" w:line="182" w:lineRule="exact"/>
              <w:rPr>
                <w:sz w:val="20"/>
                <w:szCs w:val="20"/>
                <w:color w:val="auto"/>
              </w:rPr>
            </w:pPr>
            <w:r>
              <w:rPr>
                <w:rFonts w:ascii="Arial" w:cs="Arial" w:eastAsia="Arial" w:hAnsi="Arial"/>
                <w:sz w:val="18"/>
                <w:szCs w:val="18"/>
                <w:b w:val="1"/>
                <w:bCs w:val="1"/>
                <w:color w:val="0000EE"/>
              </w:rPr>
              <w:t>COMPANY’S INDEPENDENT REGISTERED</w:t>
            </w:r>
          </w:p>
        </w:tc>
        <w:tc>
          <w:tcPr>
            <w:tcW w:w="440" w:type="dxa"/>
            <w:vAlign w:val="bottom"/>
            <w:vMerge w:val="restart"/>
          </w:tcPr>
          <w:p>
            <w:pPr>
              <w:jc w:val="right"/>
              <w:spacing w:after="0"/>
              <w:rPr>
                <w:sz w:val="20"/>
                <w:szCs w:val="20"/>
                <w:color w:val="auto"/>
              </w:rPr>
            </w:pPr>
            <w:r>
              <w:rPr>
                <w:rFonts w:ascii="Arial" w:cs="Arial" w:eastAsia="Arial" w:hAnsi="Arial"/>
                <w:sz w:val="18"/>
                <w:szCs w:val="18"/>
                <w:i w:val="1"/>
                <w:iCs w:val="1"/>
                <w:color w:val="3E3935"/>
              </w:rPr>
              <w:t>46</w:t>
            </w:r>
          </w:p>
        </w:tc>
        <w:tc>
          <w:tcPr>
            <w:tcW w:w="0" w:type="dxa"/>
            <w:vAlign w:val="bottom"/>
          </w:tcPr>
          <w:p>
            <w:pPr>
              <w:spacing w:after="0"/>
              <w:rPr>
                <w:sz w:val="1"/>
                <w:szCs w:val="1"/>
                <w:color w:val="auto"/>
              </w:rPr>
            </w:pPr>
          </w:p>
        </w:tc>
      </w:tr>
      <w:tr>
        <w:trPr>
          <w:trHeight w:val="183"/>
        </w:trPr>
        <w:tc>
          <w:tcPr>
            <w:tcW w:w="1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640" w:type="dxa"/>
            <w:vAlign w:val="bottom"/>
            <w:tcBorders>
              <w:top w:val="single" w:sz="8" w:color="0000EE"/>
            </w:tcBorders>
            <w:gridSpan w:val="32"/>
          </w:tcPr>
          <w:p>
            <w:pPr>
              <w:spacing w:after="0" w:line="182" w:lineRule="exact"/>
              <w:rPr>
                <w:sz w:val="20"/>
                <w:szCs w:val="20"/>
                <w:color w:val="auto"/>
              </w:rPr>
            </w:pPr>
            <w:r>
              <w:rPr>
                <w:rFonts w:ascii="Arial" w:cs="Arial" w:eastAsia="Arial" w:hAnsi="Arial"/>
                <w:sz w:val="18"/>
                <w:szCs w:val="18"/>
                <w:b w:val="1"/>
                <w:bCs w:val="1"/>
                <w:color w:val="0000EE"/>
              </w:rPr>
              <w:t>PUBLIC ACCOUNTING FIRM FOR 2023</w:t>
            </w:r>
          </w:p>
        </w:tc>
        <w:tc>
          <w:tcPr>
            <w:tcW w:w="160" w:type="dxa"/>
            <w:vAlign w:val="bottom"/>
          </w:tcPr>
          <w:p>
            <w:pPr>
              <w:spacing w:after="0"/>
              <w:rPr>
                <w:sz w:val="15"/>
                <w:szCs w:val="15"/>
                <w:color w:val="auto"/>
              </w:rPr>
            </w:pPr>
          </w:p>
        </w:tc>
        <w:tc>
          <w:tcPr>
            <w:tcW w:w="4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80" w:type="dxa"/>
            <w:vAlign w:val="bottom"/>
            <w:tcBorders>
              <w:bottom w:val="single" w:sz="8" w:color="3E3935"/>
            </w:tcBorders>
          </w:tcPr>
          <w:p>
            <w:pPr>
              <w:spacing w:after="0" w:line="20" w:lineRule="exact"/>
              <w:rPr>
                <w:sz w:val="1"/>
                <w:szCs w:val="1"/>
                <w:color w:val="auto"/>
              </w:rPr>
            </w:pPr>
          </w:p>
        </w:tc>
        <w:tc>
          <w:tcPr>
            <w:tcW w:w="360" w:type="dxa"/>
            <w:vAlign w:val="bottom"/>
            <w:tcBorders>
              <w:bottom w:val="single" w:sz="8" w:color="3E3935"/>
            </w:tcBorders>
          </w:tcPr>
          <w:p>
            <w:pPr>
              <w:spacing w:after="0" w:line="20" w:lineRule="exact"/>
              <w:rPr>
                <w:sz w:val="1"/>
                <w:szCs w:val="1"/>
                <w:color w:val="auto"/>
              </w:rPr>
            </w:pPr>
          </w:p>
        </w:tc>
        <w:tc>
          <w:tcPr>
            <w:tcW w:w="340" w:type="dxa"/>
            <w:vAlign w:val="bottom"/>
            <w:tcBorders>
              <w:bottom w:val="single" w:sz="8" w:color="3E3935"/>
            </w:tcBorders>
          </w:tcPr>
          <w:p>
            <w:pPr>
              <w:spacing w:after="0" w:line="20" w:lineRule="exact"/>
              <w:rPr>
                <w:sz w:val="1"/>
                <w:szCs w:val="1"/>
                <w:color w:val="auto"/>
              </w:rPr>
            </w:pPr>
          </w:p>
        </w:tc>
        <w:tc>
          <w:tcPr>
            <w:tcW w:w="160" w:type="dxa"/>
            <w:vAlign w:val="bottom"/>
            <w:tcBorders>
              <w:bottom w:val="single" w:sz="8" w:color="3E3935"/>
            </w:tcBorders>
          </w:tcPr>
          <w:p>
            <w:pPr>
              <w:spacing w:after="0" w:line="20" w:lineRule="exact"/>
              <w:rPr>
                <w:sz w:val="1"/>
                <w:szCs w:val="1"/>
                <w:color w:val="auto"/>
              </w:rPr>
            </w:pPr>
          </w:p>
        </w:tc>
        <w:tc>
          <w:tcPr>
            <w:tcW w:w="100" w:type="dxa"/>
            <w:vAlign w:val="bottom"/>
            <w:tcBorders>
              <w:top w:val="single" w:sz="8" w:color="0000EE"/>
              <w:bottom w:val="single" w:sz="8" w:color="3E3935"/>
            </w:tcBorders>
          </w:tcPr>
          <w:p>
            <w:pPr>
              <w:spacing w:after="0" w:line="20" w:lineRule="exact"/>
              <w:rPr>
                <w:sz w:val="1"/>
                <w:szCs w:val="1"/>
                <w:color w:val="auto"/>
              </w:rPr>
            </w:pPr>
          </w:p>
        </w:tc>
        <w:tc>
          <w:tcPr>
            <w:tcW w:w="100" w:type="dxa"/>
            <w:vAlign w:val="bottom"/>
            <w:tcBorders>
              <w:top w:val="single" w:sz="8" w:color="0000EE"/>
              <w:bottom w:val="single" w:sz="8" w:color="3E3935"/>
            </w:tcBorders>
          </w:tcPr>
          <w:p>
            <w:pPr>
              <w:spacing w:after="0" w:line="20" w:lineRule="exact"/>
              <w:rPr>
                <w:sz w:val="1"/>
                <w:szCs w:val="1"/>
                <w:color w:val="auto"/>
              </w:rPr>
            </w:pPr>
          </w:p>
        </w:tc>
        <w:tc>
          <w:tcPr>
            <w:tcW w:w="260" w:type="dxa"/>
            <w:vAlign w:val="bottom"/>
            <w:tcBorders>
              <w:top w:val="single" w:sz="8" w:color="0000EE"/>
              <w:bottom w:val="single" w:sz="8" w:color="3E3935"/>
            </w:tcBorders>
          </w:tcPr>
          <w:p>
            <w:pPr>
              <w:spacing w:after="0" w:line="20" w:lineRule="exact"/>
              <w:rPr>
                <w:sz w:val="1"/>
                <w:szCs w:val="1"/>
                <w:color w:val="auto"/>
              </w:rPr>
            </w:pPr>
          </w:p>
        </w:tc>
        <w:tc>
          <w:tcPr>
            <w:tcW w:w="100" w:type="dxa"/>
            <w:vAlign w:val="bottom"/>
            <w:tcBorders>
              <w:top w:val="single" w:sz="8" w:color="0000EE"/>
              <w:bottom w:val="single" w:sz="8" w:color="3E3935"/>
            </w:tcBorders>
          </w:tcPr>
          <w:p>
            <w:pPr>
              <w:spacing w:after="0" w:line="20" w:lineRule="exact"/>
              <w:rPr>
                <w:sz w:val="1"/>
                <w:szCs w:val="1"/>
                <w:color w:val="auto"/>
              </w:rPr>
            </w:pPr>
          </w:p>
        </w:tc>
        <w:tc>
          <w:tcPr>
            <w:tcW w:w="220" w:type="dxa"/>
            <w:vAlign w:val="bottom"/>
            <w:tcBorders>
              <w:top w:val="single" w:sz="8" w:color="0000EE"/>
              <w:bottom w:val="single" w:sz="8" w:color="3E3935"/>
            </w:tcBorders>
          </w:tcPr>
          <w:p>
            <w:pPr>
              <w:spacing w:after="0" w:line="20" w:lineRule="exact"/>
              <w:rPr>
                <w:sz w:val="1"/>
                <w:szCs w:val="1"/>
                <w:color w:val="auto"/>
              </w:rPr>
            </w:pPr>
          </w:p>
        </w:tc>
        <w:tc>
          <w:tcPr>
            <w:tcW w:w="60" w:type="dxa"/>
            <w:vAlign w:val="bottom"/>
            <w:tcBorders>
              <w:top w:val="single" w:sz="8" w:color="0000EE"/>
              <w:bottom w:val="single" w:sz="8" w:color="3E3935"/>
            </w:tcBorders>
          </w:tcPr>
          <w:p>
            <w:pPr>
              <w:spacing w:after="0" w:line="20" w:lineRule="exact"/>
              <w:rPr>
                <w:sz w:val="1"/>
                <w:szCs w:val="1"/>
                <w:color w:val="auto"/>
              </w:rPr>
            </w:pPr>
          </w:p>
        </w:tc>
        <w:tc>
          <w:tcPr>
            <w:tcW w:w="80" w:type="dxa"/>
            <w:vAlign w:val="bottom"/>
            <w:tcBorders>
              <w:top w:val="single" w:sz="8" w:color="0000EE"/>
              <w:bottom w:val="single" w:sz="8" w:color="3E3935"/>
            </w:tcBorders>
          </w:tcPr>
          <w:p>
            <w:pPr>
              <w:spacing w:after="0" w:line="20" w:lineRule="exact"/>
              <w:rPr>
                <w:sz w:val="1"/>
                <w:szCs w:val="1"/>
                <w:color w:val="auto"/>
              </w:rPr>
            </w:pPr>
          </w:p>
        </w:tc>
        <w:tc>
          <w:tcPr>
            <w:tcW w:w="40" w:type="dxa"/>
            <w:vAlign w:val="bottom"/>
            <w:tcBorders>
              <w:top w:val="single" w:sz="8" w:color="0000EE"/>
              <w:bottom w:val="single" w:sz="8" w:color="3E3935"/>
            </w:tcBorders>
          </w:tcPr>
          <w:p>
            <w:pPr>
              <w:spacing w:after="0" w:line="20" w:lineRule="exact"/>
              <w:rPr>
                <w:sz w:val="1"/>
                <w:szCs w:val="1"/>
                <w:color w:val="auto"/>
              </w:rPr>
            </w:pPr>
          </w:p>
        </w:tc>
        <w:tc>
          <w:tcPr>
            <w:tcW w:w="200" w:type="dxa"/>
            <w:vAlign w:val="bottom"/>
            <w:tcBorders>
              <w:top w:val="single" w:sz="8" w:color="0000EE"/>
              <w:bottom w:val="single" w:sz="8" w:color="3E3935"/>
            </w:tcBorders>
          </w:tcPr>
          <w:p>
            <w:pPr>
              <w:spacing w:after="0" w:line="20" w:lineRule="exact"/>
              <w:rPr>
                <w:sz w:val="1"/>
                <w:szCs w:val="1"/>
                <w:color w:val="auto"/>
              </w:rPr>
            </w:pPr>
          </w:p>
        </w:tc>
        <w:tc>
          <w:tcPr>
            <w:tcW w:w="260" w:type="dxa"/>
            <w:vAlign w:val="bottom"/>
            <w:tcBorders>
              <w:top w:val="single" w:sz="8" w:color="0000EE"/>
              <w:bottom w:val="single" w:sz="8" w:color="3E3935"/>
            </w:tcBorders>
          </w:tcPr>
          <w:p>
            <w:pPr>
              <w:spacing w:after="0" w:line="20" w:lineRule="exact"/>
              <w:rPr>
                <w:sz w:val="1"/>
                <w:szCs w:val="1"/>
                <w:color w:val="auto"/>
              </w:rPr>
            </w:pPr>
          </w:p>
        </w:tc>
        <w:tc>
          <w:tcPr>
            <w:tcW w:w="120" w:type="dxa"/>
            <w:vAlign w:val="bottom"/>
            <w:tcBorders>
              <w:top w:val="single" w:sz="8" w:color="0000EE"/>
              <w:bottom w:val="single" w:sz="8" w:color="3E3935"/>
            </w:tcBorders>
          </w:tcPr>
          <w:p>
            <w:pPr>
              <w:spacing w:after="0" w:line="20" w:lineRule="exact"/>
              <w:rPr>
                <w:sz w:val="1"/>
                <w:szCs w:val="1"/>
                <w:color w:val="auto"/>
              </w:rPr>
            </w:pPr>
          </w:p>
        </w:tc>
        <w:tc>
          <w:tcPr>
            <w:tcW w:w="20" w:type="dxa"/>
            <w:vAlign w:val="bottom"/>
            <w:tcBorders>
              <w:top w:val="single" w:sz="8" w:color="0000EE"/>
              <w:bottom w:val="single" w:sz="8" w:color="3E3935"/>
            </w:tcBorders>
          </w:tcPr>
          <w:p>
            <w:pPr>
              <w:spacing w:after="0" w:line="20" w:lineRule="exact"/>
              <w:rPr>
                <w:sz w:val="1"/>
                <w:szCs w:val="1"/>
                <w:color w:val="auto"/>
              </w:rPr>
            </w:pPr>
          </w:p>
        </w:tc>
        <w:tc>
          <w:tcPr>
            <w:tcW w:w="80" w:type="dxa"/>
            <w:vAlign w:val="bottom"/>
            <w:tcBorders>
              <w:top w:val="single" w:sz="8" w:color="0000EE"/>
              <w:bottom w:val="single" w:sz="8" w:color="3E3935"/>
            </w:tcBorders>
          </w:tcPr>
          <w:p>
            <w:pPr>
              <w:spacing w:after="0" w:line="20" w:lineRule="exact"/>
              <w:rPr>
                <w:sz w:val="1"/>
                <w:szCs w:val="1"/>
                <w:color w:val="auto"/>
              </w:rPr>
            </w:pPr>
          </w:p>
        </w:tc>
        <w:tc>
          <w:tcPr>
            <w:tcW w:w="400" w:type="dxa"/>
            <w:vAlign w:val="bottom"/>
            <w:tcBorders>
              <w:top w:val="single" w:sz="8" w:color="0000EE"/>
              <w:bottom w:val="single" w:sz="8" w:color="3E3935"/>
            </w:tcBorders>
          </w:tcPr>
          <w:p>
            <w:pPr>
              <w:spacing w:after="0" w:line="20" w:lineRule="exact"/>
              <w:rPr>
                <w:sz w:val="1"/>
                <w:szCs w:val="1"/>
                <w:color w:val="auto"/>
              </w:rPr>
            </w:pPr>
          </w:p>
        </w:tc>
        <w:tc>
          <w:tcPr>
            <w:tcW w:w="100" w:type="dxa"/>
            <w:vAlign w:val="bottom"/>
            <w:tcBorders>
              <w:top w:val="single" w:sz="8" w:color="0000EE"/>
              <w:bottom w:val="single" w:sz="8" w:color="3E3935"/>
            </w:tcBorders>
          </w:tcPr>
          <w:p>
            <w:pPr>
              <w:spacing w:after="0" w:line="20" w:lineRule="exact"/>
              <w:rPr>
                <w:sz w:val="1"/>
                <w:szCs w:val="1"/>
                <w:color w:val="auto"/>
              </w:rPr>
            </w:pPr>
          </w:p>
        </w:tc>
        <w:tc>
          <w:tcPr>
            <w:tcW w:w="160" w:type="dxa"/>
            <w:vAlign w:val="bottom"/>
            <w:tcBorders>
              <w:top w:val="single" w:sz="8" w:color="0000EE"/>
              <w:bottom w:val="single" w:sz="8" w:color="3E3935"/>
            </w:tcBorders>
          </w:tcPr>
          <w:p>
            <w:pPr>
              <w:spacing w:after="0" w:line="20" w:lineRule="exact"/>
              <w:rPr>
                <w:sz w:val="1"/>
                <w:szCs w:val="1"/>
                <w:color w:val="auto"/>
              </w:rPr>
            </w:pPr>
          </w:p>
        </w:tc>
        <w:tc>
          <w:tcPr>
            <w:tcW w:w="20" w:type="dxa"/>
            <w:vAlign w:val="bottom"/>
            <w:tcBorders>
              <w:top w:val="single" w:sz="8" w:color="0000EE"/>
              <w:bottom w:val="single" w:sz="8" w:color="3E3935"/>
            </w:tcBorders>
          </w:tcPr>
          <w:p>
            <w:pPr>
              <w:spacing w:after="0" w:line="20" w:lineRule="exact"/>
              <w:rPr>
                <w:sz w:val="1"/>
                <w:szCs w:val="1"/>
                <w:color w:val="auto"/>
              </w:rPr>
            </w:pPr>
          </w:p>
        </w:tc>
        <w:tc>
          <w:tcPr>
            <w:tcW w:w="240" w:type="dxa"/>
            <w:vAlign w:val="bottom"/>
            <w:tcBorders>
              <w:top w:val="single" w:sz="8" w:color="0000EE"/>
              <w:bottom w:val="single" w:sz="8" w:color="3E3935"/>
            </w:tcBorders>
          </w:tcPr>
          <w:p>
            <w:pPr>
              <w:spacing w:after="0" w:line="20" w:lineRule="exact"/>
              <w:rPr>
                <w:sz w:val="1"/>
                <w:szCs w:val="1"/>
                <w:color w:val="auto"/>
              </w:rPr>
            </w:pPr>
          </w:p>
        </w:tc>
        <w:tc>
          <w:tcPr>
            <w:tcW w:w="120" w:type="dxa"/>
            <w:vAlign w:val="bottom"/>
            <w:tcBorders>
              <w:top w:val="single" w:sz="8" w:color="0000EE"/>
              <w:bottom w:val="single" w:sz="8" w:color="3E3935"/>
            </w:tcBorders>
          </w:tcPr>
          <w:p>
            <w:pPr>
              <w:spacing w:after="0" w:line="20" w:lineRule="exact"/>
              <w:rPr>
                <w:sz w:val="1"/>
                <w:szCs w:val="1"/>
                <w:color w:val="auto"/>
              </w:rPr>
            </w:pPr>
          </w:p>
        </w:tc>
        <w:tc>
          <w:tcPr>
            <w:tcW w:w="80" w:type="dxa"/>
            <w:vAlign w:val="bottom"/>
            <w:tcBorders>
              <w:top w:val="single" w:sz="8" w:color="0000EE"/>
              <w:bottom w:val="single" w:sz="8" w:color="3E3935"/>
            </w:tcBorders>
          </w:tcPr>
          <w:p>
            <w:pPr>
              <w:spacing w:after="0" w:line="20" w:lineRule="exact"/>
              <w:rPr>
                <w:sz w:val="1"/>
                <w:szCs w:val="1"/>
                <w:color w:val="auto"/>
              </w:rPr>
            </w:pPr>
          </w:p>
        </w:tc>
        <w:tc>
          <w:tcPr>
            <w:tcW w:w="140" w:type="dxa"/>
            <w:vAlign w:val="bottom"/>
            <w:tcBorders>
              <w:top w:val="single" w:sz="8" w:color="0000EE"/>
              <w:bottom w:val="single" w:sz="8" w:color="3E3935"/>
            </w:tcBorders>
          </w:tcPr>
          <w:p>
            <w:pPr>
              <w:spacing w:after="0" w:line="20" w:lineRule="exact"/>
              <w:rPr>
                <w:sz w:val="1"/>
                <w:szCs w:val="1"/>
                <w:color w:val="auto"/>
              </w:rPr>
            </w:pPr>
          </w:p>
        </w:tc>
        <w:tc>
          <w:tcPr>
            <w:tcW w:w="20" w:type="dxa"/>
            <w:vAlign w:val="bottom"/>
            <w:tcBorders>
              <w:top w:val="single" w:sz="8" w:color="0000EE"/>
              <w:bottom w:val="single" w:sz="8" w:color="3E3935"/>
            </w:tcBorders>
          </w:tcPr>
          <w:p>
            <w:pPr>
              <w:spacing w:after="0" w:line="20" w:lineRule="exact"/>
              <w:rPr>
                <w:sz w:val="1"/>
                <w:szCs w:val="1"/>
                <w:color w:val="auto"/>
              </w:rPr>
            </w:pPr>
          </w:p>
        </w:tc>
        <w:tc>
          <w:tcPr>
            <w:tcW w:w="100" w:type="dxa"/>
            <w:vAlign w:val="bottom"/>
            <w:tcBorders>
              <w:top w:val="single" w:sz="8" w:color="0000EE"/>
              <w:bottom w:val="single" w:sz="8" w:color="3E3935"/>
            </w:tcBorders>
          </w:tcPr>
          <w:p>
            <w:pPr>
              <w:spacing w:after="0" w:line="20" w:lineRule="exact"/>
              <w:rPr>
                <w:sz w:val="1"/>
                <w:szCs w:val="1"/>
                <w:color w:val="auto"/>
              </w:rPr>
            </w:pPr>
          </w:p>
        </w:tc>
        <w:tc>
          <w:tcPr>
            <w:tcW w:w="20" w:type="dxa"/>
            <w:vAlign w:val="bottom"/>
            <w:tcBorders>
              <w:top w:val="single" w:sz="8" w:color="0000EE"/>
              <w:bottom w:val="single" w:sz="8" w:color="3E3935"/>
            </w:tcBorders>
          </w:tcPr>
          <w:p>
            <w:pPr>
              <w:spacing w:after="0" w:line="20" w:lineRule="exact"/>
              <w:rPr>
                <w:sz w:val="1"/>
                <w:szCs w:val="1"/>
                <w:color w:val="auto"/>
              </w:rPr>
            </w:pPr>
          </w:p>
        </w:tc>
        <w:tc>
          <w:tcPr>
            <w:tcW w:w="200" w:type="dxa"/>
            <w:vAlign w:val="bottom"/>
            <w:tcBorders>
              <w:top w:val="single" w:sz="8" w:color="0000EE"/>
              <w:bottom w:val="single" w:sz="8" w:color="3E3935"/>
            </w:tcBorders>
          </w:tcPr>
          <w:p>
            <w:pPr>
              <w:spacing w:after="0" w:line="20" w:lineRule="exact"/>
              <w:rPr>
                <w:sz w:val="1"/>
                <w:szCs w:val="1"/>
                <w:color w:val="auto"/>
              </w:rPr>
            </w:pPr>
          </w:p>
        </w:tc>
        <w:tc>
          <w:tcPr>
            <w:tcW w:w="20" w:type="dxa"/>
            <w:vAlign w:val="bottom"/>
            <w:tcBorders>
              <w:top w:val="single" w:sz="8" w:color="0000EE"/>
              <w:bottom w:val="single" w:sz="8" w:color="3E3935"/>
            </w:tcBorders>
          </w:tcPr>
          <w:p>
            <w:pPr>
              <w:spacing w:after="0" w:line="20" w:lineRule="exact"/>
              <w:rPr>
                <w:sz w:val="1"/>
                <w:szCs w:val="1"/>
                <w:color w:val="auto"/>
              </w:rPr>
            </w:pPr>
          </w:p>
        </w:tc>
        <w:tc>
          <w:tcPr>
            <w:tcW w:w="60" w:type="dxa"/>
            <w:vAlign w:val="bottom"/>
            <w:tcBorders>
              <w:top w:val="single" w:sz="8" w:color="0000EE"/>
              <w:bottom w:val="single" w:sz="8" w:color="3E3935"/>
            </w:tcBorders>
          </w:tcPr>
          <w:p>
            <w:pPr>
              <w:spacing w:after="0" w:line="20" w:lineRule="exact"/>
              <w:rPr>
                <w:sz w:val="1"/>
                <w:szCs w:val="1"/>
                <w:color w:val="auto"/>
              </w:rPr>
            </w:pPr>
          </w:p>
        </w:tc>
        <w:tc>
          <w:tcPr>
            <w:tcW w:w="40" w:type="dxa"/>
            <w:vAlign w:val="bottom"/>
            <w:tcBorders>
              <w:bottom w:val="single" w:sz="8" w:color="3E3935"/>
            </w:tcBorders>
          </w:tcPr>
          <w:p>
            <w:pPr>
              <w:spacing w:after="0" w:line="20" w:lineRule="exact"/>
              <w:rPr>
                <w:sz w:val="1"/>
                <w:szCs w:val="1"/>
                <w:color w:val="auto"/>
              </w:rPr>
            </w:pPr>
          </w:p>
        </w:tc>
        <w:tc>
          <w:tcPr>
            <w:tcW w:w="60" w:type="dxa"/>
            <w:vAlign w:val="bottom"/>
            <w:tcBorders>
              <w:bottom w:val="single" w:sz="8" w:color="3E3935"/>
            </w:tcBorders>
          </w:tcPr>
          <w:p>
            <w:pPr>
              <w:spacing w:after="0" w:line="20" w:lineRule="exact"/>
              <w:rPr>
                <w:sz w:val="1"/>
                <w:szCs w:val="1"/>
                <w:color w:val="auto"/>
              </w:rPr>
            </w:pPr>
          </w:p>
        </w:tc>
        <w:tc>
          <w:tcPr>
            <w:tcW w:w="180" w:type="dxa"/>
            <w:vAlign w:val="bottom"/>
            <w:tcBorders>
              <w:bottom w:val="single" w:sz="8" w:color="3E3935"/>
            </w:tcBorders>
          </w:tcPr>
          <w:p>
            <w:pPr>
              <w:spacing w:after="0" w:line="20" w:lineRule="exact"/>
              <w:rPr>
                <w:sz w:val="1"/>
                <w:szCs w:val="1"/>
                <w:color w:val="auto"/>
              </w:rPr>
            </w:pPr>
          </w:p>
        </w:tc>
        <w:tc>
          <w:tcPr>
            <w:tcW w:w="20" w:type="dxa"/>
            <w:vAlign w:val="bottom"/>
            <w:tcBorders>
              <w:bottom w:val="single" w:sz="8" w:color="3E3935"/>
            </w:tcBorders>
          </w:tcPr>
          <w:p>
            <w:pPr>
              <w:spacing w:after="0" w:line="20" w:lineRule="exact"/>
              <w:rPr>
                <w:sz w:val="1"/>
                <w:szCs w:val="1"/>
                <w:color w:val="auto"/>
              </w:rPr>
            </w:pPr>
          </w:p>
        </w:tc>
        <w:tc>
          <w:tcPr>
            <w:tcW w:w="20" w:type="dxa"/>
            <w:vAlign w:val="bottom"/>
            <w:tcBorders>
              <w:bottom w:val="single" w:sz="8" w:color="3E3935"/>
            </w:tcBorders>
          </w:tcPr>
          <w:p>
            <w:pPr>
              <w:spacing w:after="0" w:line="20" w:lineRule="exact"/>
              <w:rPr>
                <w:sz w:val="1"/>
                <w:szCs w:val="1"/>
                <w:color w:val="auto"/>
              </w:rPr>
            </w:pPr>
          </w:p>
        </w:tc>
        <w:tc>
          <w:tcPr>
            <w:tcW w:w="160" w:type="dxa"/>
            <w:vAlign w:val="bottom"/>
            <w:tcBorders>
              <w:bottom w:val="single" w:sz="8" w:color="3E3935"/>
            </w:tcBorders>
          </w:tcPr>
          <w:p>
            <w:pPr>
              <w:spacing w:after="0" w:line="20" w:lineRule="exact"/>
              <w:rPr>
                <w:sz w:val="1"/>
                <w:szCs w:val="1"/>
                <w:color w:val="auto"/>
              </w:rPr>
            </w:pPr>
          </w:p>
        </w:tc>
        <w:tc>
          <w:tcPr>
            <w:tcW w:w="440" w:type="dxa"/>
            <w:vAlign w:val="bottom"/>
            <w:tcBorders>
              <w:bottom w:val="single" w:sz="8" w:color="3E3935"/>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840" w:type="dxa"/>
            <w:vAlign w:val="bottom"/>
            <w:gridSpan w:val="37"/>
          </w:tcPr>
          <w:p>
            <w:pPr>
              <w:spacing w:after="0"/>
              <w:rPr>
                <w:sz w:val="20"/>
                <w:szCs w:val="20"/>
                <w:color w:val="auto"/>
              </w:rPr>
            </w:pPr>
            <w:r>
              <w:rPr>
                <w:rFonts w:ascii="Arial" w:cs="Arial" w:eastAsia="Arial" w:hAnsi="Arial"/>
                <w:sz w:val="18"/>
                <w:szCs w:val="18"/>
                <w:color w:val="0000EE"/>
              </w:rPr>
              <w:t>AUDIT COMMITTEE REPORT</w:t>
            </w:r>
          </w:p>
        </w:tc>
        <w:tc>
          <w:tcPr>
            <w:tcW w:w="440" w:type="dxa"/>
            <w:vAlign w:val="bottom"/>
          </w:tcPr>
          <w:p>
            <w:pPr>
              <w:jc w:val="right"/>
              <w:spacing w:after="0"/>
              <w:rPr>
                <w:sz w:val="20"/>
                <w:szCs w:val="20"/>
                <w:color w:val="auto"/>
              </w:rPr>
            </w:pPr>
            <w:r>
              <w:rPr>
                <w:rFonts w:ascii="Arial" w:cs="Arial" w:eastAsia="Arial" w:hAnsi="Arial"/>
                <w:sz w:val="18"/>
                <w:szCs w:val="18"/>
                <w:i w:val="1"/>
                <w:iCs w:val="1"/>
                <w:color w:val="00C1DE"/>
              </w:rPr>
              <w:t>47</w:t>
            </w:r>
          </w:p>
        </w:tc>
        <w:tc>
          <w:tcPr>
            <w:tcW w:w="0" w:type="dxa"/>
            <w:vAlign w:val="bottom"/>
          </w:tcPr>
          <w:p>
            <w:pPr>
              <w:spacing w:after="0"/>
              <w:rPr>
                <w:sz w:val="1"/>
                <w:szCs w:val="1"/>
                <w:color w:val="auto"/>
              </w:rPr>
            </w:pPr>
          </w:p>
        </w:tc>
      </w:tr>
      <w:tr>
        <w:trPr>
          <w:trHeight w:val="20"/>
        </w:trPr>
        <w:tc>
          <w:tcPr>
            <w:tcW w:w="180" w:type="dxa"/>
            <w:vAlign w:val="bottom"/>
            <w:tcBorders>
              <w:top w:val="single" w:sz="8" w:color="0000EE"/>
              <w:bottom w:val="single" w:sz="8" w:color="3E3935"/>
            </w:tcBorders>
          </w:tcPr>
          <w:p>
            <w:pPr>
              <w:spacing w:after="0" w:line="20" w:lineRule="exact"/>
              <w:rPr>
                <w:sz w:val="1"/>
                <w:szCs w:val="1"/>
                <w:color w:val="auto"/>
              </w:rPr>
            </w:pPr>
          </w:p>
        </w:tc>
        <w:tc>
          <w:tcPr>
            <w:tcW w:w="360" w:type="dxa"/>
            <w:vAlign w:val="bottom"/>
            <w:tcBorders>
              <w:top w:val="single" w:sz="8" w:color="0000EE"/>
              <w:bottom w:val="single" w:sz="8" w:color="3E3935"/>
            </w:tcBorders>
          </w:tcPr>
          <w:p>
            <w:pPr>
              <w:spacing w:after="0" w:line="20" w:lineRule="exact"/>
              <w:rPr>
                <w:sz w:val="1"/>
                <w:szCs w:val="1"/>
                <w:color w:val="auto"/>
              </w:rPr>
            </w:pPr>
          </w:p>
        </w:tc>
        <w:tc>
          <w:tcPr>
            <w:tcW w:w="340" w:type="dxa"/>
            <w:vAlign w:val="bottom"/>
            <w:tcBorders>
              <w:top w:val="single" w:sz="8" w:color="0000EE"/>
              <w:bottom w:val="single" w:sz="8" w:color="3E3935"/>
            </w:tcBorders>
          </w:tcPr>
          <w:p>
            <w:pPr>
              <w:spacing w:after="0" w:line="20" w:lineRule="exact"/>
              <w:rPr>
                <w:sz w:val="1"/>
                <w:szCs w:val="1"/>
                <w:color w:val="auto"/>
              </w:rPr>
            </w:pPr>
          </w:p>
        </w:tc>
        <w:tc>
          <w:tcPr>
            <w:tcW w:w="160" w:type="dxa"/>
            <w:vAlign w:val="bottom"/>
            <w:tcBorders>
              <w:top w:val="single" w:sz="8" w:color="0000EE"/>
              <w:bottom w:val="single" w:sz="8" w:color="3E3935"/>
            </w:tcBorders>
          </w:tcPr>
          <w:p>
            <w:pPr>
              <w:spacing w:after="0" w:line="20" w:lineRule="exact"/>
              <w:rPr>
                <w:sz w:val="1"/>
                <w:szCs w:val="1"/>
                <w:color w:val="auto"/>
              </w:rPr>
            </w:pPr>
          </w:p>
        </w:tc>
        <w:tc>
          <w:tcPr>
            <w:tcW w:w="100" w:type="dxa"/>
            <w:vAlign w:val="bottom"/>
            <w:tcBorders>
              <w:top w:val="single" w:sz="8" w:color="0000EE"/>
              <w:bottom w:val="single" w:sz="8" w:color="3E3935"/>
            </w:tcBorders>
          </w:tcPr>
          <w:p>
            <w:pPr>
              <w:spacing w:after="0" w:line="20" w:lineRule="exact"/>
              <w:rPr>
                <w:sz w:val="1"/>
                <w:szCs w:val="1"/>
                <w:color w:val="auto"/>
              </w:rPr>
            </w:pPr>
          </w:p>
        </w:tc>
        <w:tc>
          <w:tcPr>
            <w:tcW w:w="100" w:type="dxa"/>
            <w:vAlign w:val="bottom"/>
            <w:tcBorders>
              <w:top w:val="single" w:sz="8" w:color="0000EE"/>
              <w:bottom w:val="single" w:sz="8" w:color="3E3935"/>
            </w:tcBorders>
          </w:tcPr>
          <w:p>
            <w:pPr>
              <w:spacing w:after="0" w:line="20" w:lineRule="exact"/>
              <w:rPr>
                <w:sz w:val="1"/>
                <w:szCs w:val="1"/>
                <w:color w:val="auto"/>
              </w:rPr>
            </w:pPr>
          </w:p>
        </w:tc>
        <w:tc>
          <w:tcPr>
            <w:tcW w:w="260" w:type="dxa"/>
            <w:vAlign w:val="bottom"/>
            <w:tcBorders>
              <w:top w:val="single" w:sz="8" w:color="0000EE"/>
              <w:bottom w:val="single" w:sz="8" w:color="3E3935"/>
            </w:tcBorders>
          </w:tcPr>
          <w:p>
            <w:pPr>
              <w:spacing w:after="0" w:line="20" w:lineRule="exact"/>
              <w:rPr>
                <w:sz w:val="1"/>
                <w:szCs w:val="1"/>
                <w:color w:val="auto"/>
              </w:rPr>
            </w:pPr>
          </w:p>
        </w:tc>
        <w:tc>
          <w:tcPr>
            <w:tcW w:w="100" w:type="dxa"/>
            <w:vAlign w:val="bottom"/>
            <w:tcBorders>
              <w:top w:val="single" w:sz="8" w:color="0000EE"/>
              <w:bottom w:val="single" w:sz="8" w:color="3E3935"/>
            </w:tcBorders>
          </w:tcPr>
          <w:p>
            <w:pPr>
              <w:spacing w:after="0" w:line="20" w:lineRule="exact"/>
              <w:rPr>
                <w:sz w:val="1"/>
                <w:szCs w:val="1"/>
                <w:color w:val="auto"/>
              </w:rPr>
            </w:pPr>
          </w:p>
        </w:tc>
        <w:tc>
          <w:tcPr>
            <w:tcW w:w="220" w:type="dxa"/>
            <w:vAlign w:val="bottom"/>
            <w:tcBorders>
              <w:top w:val="single" w:sz="8" w:color="0000EE"/>
              <w:bottom w:val="single" w:sz="8" w:color="3E3935"/>
            </w:tcBorders>
          </w:tcPr>
          <w:p>
            <w:pPr>
              <w:spacing w:after="0" w:line="20" w:lineRule="exact"/>
              <w:rPr>
                <w:sz w:val="1"/>
                <w:szCs w:val="1"/>
                <w:color w:val="auto"/>
              </w:rPr>
            </w:pPr>
          </w:p>
        </w:tc>
        <w:tc>
          <w:tcPr>
            <w:tcW w:w="60" w:type="dxa"/>
            <w:vAlign w:val="bottom"/>
            <w:tcBorders>
              <w:top w:val="single" w:sz="8" w:color="0000EE"/>
              <w:bottom w:val="single" w:sz="8" w:color="3E3935"/>
            </w:tcBorders>
          </w:tcPr>
          <w:p>
            <w:pPr>
              <w:spacing w:after="0" w:line="20" w:lineRule="exact"/>
              <w:rPr>
                <w:sz w:val="1"/>
                <w:szCs w:val="1"/>
                <w:color w:val="auto"/>
              </w:rPr>
            </w:pPr>
          </w:p>
        </w:tc>
        <w:tc>
          <w:tcPr>
            <w:tcW w:w="80" w:type="dxa"/>
            <w:vAlign w:val="bottom"/>
            <w:tcBorders>
              <w:top w:val="single" w:sz="8" w:color="0000EE"/>
              <w:bottom w:val="single" w:sz="8" w:color="3E3935"/>
            </w:tcBorders>
          </w:tcPr>
          <w:p>
            <w:pPr>
              <w:spacing w:after="0" w:line="20" w:lineRule="exact"/>
              <w:rPr>
                <w:sz w:val="1"/>
                <w:szCs w:val="1"/>
                <w:color w:val="auto"/>
              </w:rPr>
            </w:pPr>
          </w:p>
        </w:tc>
        <w:tc>
          <w:tcPr>
            <w:tcW w:w="40" w:type="dxa"/>
            <w:vAlign w:val="bottom"/>
            <w:tcBorders>
              <w:top w:val="single" w:sz="8" w:color="0000EE"/>
              <w:bottom w:val="single" w:sz="8" w:color="3E3935"/>
            </w:tcBorders>
          </w:tcPr>
          <w:p>
            <w:pPr>
              <w:spacing w:after="0" w:line="20" w:lineRule="exact"/>
              <w:rPr>
                <w:sz w:val="1"/>
                <w:szCs w:val="1"/>
                <w:color w:val="auto"/>
              </w:rPr>
            </w:pPr>
          </w:p>
        </w:tc>
        <w:tc>
          <w:tcPr>
            <w:tcW w:w="200" w:type="dxa"/>
            <w:vAlign w:val="bottom"/>
            <w:tcBorders>
              <w:top w:val="single" w:sz="8" w:color="0000EE"/>
              <w:bottom w:val="single" w:sz="8" w:color="3E3935"/>
            </w:tcBorders>
          </w:tcPr>
          <w:p>
            <w:pPr>
              <w:spacing w:after="0" w:line="20" w:lineRule="exact"/>
              <w:rPr>
                <w:sz w:val="1"/>
                <w:szCs w:val="1"/>
                <w:color w:val="auto"/>
              </w:rPr>
            </w:pPr>
          </w:p>
        </w:tc>
        <w:tc>
          <w:tcPr>
            <w:tcW w:w="260" w:type="dxa"/>
            <w:vAlign w:val="bottom"/>
            <w:tcBorders>
              <w:top w:val="single" w:sz="8" w:color="0000EE"/>
              <w:bottom w:val="single" w:sz="8" w:color="3E3935"/>
            </w:tcBorders>
          </w:tcPr>
          <w:p>
            <w:pPr>
              <w:spacing w:after="0" w:line="20" w:lineRule="exact"/>
              <w:rPr>
                <w:sz w:val="1"/>
                <w:szCs w:val="1"/>
                <w:color w:val="auto"/>
              </w:rPr>
            </w:pPr>
          </w:p>
        </w:tc>
        <w:tc>
          <w:tcPr>
            <w:tcW w:w="120" w:type="dxa"/>
            <w:vAlign w:val="bottom"/>
            <w:tcBorders>
              <w:bottom w:val="single" w:sz="8" w:color="3E3935"/>
            </w:tcBorders>
          </w:tcPr>
          <w:p>
            <w:pPr>
              <w:spacing w:after="0" w:line="20" w:lineRule="exact"/>
              <w:rPr>
                <w:sz w:val="1"/>
                <w:szCs w:val="1"/>
                <w:color w:val="auto"/>
              </w:rPr>
            </w:pPr>
          </w:p>
        </w:tc>
        <w:tc>
          <w:tcPr>
            <w:tcW w:w="20" w:type="dxa"/>
            <w:vAlign w:val="bottom"/>
            <w:tcBorders>
              <w:bottom w:val="single" w:sz="8" w:color="3E3935"/>
            </w:tcBorders>
          </w:tcPr>
          <w:p>
            <w:pPr>
              <w:spacing w:after="0" w:line="20" w:lineRule="exact"/>
              <w:rPr>
                <w:sz w:val="1"/>
                <w:szCs w:val="1"/>
                <w:color w:val="auto"/>
              </w:rPr>
            </w:pPr>
          </w:p>
        </w:tc>
        <w:tc>
          <w:tcPr>
            <w:tcW w:w="80" w:type="dxa"/>
            <w:vAlign w:val="bottom"/>
            <w:tcBorders>
              <w:bottom w:val="single" w:sz="8" w:color="3E3935"/>
            </w:tcBorders>
          </w:tcPr>
          <w:p>
            <w:pPr>
              <w:spacing w:after="0" w:line="20" w:lineRule="exact"/>
              <w:rPr>
                <w:sz w:val="1"/>
                <w:szCs w:val="1"/>
                <w:color w:val="auto"/>
              </w:rPr>
            </w:pPr>
          </w:p>
        </w:tc>
        <w:tc>
          <w:tcPr>
            <w:tcW w:w="400" w:type="dxa"/>
            <w:vAlign w:val="bottom"/>
            <w:tcBorders>
              <w:bottom w:val="single" w:sz="8" w:color="3E3935"/>
            </w:tcBorders>
          </w:tcPr>
          <w:p>
            <w:pPr>
              <w:spacing w:after="0" w:line="20" w:lineRule="exact"/>
              <w:rPr>
                <w:sz w:val="1"/>
                <w:szCs w:val="1"/>
                <w:color w:val="auto"/>
              </w:rPr>
            </w:pPr>
          </w:p>
        </w:tc>
        <w:tc>
          <w:tcPr>
            <w:tcW w:w="100" w:type="dxa"/>
            <w:vAlign w:val="bottom"/>
            <w:tcBorders>
              <w:bottom w:val="single" w:sz="8" w:color="3E3935"/>
            </w:tcBorders>
          </w:tcPr>
          <w:p>
            <w:pPr>
              <w:spacing w:after="0" w:line="20" w:lineRule="exact"/>
              <w:rPr>
                <w:sz w:val="1"/>
                <w:szCs w:val="1"/>
                <w:color w:val="auto"/>
              </w:rPr>
            </w:pPr>
          </w:p>
        </w:tc>
        <w:tc>
          <w:tcPr>
            <w:tcW w:w="160" w:type="dxa"/>
            <w:vAlign w:val="bottom"/>
            <w:tcBorders>
              <w:bottom w:val="single" w:sz="8" w:color="3E3935"/>
            </w:tcBorders>
          </w:tcPr>
          <w:p>
            <w:pPr>
              <w:spacing w:after="0" w:line="20" w:lineRule="exact"/>
              <w:rPr>
                <w:sz w:val="1"/>
                <w:szCs w:val="1"/>
                <w:color w:val="auto"/>
              </w:rPr>
            </w:pPr>
          </w:p>
        </w:tc>
        <w:tc>
          <w:tcPr>
            <w:tcW w:w="20" w:type="dxa"/>
            <w:vAlign w:val="bottom"/>
            <w:tcBorders>
              <w:bottom w:val="single" w:sz="8" w:color="3E3935"/>
            </w:tcBorders>
          </w:tcPr>
          <w:p>
            <w:pPr>
              <w:spacing w:after="0" w:line="20" w:lineRule="exact"/>
              <w:rPr>
                <w:sz w:val="1"/>
                <w:szCs w:val="1"/>
                <w:color w:val="auto"/>
              </w:rPr>
            </w:pPr>
          </w:p>
        </w:tc>
        <w:tc>
          <w:tcPr>
            <w:tcW w:w="240" w:type="dxa"/>
            <w:vAlign w:val="bottom"/>
            <w:tcBorders>
              <w:bottom w:val="single" w:sz="8" w:color="3E3935"/>
            </w:tcBorders>
          </w:tcPr>
          <w:p>
            <w:pPr>
              <w:spacing w:after="0" w:line="20" w:lineRule="exact"/>
              <w:rPr>
                <w:sz w:val="1"/>
                <w:szCs w:val="1"/>
                <w:color w:val="auto"/>
              </w:rPr>
            </w:pPr>
          </w:p>
        </w:tc>
        <w:tc>
          <w:tcPr>
            <w:tcW w:w="120" w:type="dxa"/>
            <w:vAlign w:val="bottom"/>
            <w:tcBorders>
              <w:bottom w:val="single" w:sz="8" w:color="3E3935"/>
            </w:tcBorders>
          </w:tcPr>
          <w:p>
            <w:pPr>
              <w:spacing w:after="0" w:line="20" w:lineRule="exact"/>
              <w:rPr>
                <w:sz w:val="1"/>
                <w:szCs w:val="1"/>
                <w:color w:val="auto"/>
              </w:rPr>
            </w:pPr>
          </w:p>
        </w:tc>
        <w:tc>
          <w:tcPr>
            <w:tcW w:w="80" w:type="dxa"/>
            <w:vAlign w:val="bottom"/>
            <w:tcBorders>
              <w:bottom w:val="single" w:sz="8" w:color="3E3935"/>
            </w:tcBorders>
          </w:tcPr>
          <w:p>
            <w:pPr>
              <w:spacing w:after="0" w:line="20" w:lineRule="exact"/>
              <w:rPr>
                <w:sz w:val="1"/>
                <w:szCs w:val="1"/>
                <w:color w:val="auto"/>
              </w:rPr>
            </w:pPr>
          </w:p>
        </w:tc>
        <w:tc>
          <w:tcPr>
            <w:tcW w:w="140" w:type="dxa"/>
            <w:vAlign w:val="bottom"/>
            <w:tcBorders>
              <w:bottom w:val="single" w:sz="8" w:color="3E3935"/>
            </w:tcBorders>
          </w:tcPr>
          <w:p>
            <w:pPr>
              <w:spacing w:after="0" w:line="20" w:lineRule="exact"/>
              <w:rPr>
                <w:sz w:val="1"/>
                <w:szCs w:val="1"/>
                <w:color w:val="auto"/>
              </w:rPr>
            </w:pPr>
          </w:p>
        </w:tc>
        <w:tc>
          <w:tcPr>
            <w:tcW w:w="20" w:type="dxa"/>
            <w:vAlign w:val="bottom"/>
            <w:tcBorders>
              <w:bottom w:val="single" w:sz="8" w:color="3E3935"/>
            </w:tcBorders>
          </w:tcPr>
          <w:p>
            <w:pPr>
              <w:spacing w:after="0" w:line="20" w:lineRule="exact"/>
              <w:rPr>
                <w:sz w:val="1"/>
                <w:szCs w:val="1"/>
                <w:color w:val="auto"/>
              </w:rPr>
            </w:pPr>
          </w:p>
        </w:tc>
        <w:tc>
          <w:tcPr>
            <w:tcW w:w="100" w:type="dxa"/>
            <w:vAlign w:val="bottom"/>
            <w:tcBorders>
              <w:bottom w:val="single" w:sz="8" w:color="3E3935"/>
            </w:tcBorders>
          </w:tcPr>
          <w:p>
            <w:pPr>
              <w:spacing w:after="0" w:line="20" w:lineRule="exact"/>
              <w:rPr>
                <w:sz w:val="1"/>
                <w:szCs w:val="1"/>
                <w:color w:val="auto"/>
              </w:rPr>
            </w:pPr>
          </w:p>
        </w:tc>
        <w:tc>
          <w:tcPr>
            <w:tcW w:w="20" w:type="dxa"/>
            <w:vAlign w:val="bottom"/>
            <w:tcBorders>
              <w:bottom w:val="single" w:sz="8" w:color="3E3935"/>
            </w:tcBorders>
          </w:tcPr>
          <w:p>
            <w:pPr>
              <w:spacing w:after="0" w:line="20" w:lineRule="exact"/>
              <w:rPr>
                <w:sz w:val="1"/>
                <w:szCs w:val="1"/>
                <w:color w:val="auto"/>
              </w:rPr>
            </w:pPr>
          </w:p>
        </w:tc>
        <w:tc>
          <w:tcPr>
            <w:tcW w:w="200" w:type="dxa"/>
            <w:vAlign w:val="bottom"/>
            <w:tcBorders>
              <w:bottom w:val="single" w:sz="8" w:color="3E3935"/>
            </w:tcBorders>
          </w:tcPr>
          <w:p>
            <w:pPr>
              <w:spacing w:after="0" w:line="20" w:lineRule="exact"/>
              <w:rPr>
                <w:sz w:val="1"/>
                <w:szCs w:val="1"/>
                <w:color w:val="auto"/>
              </w:rPr>
            </w:pPr>
          </w:p>
        </w:tc>
        <w:tc>
          <w:tcPr>
            <w:tcW w:w="20" w:type="dxa"/>
            <w:vAlign w:val="bottom"/>
            <w:tcBorders>
              <w:bottom w:val="single" w:sz="8" w:color="3E3935"/>
            </w:tcBorders>
          </w:tcPr>
          <w:p>
            <w:pPr>
              <w:spacing w:after="0" w:line="20" w:lineRule="exact"/>
              <w:rPr>
                <w:sz w:val="1"/>
                <w:szCs w:val="1"/>
                <w:color w:val="auto"/>
              </w:rPr>
            </w:pPr>
          </w:p>
        </w:tc>
        <w:tc>
          <w:tcPr>
            <w:tcW w:w="60" w:type="dxa"/>
            <w:vAlign w:val="bottom"/>
            <w:tcBorders>
              <w:bottom w:val="single" w:sz="8" w:color="3E3935"/>
            </w:tcBorders>
          </w:tcPr>
          <w:p>
            <w:pPr>
              <w:spacing w:after="0" w:line="20" w:lineRule="exact"/>
              <w:rPr>
                <w:sz w:val="1"/>
                <w:szCs w:val="1"/>
                <w:color w:val="auto"/>
              </w:rPr>
            </w:pPr>
          </w:p>
        </w:tc>
        <w:tc>
          <w:tcPr>
            <w:tcW w:w="40" w:type="dxa"/>
            <w:vAlign w:val="bottom"/>
            <w:tcBorders>
              <w:bottom w:val="single" w:sz="8" w:color="3E3935"/>
            </w:tcBorders>
          </w:tcPr>
          <w:p>
            <w:pPr>
              <w:spacing w:after="0" w:line="20" w:lineRule="exact"/>
              <w:rPr>
                <w:sz w:val="1"/>
                <w:szCs w:val="1"/>
                <w:color w:val="auto"/>
              </w:rPr>
            </w:pPr>
          </w:p>
        </w:tc>
        <w:tc>
          <w:tcPr>
            <w:tcW w:w="60" w:type="dxa"/>
            <w:vAlign w:val="bottom"/>
            <w:tcBorders>
              <w:bottom w:val="single" w:sz="8" w:color="3E3935"/>
            </w:tcBorders>
          </w:tcPr>
          <w:p>
            <w:pPr>
              <w:spacing w:after="0" w:line="20" w:lineRule="exact"/>
              <w:rPr>
                <w:sz w:val="1"/>
                <w:szCs w:val="1"/>
                <w:color w:val="auto"/>
              </w:rPr>
            </w:pPr>
          </w:p>
        </w:tc>
        <w:tc>
          <w:tcPr>
            <w:tcW w:w="180" w:type="dxa"/>
            <w:vAlign w:val="bottom"/>
            <w:tcBorders>
              <w:bottom w:val="single" w:sz="8" w:color="3E3935"/>
            </w:tcBorders>
          </w:tcPr>
          <w:p>
            <w:pPr>
              <w:spacing w:after="0" w:line="20" w:lineRule="exact"/>
              <w:rPr>
                <w:sz w:val="1"/>
                <w:szCs w:val="1"/>
                <w:color w:val="auto"/>
              </w:rPr>
            </w:pPr>
          </w:p>
        </w:tc>
        <w:tc>
          <w:tcPr>
            <w:tcW w:w="20" w:type="dxa"/>
            <w:vAlign w:val="bottom"/>
            <w:tcBorders>
              <w:bottom w:val="single" w:sz="8" w:color="3E3935"/>
            </w:tcBorders>
          </w:tcPr>
          <w:p>
            <w:pPr>
              <w:spacing w:after="0" w:line="20" w:lineRule="exact"/>
              <w:rPr>
                <w:sz w:val="1"/>
                <w:szCs w:val="1"/>
                <w:color w:val="auto"/>
              </w:rPr>
            </w:pPr>
          </w:p>
        </w:tc>
        <w:tc>
          <w:tcPr>
            <w:tcW w:w="20" w:type="dxa"/>
            <w:vAlign w:val="bottom"/>
            <w:tcBorders>
              <w:bottom w:val="single" w:sz="8" w:color="3E3935"/>
            </w:tcBorders>
          </w:tcPr>
          <w:p>
            <w:pPr>
              <w:spacing w:after="0" w:line="20" w:lineRule="exact"/>
              <w:rPr>
                <w:sz w:val="1"/>
                <w:szCs w:val="1"/>
                <w:color w:val="auto"/>
              </w:rPr>
            </w:pPr>
          </w:p>
        </w:tc>
        <w:tc>
          <w:tcPr>
            <w:tcW w:w="160" w:type="dxa"/>
            <w:vAlign w:val="bottom"/>
            <w:tcBorders>
              <w:bottom w:val="single" w:sz="8" w:color="3E3935"/>
            </w:tcBorders>
          </w:tcPr>
          <w:p>
            <w:pPr>
              <w:spacing w:after="0" w:line="20" w:lineRule="exact"/>
              <w:rPr>
                <w:sz w:val="1"/>
                <w:szCs w:val="1"/>
                <w:color w:val="auto"/>
              </w:rPr>
            </w:pPr>
          </w:p>
        </w:tc>
        <w:tc>
          <w:tcPr>
            <w:tcW w:w="440" w:type="dxa"/>
            <w:vAlign w:val="bottom"/>
            <w:tcBorders>
              <w:bottom w:val="single" w:sz="8" w:color="3E3935"/>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840" w:type="dxa"/>
            <w:vAlign w:val="bottom"/>
            <w:gridSpan w:val="37"/>
          </w:tcPr>
          <w:p>
            <w:pPr>
              <w:spacing w:after="0" w:line="156" w:lineRule="exact"/>
              <w:rPr>
                <w:sz w:val="20"/>
                <w:szCs w:val="20"/>
                <w:color w:val="auto"/>
              </w:rPr>
            </w:pPr>
            <w:r>
              <w:rPr>
                <w:rFonts w:ascii="Arial" w:cs="Arial" w:eastAsia="Arial" w:hAnsi="Arial"/>
                <w:sz w:val="18"/>
                <w:szCs w:val="18"/>
                <w:color w:val="0000EE"/>
              </w:rPr>
              <w:t>Fees Paid to Independent Registered Public Accounting</w:t>
            </w:r>
          </w:p>
        </w:tc>
        <w:tc>
          <w:tcPr>
            <w:tcW w:w="440" w:type="dxa"/>
            <w:vAlign w:val="bottom"/>
            <w:vMerge w:val="restart"/>
          </w:tcPr>
          <w:p>
            <w:pPr>
              <w:jc w:val="right"/>
              <w:spacing w:after="0"/>
              <w:rPr>
                <w:sz w:val="20"/>
                <w:szCs w:val="20"/>
                <w:color w:val="auto"/>
              </w:rPr>
            </w:pPr>
            <w:r>
              <w:rPr>
                <w:rFonts w:ascii="Arial" w:cs="Arial" w:eastAsia="Arial" w:hAnsi="Arial"/>
                <w:sz w:val="18"/>
                <w:szCs w:val="18"/>
                <w:i w:val="1"/>
                <w:iCs w:val="1"/>
                <w:color w:val="3E3935"/>
              </w:rPr>
              <w:t>49</w:t>
            </w:r>
          </w:p>
        </w:tc>
        <w:tc>
          <w:tcPr>
            <w:tcW w:w="0" w:type="dxa"/>
            <w:vAlign w:val="bottom"/>
          </w:tcPr>
          <w:p>
            <w:pPr>
              <w:spacing w:after="0"/>
              <w:rPr>
                <w:sz w:val="1"/>
                <w:szCs w:val="1"/>
                <w:color w:val="auto"/>
              </w:rPr>
            </w:pPr>
          </w:p>
        </w:tc>
      </w:tr>
      <w:tr>
        <w:trPr>
          <w:trHeight w:val="183"/>
        </w:trPr>
        <w:tc>
          <w:tcPr>
            <w:tcW w:w="180" w:type="dxa"/>
            <w:vAlign w:val="bottom"/>
            <w:tcBorders>
              <w:top w:val="single" w:sz="8" w:color="0000EE"/>
            </w:tcBorders>
          </w:tcPr>
          <w:p>
            <w:pPr>
              <w:spacing w:after="0"/>
              <w:rPr>
                <w:sz w:val="15"/>
                <w:szCs w:val="15"/>
                <w:color w:val="auto"/>
              </w:rPr>
            </w:pPr>
          </w:p>
        </w:tc>
        <w:tc>
          <w:tcPr>
            <w:tcW w:w="360" w:type="dxa"/>
            <w:vAlign w:val="bottom"/>
            <w:tcBorders>
              <w:top w:val="single" w:sz="8" w:color="0000EE"/>
              <w:bottom w:val="single" w:sz="8" w:color="0000EE"/>
            </w:tcBorders>
          </w:tcPr>
          <w:p>
            <w:pPr>
              <w:spacing w:after="0" w:line="182" w:lineRule="exact"/>
              <w:rPr>
                <w:sz w:val="20"/>
                <w:szCs w:val="20"/>
                <w:color w:val="auto"/>
              </w:rPr>
            </w:pPr>
            <w:r>
              <w:rPr>
                <w:rFonts w:ascii="Arial" w:cs="Arial" w:eastAsia="Arial" w:hAnsi="Arial"/>
                <w:sz w:val="18"/>
                <w:szCs w:val="18"/>
                <w:color w:val="0000EE"/>
                <w:w w:val="94"/>
              </w:rPr>
              <w:t>Firm</w:t>
            </w:r>
          </w:p>
        </w:tc>
        <w:tc>
          <w:tcPr>
            <w:tcW w:w="3920" w:type="dxa"/>
            <w:vAlign w:val="bottom"/>
            <w:tcBorders>
              <w:top w:val="single" w:sz="8" w:color="0000EE"/>
            </w:tcBorders>
            <w:gridSpan w:val="31"/>
          </w:tcPr>
          <w:p>
            <w:pPr>
              <w:spacing w:after="0"/>
              <w:rPr>
                <w:sz w:val="15"/>
                <w:szCs w:val="15"/>
                <w:color w:val="auto"/>
              </w:rPr>
            </w:pPr>
          </w:p>
        </w:tc>
        <w:tc>
          <w:tcPr>
            <w:tcW w:w="380" w:type="dxa"/>
            <w:vAlign w:val="bottom"/>
            <w:gridSpan w:val="4"/>
          </w:tcPr>
          <w:p>
            <w:pPr>
              <w:spacing w:after="0"/>
              <w:rPr>
                <w:sz w:val="15"/>
                <w:szCs w:val="15"/>
                <w:color w:val="auto"/>
              </w:rPr>
            </w:pPr>
          </w:p>
        </w:tc>
        <w:tc>
          <w:tcPr>
            <w:tcW w:w="4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4840" w:type="dxa"/>
            <w:vAlign w:val="bottom"/>
            <w:gridSpan w:val="37"/>
          </w:tcPr>
          <w:p>
            <w:pPr>
              <w:spacing w:after="0"/>
              <w:rPr>
                <w:sz w:val="20"/>
                <w:szCs w:val="20"/>
                <w:color w:val="auto"/>
              </w:rPr>
            </w:pPr>
            <w:r>
              <w:rPr>
                <w:rFonts w:ascii="Arial" w:cs="Arial" w:eastAsia="Arial" w:hAnsi="Arial"/>
                <w:sz w:val="18"/>
                <w:szCs w:val="18"/>
                <w:b w:val="1"/>
                <w:bCs w:val="1"/>
                <w:color w:val="0000EE"/>
              </w:rPr>
              <w:t>ITEM NO. 3 – PROPOSAL TO APPROVE, ON AN</w:t>
            </w:r>
          </w:p>
        </w:tc>
        <w:tc>
          <w:tcPr>
            <w:tcW w:w="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40" w:type="dxa"/>
            <w:vAlign w:val="bottom"/>
            <w:gridSpan w:val="6"/>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80" w:type="dxa"/>
            <w:vAlign w:val="bottom"/>
            <w:gridSpan w:val="4"/>
            <w:shd w:val="clear" w:color="auto" w:fill="0000EE"/>
          </w:tcPr>
          <w:p>
            <w:pPr>
              <w:spacing w:after="0" w:line="20" w:lineRule="exact"/>
              <w:rPr>
                <w:sz w:val="1"/>
                <w:szCs w:val="1"/>
                <w:color w:val="auto"/>
              </w:rPr>
            </w:pPr>
          </w:p>
        </w:tc>
        <w:tc>
          <w:tcPr>
            <w:tcW w:w="660" w:type="dxa"/>
            <w:vAlign w:val="bottom"/>
            <w:gridSpan w:val="3"/>
            <w:shd w:val="clear" w:color="auto" w:fill="0000EE"/>
          </w:tcPr>
          <w:p>
            <w:pPr>
              <w:spacing w:after="0" w:line="20" w:lineRule="exact"/>
              <w:rPr>
                <w:sz w:val="1"/>
                <w:szCs w:val="1"/>
                <w:color w:val="auto"/>
              </w:rPr>
            </w:pPr>
          </w:p>
        </w:tc>
        <w:tc>
          <w:tcPr>
            <w:tcW w:w="620" w:type="dxa"/>
            <w:vAlign w:val="bottom"/>
            <w:gridSpan w:val="6"/>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440" w:type="dxa"/>
            <w:vAlign w:val="bottom"/>
            <w:gridSpan w:val="5"/>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800" w:type="dxa"/>
            <w:vAlign w:val="bottom"/>
            <w:gridSpan w:val="33"/>
          </w:tcPr>
          <w:p>
            <w:pPr>
              <w:spacing w:after="0" w:line="182" w:lineRule="exact"/>
              <w:rPr>
                <w:sz w:val="20"/>
                <w:szCs w:val="20"/>
                <w:color w:val="auto"/>
              </w:rPr>
            </w:pPr>
            <w:r>
              <w:rPr>
                <w:rFonts w:ascii="Arial" w:cs="Arial" w:eastAsia="Arial" w:hAnsi="Arial"/>
                <w:sz w:val="18"/>
                <w:szCs w:val="18"/>
                <w:b w:val="1"/>
                <w:bCs w:val="1"/>
                <w:color w:val="0000EE"/>
              </w:rPr>
              <w:t>ADVISORY BASIS, NAMED EXECUTIVE</w:t>
            </w:r>
          </w:p>
        </w:tc>
        <w:tc>
          <w:tcPr>
            <w:tcW w:w="440" w:type="dxa"/>
            <w:vAlign w:val="bottom"/>
            <w:vMerge w:val="restart"/>
          </w:tcPr>
          <w:p>
            <w:pPr>
              <w:jc w:val="right"/>
              <w:spacing w:after="0"/>
              <w:rPr>
                <w:sz w:val="20"/>
                <w:szCs w:val="20"/>
                <w:color w:val="auto"/>
              </w:rPr>
            </w:pPr>
            <w:r>
              <w:rPr>
                <w:rFonts w:ascii="Arial" w:cs="Arial" w:eastAsia="Arial" w:hAnsi="Arial"/>
                <w:sz w:val="18"/>
                <w:szCs w:val="18"/>
                <w:i w:val="1"/>
                <w:iCs w:val="1"/>
                <w:color w:val="3E3935"/>
              </w:rPr>
              <w:t>50</w:t>
            </w:r>
          </w:p>
        </w:tc>
        <w:tc>
          <w:tcPr>
            <w:tcW w:w="0" w:type="dxa"/>
            <w:vAlign w:val="bottom"/>
          </w:tcPr>
          <w:p>
            <w:pPr>
              <w:spacing w:after="0"/>
              <w:rPr>
                <w:sz w:val="1"/>
                <w:szCs w:val="1"/>
                <w:color w:val="auto"/>
              </w:rPr>
            </w:pPr>
          </w:p>
        </w:tc>
      </w:tr>
      <w:tr>
        <w:trPr>
          <w:trHeight w:val="183"/>
        </w:trPr>
        <w:tc>
          <w:tcPr>
            <w:tcW w:w="1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360" w:type="dxa"/>
            <w:vAlign w:val="bottom"/>
            <w:tcBorders>
              <w:top w:val="single" w:sz="8" w:color="0000EE"/>
            </w:tcBorders>
            <w:gridSpan w:val="28"/>
          </w:tcPr>
          <w:p>
            <w:pPr>
              <w:spacing w:after="0" w:line="182" w:lineRule="exact"/>
              <w:rPr>
                <w:sz w:val="20"/>
                <w:szCs w:val="20"/>
                <w:color w:val="auto"/>
              </w:rPr>
            </w:pPr>
            <w:r>
              <w:rPr>
                <w:rFonts w:ascii="Arial" w:cs="Arial" w:eastAsia="Arial" w:hAnsi="Arial"/>
                <w:sz w:val="18"/>
                <w:szCs w:val="18"/>
                <w:b w:val="1"/>
                <w:bCs w:val="1"/>
                <w:color w:val="0000EE"/>
              </w:rPr>
              <w:t>OFFICER COMPENSATION</w:t>
            </w:r>
          </w:p>
        </w:tc>
        <w:tc>
          <w:tcPr>
            <w:tcW w:w="440" w:type="dxa"/>
            <w:vAlign w:val="bottom"/>
            <w:gridSpan w:val="5"/>
          </w:tcPr>
          <w:p>
            <w:pPr>
              <w:spacing w:after="0"/>
              <w:rPr>
                <w:sz w:val="15"/>
                <w:szCs w:val="15"/>
                <w:color w:val="auto"/>
              </w:rPr>
            </w:pPr>
          </w:p>
        </w:tc>
        <w:tc>
          <w:tcPr>
            <w:tcW w:w="4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80" w:type="dxa"/>
            <w:vAlign w:val="bottom"/>
            <w:tcBorders>
              <w:bottom w:val="single" w:sz="8" w:color="3E3935"/>
            </w:tcBorders>
          </w:tcPr>
          <w:p>
            <w:pPr>
              <w:spacing w:after="0" w:line="20" w:lineRule="exact"/>
              <w:rPr>
                <w:sz w:val="1"/>
                <w:szCs w:val="1"/>
                <w:color w:val="auto"/>
              </w:rPr>
            </w:pPr>
          </w:p>
        </w:tc>
        <w:tc>
          <w:tcPr>
            <w:tcW w:w="360" w:type="dxa"/>
            <w:vAlign w:val="bottom"/>
            <w:tcBorders>
              <w:bottom w:val="single" w:sz="8" w:color="3E3935"/>
            </w:tcBorders>
          </w:tcPr>
          <w:p>
            <w:pPr>
              <w:spacing w:after="0" w:line="20" w:lineRule="exact"/>
              <w:rPr>
                <w:sz w:val="1"/>
                <w:szCs w:val="1"/>
                <w:color w:val="auto"/>
              </w:rPr>
            </w:pPr>
          </w:p>
        </w:tc>
        <w:tc>
          <w:tcPr>
            <w:tcW w:w="340" w:type="dxa"/>
            <w:vAlign w:val="bottom"/>
            <w:tcBorders>
              <w:bottom w:val="single" w:sz="8" w:color="3E3935"/>
            </w:tcBorders>
          </w:tcPr>
          <w:p>
            <w:pPr>
              <w:spacing w:after="0" w:line="20" w:lineRule="exact"/>
              <w:rPr>
                <w:sz w:val="1"/>
                <w:szCs w:val="1"/>
                <w:color w:val="auto"/>
              </w:rPr>
            </w:pPr>
          </w:p>
        </w:tc>
        <w:tc>
          <w:tcPr>
            <w:tcW w:w="160" w:type="dxa"/>
            <w:vAlign w:val="bottom"/>
            <w:tcBorders>
              <w:bottom w:val="single" w:sz="8" w:color="3E3935"/>
            </w:tcBorders>
          </w:tcPr>
          <w:p>
            <w:pPr>
              <w:spacing w:after="0" w:line="20" w:lineRule="exact"/>
              <w:rPr>
                <w:sz w:val="1"/>
                <w:szCs w:val="1"/>
                <w:color w:val="auto"/>
              </w:rPr>
            </w:pPr>
          </w:p>
        </w:tc>
        <w:tc>
          <w:tcPr>
            <w:tcW w:w="100" w:type="dxa"/>
            <w:vAlign w:val="bottom"/>
            <w:tcBorders>
              <w:top w:val="single" w:sz="8" w:color="0000EE"/>
              <w:bottom w:val="single" w:sz="8" w:color="3E3935"/>
            </w:tcBorders>
          </w:tcPr>
          <w:p>
            <w:pPr>
              <w:spacing w:after="0" w:line="20" w:lineRule="exact"/>
              <w:rPr>
                <w:sz w:val="1"/>
                <w:szCs w:val="1"/>
                <w:color w:val="auto"/>
              </w:rPr>
            </w:pPr>
          </w:p>
        </w:tc>
        <w:tc>
          <w:tcPr>
            <w:tcW w:w="100" w:type="dxa"/>
            <w:vAlign w:val="bottom"/>
            <w:tcBorders>
              <w:top w:val="single" w:sz="8" w:color="0000EE"/>
              <w:bottom w:val="single" w:sz="8" w:color="3E3935"/>
            </w:tcBorders>
          </w:tcPr>
          <w:p>
            <w:pPr>
              <w:spacing w:after="0" w:line="20" w:lineRule="exact"/>
              <w:rPr>
                <w:sz w:val="1"/>
                <w:szCs w:val="1"/>
                <w:color w:val="auto"/>
              </w:rPr>
            </w:pPr>
          </w:p>
        </w:tc>
        <w:tc>
          <w:tcPr>
            <w:tcW w:w="260" w:type="dxa"/>
            <w:vAlign w:val="bottom"/>
            <w:tcBorders>
              <w:top w:val="single" w:sz="8" w:color="0000EE"/>
              <w:bottom w:val="single" w:sz="8" w:color="3E3935"/>
            </w:tcBorders>
          </w:tcPr>
          <w:p>
            <w:pPr>
              <w:spacing w:after="0" w:line="20" w:lineRule="exact"/>
              <w:rPr>
                <w:sz w:val="1"/>
                <w:szCs w:val="1"/>
                <w:color w:val="auto"/>
              </w:rPr>
            </w:pPr>
          </w:p>
        </w:tc>
        <w:tc>
          <w:tcPr>
            <w:tcW w:w="100" w:type="dxa"/>
            <w:vAlign w:val="bottom"/>
            <w:tcBorders>
              <w:top w:val="single" w:sz="8" w:color="0000EE"/>
              <w:bottom w:val="single" w:sz="8" w:color="3E3935"/>
            </w:tcBorders>
          </w:tcPr>
          <w:p>
            <w:pPr>
              <w:spacing w:after="0" w:line="20" w:lineRule="exact"/>
              <w:rPr>
                <w:sz w:val="1"/>
                <w:szCs w:val="1"/>
                <w:color w:val="auto"/>
              </w:rPr>
            </w:pPr>
          </w:p>
        </w:tc>
        <w:tc>
          <w:tcPr>
            <w:tcW w:w="220" w:type="dxa"/>
            <w:vAlign w:val="bottom"/>
            <w:tcBorders>
              <w:top w:val="single" w:sz="8" w:color="0000EE"/>
              <w:bottom w:val="single" w:sz="8" w:color="3E3935"/>
            </w:tcBorders>
          </w:tcPr>
          <w:p>
            <w:pPr>
              <w:spacing w:after="0" w:line="20" w:lineRule="exact"/>
              <w:rPr>
                <w:sz w:val="1"/>
                <w:szCs w:val="1"/>
                <w:color w:val="auto"/>
              </w:rPr>
            </w:pPr>
          </w:p>
        </w:tc>
        <w:tc>
          <w:tcPr>
            <w:tcW w:w="60" w:type="dxa"/>
            <w:vAlign w:val="bottom"/>
            <w:tcBorders>
              <w:top w:val="single" w:sz="8" w:color="0000EE"/>
              <w:bottom w:val="single" w:sz="8" w:color="3E3935"/>
            </w:tcBorders>
          </w:tcPr>
          <w:p>
            <w:pPr>
              <w:spacing w:after="0" w:line="20" w:lineRule="exact"/>
              <w:rPr>
                <w:sz w:val="1"/>
                <w:szCs w:val="1"/>
                <w:color w:val="auto"/>
              </w:rPr>
            </w:pPr>
          </w:p>
        </w:tc>
        <w:tc>
          <w:tcPr>
            <w:tcW w:w="80" w:type="dxa"/>
            <w:vAlign w:val="bottom"/>
            <w:tcBorders>
              <w:top w:val="single" w:sz="8" w:color="0000EE"/>
              <w:bottom w:val="single" w:sz="8" w:color="3E3935"/>
            </w:tcBorders>
          </w:tcPr>
          <w:p>
            <w:pPr>
              <w:spacing w:after="0" w:line="20" w:lineRule="exact"/>
              <w:rPr>
                <w:sz w:val="1"/>
                <w:szCs w:val="1"/>
                <w:color w:val="auto"/>
              </w:rPr>
            </w:pPr>
          </w:p>
        </w:tc>
        <w:tc>
          <w:tcPr>
            <w:tcW w:w="40" w:type="dxa"/>
            <w:vAlign w:val="bottom"/>
            <w:tcBorders>
              <w:top w:val="single" w:sz="8" w:color="0000EE"/>
              <w:bottom w:val="single" w:sz="8" w:color="3E3935"/>
            </w:tcBorders>
          </w:tcPr>
          <w:p>
            <w:pPr>
              <w:spacing w:after="0" w:line="20" w:lineRule="exact"/>
              <w:rPr>
                <w:sz w:val="1"/>
                <w:szCs w:val="1"/>
                <w:color w:val="auto"/>
              </w:rPr>
            </w:pPr>
          </w:p>
        </w:tc>
        <w:tc>
          <w:tcPr>
            <w:tcW w:w="200" w:type="dxa"/>
            <w:vAlign w:val="bottom"/>
            <w:tcBorders>
              <w:top w:val="single" w:sz="8" w:color="0000EE"/>
              <w:bottom w:val="single" w:sz="8" w:color="3E3935"/>
            </w:tcBorders>
          </w:tcPr>
          <w:p>
            <w:pPr>
              <w:spacing w:after="0" w:line="20" w:lineRule="exact"/>
              <w:rPr>
                <w:sz w:val="1"/>
                <w:szCs w:val="1"/>
                <w:color w:val="auto"/>
              </w:rPr>
            </w:pPr>
          </w:p>
        </w:tc>
        <w:tc>
          <w:tcPr>
            <w:tcW w:w="260" w:type="dxa"/>
            <w:vAlign w:val="bottom"/>
            <w:tcBorders>
              <w:top w:val="single" w:sz="8" w:color="0000EE"/>
              <w:bottom w:val="single" w:sz="8" w:color="3E3935"/>
            </w:tcBorders>
          </w:tcPr>
          <w:p>
            <w:pPr>
              <w:spacing w:after="0" w:line="20" w:lineRule="exact"/>
              <w:rPr>
                <w:sz w:val="1"/>
                <w:szCs w:val="1"/>
                <w:color w:val="auto"/>
              </w:rPr>
            </w:pPr>
          </w:p>
        </w:tc>
        <w:tc>
          <w:tcPr>
            <w:tcW w:w="120" w:type="dxa"/>
            <w:vAlign w:val="bottom"/>
            <w:tcBorders>
              <w:top w:val="single" w:sz="8" w:color="0000EE"/>
              <w:bottom w:val="single" w:sz="8" w:color="3E3935"/>
            </w:tcBorders>
          </w:tcPr>
          <w:p>
            <w:pPr>
              <w:spacing w:after="0" w:line="20" w:lineRule="exact"/>
              <w:rPr>
                <w:sz w:val="1"/>
                <w:szCs w:val="1"/>
                <w:color w:val="auto"/>
              </w:rPr>
            </w:pPr>
          </w:p>
        </w:tc>
        <w:tc>
          <w:tcPr>
            <w:tcW w:w="20" w:type="dxa"/>
            <w:vAlign w:val="bottom"/>
            <w:tcBorders>
              <w:top w:val="single" w:sz="8" w:color="0000EE"/>
              <w:bottom w:val="single" w:sz="8" w:color="3E3935"/>
            </w:tcBorders>
          </w:tcPr>
          <w:p>
            <w:pPr>
              <w:spacing w:after="0" w:line="20" w:lineRule="exact"/>
              <w:rPr>
                <w:sz w:val="1"/>
                <w:szCs w:val="1"/>
                <w:color w:val="auto"/>
              </w:rPr>
            </w:pPr>
          </w:p>
        </w:tc>
        <w:tc>
          <w:tcPr>
            <w:tcW w:w="80" w:type="dxa"/>
            <w:vAlign w:val="bottom"/>
            <w:tcBorders>
              <w:top w:val="single" w:sz="8" w:color="0000EE"/>
              <w:bottom w:val="single" w:sz="8" w:color="3E3935"/>
            </w:tcBorders>
          </w:tcPr>
          <w:p>
            <w:pPr>
              <w:spacing w:after="0" w:line="20" w:lineRule="exact"/>
              <w:rPr>
                <w:sz w:val="1"/>
                <w:szCs w:val="1"/>
                <w:color w:val="auto"/>
              </w:rPr>
            </w:pPr>
          </w:p>
        </w:tc>
        <w:tc>
          <w:tcPr>
            <w:tcW w:w="400" w:type="dxa"/>
            <w:vAlign w:val="bottom"/>
            <w:tcBorders>
              <w:top w:val="single" w:sz="8" w:color="0000EE"/>
              <w:bottom w:val="single" w:sz="8" w:color="3E3935"/>
            </w:tcBorders>
          </w:tcPr>
          <w:p>
            <w:pPr>
              <w:spacing w:after="0" w:line="20" w:lineRule="exact"/>
              <w:rPr>
                <w:sz w:val="1"/>
                <w:szCs w:val="1"/>
                <w:color w:val="auto"/>
              </w:rPr>
            </w:pPr>
          </w:p>
        </w:tc>
        <w:tc>
          <w:tcPr>
            <w:tcW w:w="100" w:type="dxa"/>
            <w:vAlign w:val="bottom"/>
            <w:tcBorders>
              <w:top w:val="single" w:sz="8" w:color="0000EE"/>
              <w:bottom w:val="single" w:sz="8" w:color="3E3935"/>
            </w:tcBorders>
          </w:tcPr>
          <w:p>
            <w:pPr>
              <w:spacing w:after="0" w:line="20" w:lineRule="exact"/>
              <w:rPr>
                <w:sz w:val="1"/>
                <w:szCs w:val="1"/>
                <w:color w:val="auto"/>
              </w:rPr>
            </w:pPr>
          </w:p>
        </w:tc>
        <w:tc>
          <w:tcPr>
            <w:tcW w:w="160" w:type="dxa"/>
            <w:vAlign w:val="bottom"/>
            <w:tcBorders>
              <w:top w:val="single" w:sz="8" w:color="0000EE"/>
              <w:bottom w:val="single" w:sz="8" w:color="3E3935"/>
            </w:tcBorders>
          </w:tcPr>
          <w:p>
            <w:pPr>
              <w:spacing w:after="0" w:line="20" w:lineRule="exact"/>
              <w:rPr>
                <w:sz w:val="1"/>
                <w:szCs w:val="1"/>
                <w:color w:val="auto"/>
              </w:rPr>
            </w:pPr>
          </w:p>
        </w:tc>
        <w:tc>
          <w:tcPr>
            <w:tcW w:w="20" w:type="dxa"/>
            <w:vAlign w:val="bottom"/>
            <w:tcBorders>
              <w:bottom w:val="single" w:sz="8" w:color="3E3935"/>
            </w:tcBorders>
          </w:tcPr>
          <w:p>
            <w:pPr>
              <w:spacing w:after="0" w:line="20" w:lineRule="exact"/>
              <w:rPr>
                <w:sz w:val="1"/>
                <w:szCs w:val="1"/>
                <w:color w:val="auto"/>
              </w:rPr>
            </w:pPr>
          </w:p>
        </w:tc>
        <w:tc>
          <w:tcPr>
            <w:tcW w:w="240" w:type="dxa"/>
            <w:vAlign w:val="bottom"/>
            <w:tcBorders>
              <w:bottom w:val="single" w:sz="8" w:color="3E3935"/>
            </w:tcBorders>
          </w:tcPr>
          <w:p>
            <w:pPr>
              <w:spacing w:after="0" w:line="20" w:lineRule="exact"/>
              <w:rPr>
                <w:sz w:val="1"/>
                <w:szCs w:val="1"/>
                <w:color w:val="auto"/>
              </w:rPr>
            </w:pPr>
          </w:p>
        </w:tc>
        <w:tc>
          <w:tcPr>
            <w:tcW w:w="120" w:type="dxa"/>
            <w:vAlign w:val="bottom"/>
            <w:tcBorders>
              <w:bottom w:val="single" w:sz="8" w:color="3E3935"/>
            </w:tcBorders>
          </w:tcPr>
          <w:p>
            <w:pPr>
              <w:spacing w:after="0" w:line="20" w:lineRule="exact"/>
              <w:rPr>
                <w:sz w:val="1"/>
                <w:szCs w:val="1"/>
                <w:color w:val="auto"/>
              </w:rPr>
            </w:pPr>
          </w:p>
        </w:tc>
        <w:tc>
          <w:tcPr>
            <w:tcW w:w="80" w:type="dxa"/>
            <w:vAlign w:val="bottom"/>
            <w:tcBorders>
              <w:bottom w:val="single" w:sz="8" w:color="3E3935"/>
            </w:tcBorders>
          </w:tcPr>
          <w:p>
            <w:pPr>
              <w:spacing w:after="0" w:line="20" w:lineRule="exact"/>
              <w:rPr>
                <w:sz w:val="1"/>
                <w:szCs w:val="1"/>
                <w:color w:val="auto"/>
              </w:rPr>
            </w:pPr>
          </w:p>
        </w:tc>
        <w:tc>
          <w:tcPr>
            <w:tcW w:w="140" w:type="dxa"/>
            <w:vAlign w:val="bottom"/>
            <w:tcBorders>
              <w:bottom w:val="single" w:sz="8" w:color="3E3935"/>
            </w:tcBorders>
          </w:tcPr>
          <w:p>
            <w:pPr>
              <w:spacing w:after="0" w:line="20" w:lineRule="exact"/>
              <w:rPr>
                <w:sz w:val="1"/>
                <w:szCs w:val="1"/>
                <w:color w:val="auto"/>
              </w:rPr>
            </w:pPr>
          </w:p>
        </w:tc>
        <w:tc>
          <w:tcPr>
            <w:tcW w:w="20" w:type="dxa"/>
            <w:vAlign w:val="bottom"/>
            <w:tcBorders>
              <w:bottom w:val="single" w:sz="8" w:color="3E3935"/>
            </w:tcBorders>
          </w:tcPr>
          <w:p>
            <w:pPr>
              <w:spacing w:after="0" w:line="20" w:lineRule="exact"/>
              <w:rPr>
                <w:sz w:val="1"/>
                <w:szCs w:val="1"/>
                <w:color w:val="auto"/>
              </w:rPr>
            </w:pPr>
          </w:p>
        </w:tc>
        <w:tc>
          <w:tcPr>
            <w:tcW w:w="100" w:type="dxa"/>
            <w:vAlign w:val="bottom"/>
            <w:tcBorders>
              <w:bottom w:val="single" w:sz="8" w:color="3E3935"/>
            </w:tcBorders>
          </w:tcPr>
          <w:p>
            <w:pPr>
              <w:spacing w:after="0" w:line="20" w:lineRule="exact"/>
              <w:rPr>
                <w:sz w:val="1"/>
                <w:szCs w:val="1"/>
                <w:color w:val="auto"/>
              </w:rPr>
            </w:pPr>
          </w:p>
        </w:tc>
        <w:tc>
          <w:tcPr>
            <w:tcW w:w="20" w:type="dxa"/>
            <w:vAlign w:val="bottom"/>
            <w:tcBorders>
              <w:bottom w:val="single" w:sz="8" w:color="3E3935"/>
            </w:tcBorders>
          </w:tcPr>
          <w:p>
            <w:pPr>
              <w:spacing w:after="0" w:line="20" w:lineRule="exact"/>
              <w:rPr>
                <w:sz w:val="1"/>
                <w:szCs w:val="1"/>
                <w:color w:val="auto"/>
              </w:rPr>
            </w:pPr>
          </w:p>
        </w:tc>
        <w:tc>
          <w:tcPr>
            <w:tcW w:w="200" w:type="dxa"/>
            <w:vAlign w:val="bottom"/>
            <w:tcBorders>
              <w:bottom w:val="single" w:sz="8" w:color="3E3935"/>
            </w:tcBorders>
          </w:tcPr>
          <w:p>
            <w:pPr>
              <w:spacing w:after="0" w:line="20" w:lineRule="exact"/>
              <w:rPr>
                <w:sz w:val="1"/>
                <w:szCs w:val="1"/>
                <w:color w:val="auto"/>
              </w:rPr>
            </w:pPr>
          </w:p>
        </w:tc>
        <w:tc>
          <w:tcPr>
            <w:tcW w:w="20" w:type="dxa"/>
            <w:vAlign w:val="bottom"/>
            <w:tcBorders>
              <w:bottom w:val="single" w:sz="8" w:color="3E3935"/>
            </w:tcBorders>
          </w:tcPr>
          <w:p>
            <w:pPr>
              <w:spacing w:after="0" w:line="20" w:lineRule="exact"/>
              <w:rPr>
                <w:sz w:val="1"/>
                <w:szCs w:val="1"/>
                <w:color w:val="auto"/>
              </w:rPr>
            </w:pPr>
          </w:p>
        </w:tc>
        <w:tc>
          <w:tcPr>
            <w:tcW w:w="60" w:type="dxa"/>
            <w:vAlign w:val="bottom"/>
            <w:tcBorders>
              <w:bottom w:val="single" w:sz="8" w:color="3E3935"/>
            </w:tcBorders>
          </w:tcPr>
          <w:p>
            <w:pPr>
              <w:spacing w:after="0" w:line="20" w:lineRule="exact"/>
              <w:rPr>
                <w:sz w:val="1"/>
                <w:szCs w:val="1"/>
                <w:color w:val="auto"/>
              </w:rPr>
            </w:pPr>
          </w:p>
        </w:tc>
        <w:tc>
          <w:tcPr>
            <w:tcW w:w="40" w:type="dxa"/>
            <w:vAlign w:val="bottom"/>
            <w:tcBorders>
              <w:bottom w:val="single" w:sz="8" w:color="3E3935"/>
            </w:tcBorders>
          </w:tcPr>
          <w:p>
            <w:pPr>
              <w:spacing w:after="0" w:line="20" w:lineRule="exact"/>
              <w:rPr>
                <w:sz w:val="1"/>
                <w:szCs w:val="1"/>
                <w:color w:val="auto"/>
              </w:rPr>
            </w:pPr>
          </w:p>
        </w:tc>
        <w:tc>
          <w:tcPr>
            <w:tcW w:w="60" w:type="dxa"/>
            <w:vAlign w:val="bottom"/>
            <w:tcBorders>
              <w:bottom w:val="single" w:sz="8" w:color="3E3935"/>
            </w:tcBorders>
          </w:tcPr>
          <w:p>
            <w:pPr>
              <w:spacing w:after="0" w:line="20" w:lineRule="exact"/>
              <w:rPr>
                <w:sz w:val="1"/>
                <w:szCs w:val="1"/>
                <w:color w:val="auto"/>
              </w:rPr>
            </w:pPr>
          </w:p>
        </w:tc>
        <w:tc>
          <w:tcPr>
            <w:tcW w:w="180" w:type="dxa"/>
            <w:vAlign w:val="bottom"/>
            <w:tcBorders>
              <w:bottom w:val="single" w:sz="8" w:color="3E3935"/>
            </w:tcBorders>
          </w:tcPr>
          <w:p>
            <w:pPr>
              <w:spacing w:after="0" w:line="20" w:lineRule="exact"/>
              <w:rPr>
                <w:sz w:val="1"/>
                <w:szCs w:val="1"/>
                <w:color w:val="auto"/>
              </w:rPr>
            </w:pPr>
          </w:p>
        </w:tc>
        <w:tc>
          <w:tcPr>
            <w:tcW w:w="20" w:type="dxa"/>
            <w:vAlign w:val="bottom"/>
            <w:tcBorders>
              <w:bottom w:val="single" w:sz="8" w:color="3E3935"/>
            </w:tcBorders>
          </w:tcPr>
          <w:p>
            <w:pPr>
              <w:spacing w:after="0" w:line="20" w:lineRule="exact"/>
              <w:rPr>
                <w:sz w:val="1"/>
                <w:szCs w:val="1"/>
                <w:color w:val="auto"/>
              </w:rPr>
            </w:pPr>
          </w:p>
        </w:tc>
        <w:tc>
          <w:tcPr>
            <w:tcW w:w="20" w:type="dxa"/>
            <w:vAlign w:val="bottom"/>
            <w:tcBorders>
              <w:bottom w:val="single" w:sz="8" w:color="3E3935"/>
            </w:tcBorders>
          </w:tcPr>
          <w:p>
            <w:pPr>
              <w:spacing w:after="0" w:line="20" w:lineRule="exact"/>
              <w:rPr>
                <w:sz w:val="1"/>
                <w:szCs w:val="1"/>
                <w:color w:val="auto"/>
              </w:rPr>
            </w:pPr>
          </w:p>
        </w:tc>
        <w:tc>
          <w:tcPr>
            <w:tcW w:w="160" w:type="dxa"/>
            <w:vAlign w:val="bottom"/>
            <w:tcBorders>
              <w:bottom w:val="single" w:sz="8" w:color="3E3935"/>
            </w:tcBorders>
          </w:tcPr>
          <w:p>
            <w:pPr>
              <w:spacing w:after="0" w:line="20" w:lineRule="exact"/>
              <w:rPr>
                <w:sz w:val="1"/>
                <w:szCs w:val="1"/>
                <w:color w:val="auto"/>
              </w:rPr>
            </w:pPr>
          </w:p>
        </w:tc>
        <w:tc>
          <w:tcPr>
            <w:tcW w:w="440" w:type="dxa"/>
            <w:vAlign w:val="bottom"/>
            <w:tcBorders>
              <w:bottom w:val="single" w:sz="8" w:color="3E3935"/>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840" w:type="dxa"/>
            <w:vAlign w:val="bottom"/>
            <w:gridSpan w:val="37"/>
          </w:tcPr>
          <w:p>
            <w:pPr>
              <w:spacing w:after="0"/>
              <w:rPr>
                <w:sz w:val="20"/>
                <w:szCs w:val="20"/>
                <w:color w:val="auto"/>
              </w:rPr>
            </w:pPr>
            <w:r>
              <w:rPr>
                <w:rFonts w:ascii="Arial" w:cs="Arial" w:eastAsia="Arial" w:hAnsi="Arial"/>
                <w:sz w:val="18"/>
                <w:szCs w:val="18"/>
                <w:color w:val="0000EE"/>
              </w:rPr>
              <w:t>COMPENSATION DISCUSSION AND ANALYSIS</w:t>
            </w:r>
          </w:p>
        </w:tc>
        <w:tc>
          <w:tcPr>
            <w:tcW w:w="440" w:type="dxa"/>
            <w:vAlign w:val="bottom"/>
          </w:tcPr>
          <w:p>
            <w:pPr>
              <w:jc w:val="right"/>
              <w:spacing w:after="0"/>
              <w:rPr>
                <w:sz w:val="20"/>
                <w:szCs w:val="20"/>
                <w:color w:val="auto"/>
              </w:rPr>
            </w:pPr>
            <w:r>
              <w:rPr>
                <w:rFonts w:ascii="Arial" w:cs="Arial" w:eastAsia="Arial" w:hAnsi="Arial"/>
                <w:sz w:val="18"/>
                <w:szCs w:val="18"/>
                <w:i w:val="1"/>
                <w:iCs w:val="1"/>
                <w:color w:val="00C1DE"/>
              </w:rPr>
              <w:t>51</w:t>
            </w:r>
          </w:p>
        </w:tc>
        <w:tc>
          <w:tcPr>
            <w:tcW w:w="0" w:type="dxa"/>
            <w:vAlign w:val="bottom"/>
          </w:tcPr>
          <w:p>
            <w:pPr>
              <w:spacing w:after="0"/>
              <w:rPr>
                <w:sz w:val="1"/>
                <w:szCs w:val="1"/>
                <w:color w:val="auto"/>
              </w:rPr>
            </w:pPr>
          </w:p>
        </w:tc>
      </w:tr>
      <w:tr>
        <w:trPr>
          <w:trHeight w:val="20"/>
        </w:trPr>
        <w:tc>
          <w:tcPr>
            <w:tcW w:w="180" w:type="dxa"/>
            <w:vAlign w:val="bottom"/>
            <w:tcBorders>
              <w:top w:val="single" w:sz="8" w:color="0000EE"/>
              <w:bottom w:val="single" w:sz="8" w:color="3E3935"/>
            </w:tcBorders>
          </w:tcPr>
          <w:p>
            <w:pPr>
              <w:spacing w:after="0" w:line="20" w:lineRule="exact"/>
              <w:rPr>
                <w:sz w:val="1"/>
                <w:szCs w:val="1"/>
                <w:color w:val="auto"/>
              </w:rPr>
            </w:pPr>
          </w:p>
        </w:tc>
        <w:tc>
          <w:tcPr>
            <w:tcW w:w="360" w:type="dxa"/>
            <w:vAlign w:val="bottom"/>
            <w:tcBorders>
              <w:top w:val="single" w:sz="8" w:color="0000EE"/>
              <w:bottom w:val="single" w:sz="8" w:color="3E3935"/>
            </w:tcBorders>
          </w:tcPr>
          <w:p>
            <w:pPr>
              <w:spacing w:after="0" w:line="20" w:lineRule="exact"/>
              <w:rPr>
                <w:sz w:val="1"/>
                <w:szCs w:val="1"/>
                <w:color w:val="auto"/>
              </w:rPr>
            </w:pPr>
          </w:p>
        </w:tc>
        <w:tc>
          <w:tcPr>
            <w:tcW w:w="340" w:type="dxa"/>
            <w:vAlign w:val="bottom"/>
            <w:tcBorders>
              <w:top w:val="single" w:sz="8" w:color="0000EE"/>
              <w:bottom w:val="single" w:sz="8" w:color="3E3935"/>
            </w:tcBorders>
          </w:tcPr>
          <w:p>
            <w:pPr>
              <w:spacing w:after="0" w:line="20" w:lineRule="exact"/>
              <w:rPr>
                <w:sz w:val="1"/>
                <w:szCs w:val="1"/>
                <w:color w:val="auto"/>
              </w:rPr>
            </w:pPr>
          </w:p>
        </w:tc>
        <w:tc>
          <w:tcPr>
            <w:tcW w:w="160" w:type="dxa"/>
            <w:vAlign w:val="bottom"/>
            <w:tcBorders>
              <w:top w:val="single" w:sz="8" w:color="0000EE"/>
              <w:bottom w:val="single" w:sz="8" w:color="3E3935"/>
            </w:tcBorders>
          </w:tcPr>
          <w:p>
            <w:pPr>
              <w:spacing w:after="0" w:line="20" w:lineRule="exact"/>
              <w:rPr>
                <w:sz w:val="1"/>
                <w:szCs w:val="1"/>
                <w:color w:val="auto"/>
              </w:rPr>
            </w:pPr>
          </w:p>
        </w:tc>
        <w:tc>
          <w:tcPr>
            <w:tcW w:w="100" w:type="dxa"/>
            <w:vAlign w:val="bottom"/>
            <w:tcBorders>
              <w:top w:val="single" w:sz="8" w:color="0000EE"/>
              <w:bottom w:val="single" w:sz="8" w:color="3E3935"/>
            </w:tcBorders>
          </w:tcPr>
          <w:p>
            <w:pPr>
              <w:spacing w:after="0" w:line="20" w:lineRule="exact"/>
              <w:rPr>
                <w:sz w:val="1"/>
                <w:szCs w:val="1"/>
                <w:color w:val="auto"/>
              </w:rPr>
            </w:pPr>
          </w:p>
        </w:tc>
        <w:tc>
          <w:tcPr>
            <w:tcW w:w="100" w:type="dxa"/>
            <w:vAlign w:val="bottom"/>
            <w:tcBorders>
              <w:top w:val="single" w:sz="8" w:color="0000EE"/>
              <w:bottom w:val="single" w:sz="8" w:color="3E3935"/>
            </w:tcBorders>
          </w:tcPr>
          <w:p>
            <w:pPr>
              <w:spacing w:after="0" w:line="20" w:lineRule="exact"/>
              <w:rPr>
                <w:sz w:val="1"/>
                <w:szCs w:val="1"/>
                <w:color w:val="auto"/>
              </w:rPr>
            </w:pPr>
          </w:p>
        </w:tc>
        <w:tc>
          <w:tcPr>
            <w:tcW w:w="260" w:type="dxa"/>
            <w:vAlign w:val="bottom"/>
            <w:tcBorders>
              <w:top w:val="single" w:sz="8" w:color="0000EE"/>
              <w:bottom w:val="single" w:sz="8" w:color="3E3935"/>
            </w:tcBorders>
          </w:tcPr>
          <w:p>
            <w:pPr>
              <w:spacing w:after="0" w:line="20" w:lineRule="exact"/>
              <w:rPr>
                <w:sz w:val="1"/>
                <w:szCs w:val="1"/>
                <w:color w:val="auto"/>
              </w:rPr>
            </w:pPr>
          </w:p>
        </w:tc>
        <w:tc>
          <w:tcPr>
            <w:tcW w:w="100" w:type="dxa"/>
            <w:vAlign w:val="bottom"/>
            <w:tcBorders>
              <w:top w:val="single" w:sz="8" w:color="0000EE"/>
              <w:bottom w:val="single" w:sz="8" w:color="3E3935"/>
            </w:tcBorders>
          </w:tcPr>
          <w:p>
            <w:pPr>
              <w:spacing w:after="0" w:line="20" w:lineRule="exact"/>
              <w:rPr>
                <w:sz w:val="1"/>
                <w:szCs w:val="1"/>
                <w:color w:val="auto"/>
              </w:rPr>
            </w:pPr>
          </w:p>
        </w:tc>
        <w:tc>
          <w:tcPr>
            <w:tcW w:w="220" w:type="dxa"/>
            <w:vAlign w:val="bottom"/>
            <w:tcBorders>
              <w:top w:val="single" w:sz="8" w:color="0000EE"/>
              <w:bottom w:val="single" w:sz="8" w:color="3E3935"/>
            </w:tcBorders>
          </w:tcPr>
          <w:p>
            <w:pPr>
              <w:spacing w:after="0" w:line="20" w:lineRule="exact"/>
              <w:rPr>
                <w:sz w:val="1"/>
                <w:szCs w:val="1"/>
                <w:color w:val="auto"/>
              </w:rPr>
            </w:pPr>
          </w:p>
        </w:tc>
        <w:tc>
          <w:tcPr>
            <w:tcW w:w="60" w:type="dxa"/>
            <w:vAlign w:val="bottom"/>
            <w:tcBorders>
              <w:top w:val="single" w:sz="8" w:color="0000EE"/>
              <w:bottom w:val="single" w:sz="8" w:color="3E3935"/>
            </w:tcBorders>
          </w:tcPr>
          <w:p>
            <w:pPr>
              <w:spacing w:after="0" w:line="20" w:lineRule="exact"/>
              <w:rPr>
                <w:sz w:val="1"/>
                <w:szCs w:val="1"/>
                <w:color w:val="auto"/>
              </w:rPr>
            </w:pPr>
          </w:p>
        </w:tc>
        <w:tc>
          <w:tcPr>
            <w:tcW w:w="80" w:type="dxa"/>
            <w:vAlign w:val="bottom"/>
            <w:tcBorders>
              <w:top w:val="single" w:sz="8" w:color="0000EE"/>
              <w:bottom w:val="single" w:sz="8" w:color="3E3935"/>
            </w:tcBorders>
          </w:tcPr>
          <w:p>
            <w:pPr>
              <w:spacing w:after="0" w:line="20" w:lineRule="exact"/>
              <w:rPr>
                <w:sz w:val="1"/>
                <w:szCs w:val="1"/>
                <w:color w:val="auto"/>
              </w:rPr>
            </w:pPr>
          </w:p>
        </w:tc>
        <w:tc>
          <w:tcPr>
            <w:tcW w:w="40" w:type="dxa"/>
            <w:vAlign w:val="bottom"/>
            <w:tcBorders>
              <w:top w:val="single" w:sz="8" w:color="0000EE"/>
              <w:bottom w:val="single" w:sz="8" w:color="3E3935"/>
            </w:tcBorders>
          </w:tcPr>
          <w:p>
            <w:pPr>
              <w:spacing w:after="0" w:line="20" w:lineRule="exact"/>
              <w:rPr>
                <w:sz w:val="1"/>
                <w:szCs w:val="1"/>
                <w:color w:val="auto"/>
              </w:rPr>
            </w:pPr>
          </w:p>
        </w:tc>
        <w:tc>
          <w:tcPr>
            <w:tcW w:w="200" w:type="dxa"/>
            <w:vAlign w:val="bottom"/>
            <w:tcBorders>
              <w:top w:val="single" w:sz="8" w:color="0000EE"/>
              <w:bottom w:val="single" w:sz="8" w:color="3E3935"/>
            </w:tcBorders>
          </w:tcPr>
          <w:p>
            <w:pPr>
              <w:spacing w:after="0" w:line="20" w:lineRule="exact"/>
              <w:rPr>
                <w:sz w:val="1"/>
                <w:szCs w:val="1"/>
                <w:color w:val="auto"/>
              </w:rPr>
            </w:pPr>
          </w:p>
        </w:tc>
        <w:tc>
          <w:tcPr>
            <w:tcW w:w="260" w:type="dxa"/>
            <w:vAlign w:val="bottom"/>
            <w:tcBorders>
              <w:top w:val="single" w:sz="8" w:color="0000EE"/>
              <w:bottom w:val="single" w:sz="8" w:color="3E3935"/>
            </w:tcBorders>
          </w:tcPr>
          <w:p>
            <w:pPr>
              <w:spacing w:after="0" w:line="20" w:lineRule="exact"/>
              <w:rPr>
                <w:sz w:val="1"/>
                <w:szCs w:val="1"/>
                <w:color w:val="auto"/>
              </w:rPr>
            </w:pPr>
          </w:p>
        </w:tc>
        <w:tc>
          <w:tcPr>
            <w:tcW w:w="120" w:type="dxa"/>
            <w:vAlign w:val="bottom"/>
            <w:tcBorders>
              <w:top w:val="single" w:sz="8" w:color="0000EE"/>
              <w:bottom w:val="single" w:sz="8" w:color="3E3935"/>
            </w:tcBorders>
          </w:tcPr>
          <w:p>
            <w:pPr>
              <w:spacing w:after="0" w:line="20" w:lineRule="exact"/>
              <w:rPr>
                <w:sz w:val="1"/>
                <w:szCs w:val="1"/>
                <w:color w:val="auto"/>
              </w:rPr>
            </w:pPr>
          </w:p>
        </w:tc>
        <w:tc>
          <w:tcPr>
            <w:tcW w:w="20" w:type="dxa"/>
            <w:vAlign w:val="bottom"/>
            <w:tcBorders>
              <w:top w:val="single" w:sz="8" w:color="0000EE"/>
              <w:bottom w:val="single" w:sz="8" w:color="3E3935"/>
            </w:tcBorders>
          </w:tcPr>
          <w:p>
            <w:pPr>
              <w:spacing w:after="0" w:line="20" w:lineRule="exact"/>
              <w:rPr>
                <w:sz w:val="1"/>
                <w:szCs w:val="1"/>
                <w:color w:val="auto"/>
              </w:rPr>
            </w:pPr>
          </w:p>
        </w:tc>
        <w:tc>
          <w:tcPr>
            <w:tcW w:w="80" w:type="dxa"/>
            <w:vAlign w:val="bottom"/>
            <w:tcBorders>
              <w:top w:val="single" w:sz="8" w:color="0000EE"/>
              <w:bottom w:val="single" w:sz="8" w:color="3E3935"/>
            </w:tcBorders>
          </w:tcPr>
          <w:p>
            <w:pPr>
              <w:spacing w:after="0" w:line="20" w:lineRule="exact"/>
              <w:rPr>
                <w:sz w:val="1"/>
                <w:szCs w:val="1"/>
                <w:color w:val="auto"/>
              </w:rPr>
            </w:pPr>
          </w:p>
        </w:tc>
        <w:tc>
          <w:tcPr>
            <w:tcW w:w="400" w:type="dxa"/>
            <w:vAlign w:val="bottom"/>
            <w:tcBorders>
              <w:top w:val="single" w:sz="8" w:color="0000EE"/>
              <w:bottom w:val="single" w:sz="8" w:color="3E3935"/>
            </w:tcBorders>
          </w:tcPr>
          <w:p>
            <w:pPr>
              <w:spacing w:after="0" w:line="20" w:lineRule="exact"/>
              <w:rPr>
                <w:sz w:val="1"/>
                <w:szCs w:val="1"/>
                <w:color w:val="auto"/>
              </w:rPr>
            </w:pPr>
          </w:p>
        </w:tc>
        <w:tc>
          <w:tcPr>
            <w:tcW w:w="100" w:type="dxa"/>
            <w:vAlign w:val="bottom"/>
            <w:tcBorders>
              <w:top w:val="single" w:sz="8" w:color="0000EE"/>
              <w:bottom w:val="single" w:sz="8" w:color="3E3935"/>
            </w:tcBorders>
          </w:tcPr>
          <w:p>
            <w:pPr>
              <w:spacing w:after="0" w:line="20" w:lineRule="exact"/>
              <w:rPr>
                <w:sz w:val="1"/>
                <w:szCs w:val="1"/>
                <w:color w:val="auto"/>
              </w:rPr>
            </w:pPr>
          </w:p>
        </w:tc>
        <w:tc>
          <w:tcPr>
            <w:tcW w:w="160" w:type="dxa"/>
            <w:vAlign w:val="bottom"/>
            <w:tcBorders>
              <w:top w:val="single" w:sz="8" w:color="0000EE"/>
              <w:bottom w:val="single" w:sz="8" w:color="3E3935"/>
            </w:tcBorders>
          </w:tcPr>
          <w:p>
            <w:pPr>
              <w:spacing w:after="0" w:line="20" w:lineRule="exact"/>
              <w:rPr>
                <w:sz w:val="1"/>
                <w:szCs w:val="1"/>
                <w:color w:val="auto"/>
              </w:rPr>
            </w:pPr>
          </w:p>
        </w:tc>
        <w:tc>
          <w:tcPr>
            <w:tcW w:w="20" w:type="dxa"/>
            <w:vAlign w:val="bottom"/>
            <w:tcBorders>
              <w:top w:val="single" w:sz="8" w:color="0000EE"/>
              <w:bottom w:val="single" w:sz="8" w:color="3E3935"/>
            </w:tcBorders>
          </w:tcPr>
          <w:p>
            <w:pPr>
              <w:spacing w:after="0" w:line="20" w:lineRule="exact"/>
              <w:rPr>
                <w:sz w:val="1"/>
                <w:szCs w:val="1"/>
                <w:color w:val="auto"/>
              </w:rPr>
            </w:pPr>
          </w:p>
        </w:tc>
        <w:tc>
          <w:tcPr>
            <w:tcW w:w="240" w:type="dxa"/>
            <w:vAlign w:val="bottom"/>
            <w:tcBorders>
              <w:top w:val="single" w:sz="8" w:color="0000EE"/>
              <w:bottom w:val="single" w:sz="8" w:color="3E3935"/>
            </w:tcBorders>
          </w:tcPr>
          <w:p>
            <w:pPr>
              <w:spacing w:after="0" w:line="20" w:lineRule="exact"/>
              <w:rPr>
                <w:sz w:val="1"/>
                <w:szCs w:val="1"/>
                <w:color w:val="auto"/>
              </w:rPr>
            </w:pPr>
          </w:p>
        </w:tc>
        <w:tc>
          <w:tcPr>
            <w:tcW w:w="120" w:type="dxa"/>
            <w:vAlign w:val="bottom"/>
            <w:tcBorders>
              <w:top w:val="single" w:sz="8" w:color="0000EE"/>
              <w:bottom w:val="single" w:sz="8" w:color="3E3935"/>
            </w:tcBorders>
          </w:tcPr>
          <w:p>
            <w:pPr>
              <w:spacing w:after="0" w:line="20" w:lineRule="exact"/>
              <w:rPr>
                <w:sz w:val="1"/>
                <w:szCs w:val="1"/>
                <w:color w:val="auto"/>
              </w:rPr>
            </w:pPr>
          </w:p>
        </w:tc>
        <w:tc>
          <w:tcPr>
            <w:tcW w:w="80" w:type="dxa"/>
            <w:vAlign w:val="bottom"/>
            <w:tcBorders>
              <w:top w:val="single" w:sz="8" w:color="0000EE"/>
              <w:bottom w:val="single" w:sz="8" w:color="3E3935"/>
            </w:tcBorders>
          </w:tcPr>
          <w:p>
            <w:pPr>
              <w:spacing w:after="0" w:line="20" w:lineRule="exact"/>
              <w:rPr>
                <w:sz w:val="1"/>
                <w:szCs w:val="1"/>
                <w:color w:val="auto"/>
              </w:rPr>
            </w:pPr>
          </w:p>
        </w:tc>
        <w:tc>
          <w:tcPr>
            <w:tcW w:w="140" w:type="dxa"/>
            <w:vAlign w:val="bottom"/>
            <w:tcBorders>
              <w:top w:val="single" w:sz="8" w:color="0000EE"/>
              <w:bottom w:val="single" w:sz="8" w:color="3E3935"/>
            </w:tcBorders>
          </w:tcPr>
          <w:p>
            <w:pPr>
              <w:spacing w:after="0" w:line="20" w:lineRule="exact"/>
              <w:rPr>
                <w:sz w:val="1"/>
                <w:szCs w:val="1"/>
                <w:color w:val="auto"/>
              </w:rPr>
            </w:pPr>
          </w:p>
        </w:tc>
        <w:tc>
          <w:tcPr>
            <w:tcW w:w="20" w:type="dxa"/>
            <w:vAlign w:val="bottom"/>
            <w:tcBorders>
              <w:top w:val="single" w:sz="8" w:color="0000EE"/>
              <w:bottom w:val="single" w:sz="8" w:color="3E3935"/>
            </w:tcBorders>
          </w:tcPr>
          <w:p>
            <w:pPr>
              <w:spacing w:after="0" w:line="20" w:lineRule="exact"/>
              <w:rPr>
                <w:sz w:val="1"/>
                <w:szCs w:val="1"/>
                <w:color w:val="auto"/>
              </w:rPr>
            </w:pPr>
          </w:p>
        </w:tc>
        <w:tc>
          <w:tcPr>
            <w:tcW w:w="100" w:type="dxa"/>
            <w:vAlign w:val="bottom"/>
            <w:tcBorders>
              <w:bottom w:val="single" w:sz="8" w:color="3E3935"/>
            </w:tcBorders>
          </w:tcPr>
          <w:p>
            <w:pPr>
              <w:spacing w:after="0" w:line="20" w:lineRule="exact"/>
              <w:rPr>
                <w:sz w:val="1"/>
                <w:szCs w:val="1"/>
                <w:color w:val="auto"/>
              </w:rPr>
            </w:pPr>
          </w:p>
        </w:tc>
        <w:tc>
          <w:tcPr>
            <w:tcW w:w="20" w:type="dxa"/>
            <w:vAlign w:val="bottom"/>
            <w:tcBorders>
              <w:bottom w:val="single" w:sz="8" w:color="3E3935"/>
            </w:tcBorders>
          </w:tcPr>
          <w:p>
            <w:pPr>
              <w:spacing w:after="0" w:line="20" w:lineRule="exact"/>
              <w:rPr>
                <w:sz w:val="1"/>
                <w:szCs w:val="1"/>
                <w:color w:val="auto"/>
              </w:rPr>
            </w:pPr>
          </w:p>
        </w:tc>
        <w:tc>
          <w:tcPr>
            <w:tcW w:w="200" w:type="dxa"/>
            <w:vAlign w:val="bottom"/>
            <w:tcBorders>
              <w:bottom w:val="single" w:sz="8" w:color="3E3935"/>
            </w:tcBorders>
          </w:tcPr>
          <w:p>
            <w:pPr>
              <w:spacing w:after="0" w:line="20" w:lineRule="exact"/>
              <w:rPr>
                <w:sz w:val="1"/>
                <w:szCs w:val="1"/>
                <w:color w:val="auto"/>
              </w:rPr>
            </w:pPr>
          </w:p>
        </w:tc>
        <w:tc>
          <w:tcPr>
            <w:tcW w:w="20" w:type="dxa"/>
            <w:vAlign w:val="bottom"/>
            <w:tcBorders>
              <w:bottom w:val="single" w:sz="8" w:color="3E3935"/>
            </w:tcBorders>
          </w:tcPr>
          <w:p>
            <w:pPr>
              <w:spacing w:after="0" w:line="20" w:lineRule="exact"/>
              <w:rPr>
                <w:sz w:val="1"/>
                <w:szCs w:val="1"/>
                <w:color w:val="auto"/>
              </w:rPr>
            </w:pPr>
          </w:p>
        </w:tc>
        <w:tc>
          <w:tcPr>
            <w:tcW w:w="60" w:type="dxa"/>
            <w:vAlign w:val="bottom"/>
            <w:tcBorders>
              <w:bottom w:val="single" w:sz="8" w:color="3E3935"/>
            </w:tcBorders>
          </w:tcPr>
          <w:p>
            <w:pPr>
              <w:spacing w:after="0" w:line="20" w:lineRule="exact"/>
              <w:rPr>
                <w:sz w:val="1"/>
                <w:szCs w:val="1"/>
                <w:color w:val="auto"/>
              </w:rPr>
            </w:pPr>
          </w:p>
        </w:tc>
        <w:tc>
          <w:tcPr>
            <w:tcW w:w="40" w:type="dxa"/>
            <w:vAlign w:val="bottom"/>
            <w:tcBorders>
              <w:bottom w:val="single" w:sz="8" w:color="3E3935"/>
            </w:tcBorders>
          </w:tcPr>
          <w:p>
            <w:pPr>
              <w:spacing w:after="0" w:line="20" w:lineRule="exact"/>
              <w:rPr>
                <w:sz w:val="1"/>
                <w:szCs w:val="1"/>
                <w:color w:val="auto"/>
              </w:rPr>
            </w:pPr>
          </w:p>
        </w:tc>
        <w:tc>
          <w:tcPr>
            <w:tcW w:w="60" w:type="dxa"/>
            <w:vAlign w:val="bottom"/>
            <w:tcBorders>
              <w:bottom w:val="single" w:sz="8" w:color="3E3935"/>
            </w:tcBorders>
          </w:tcPr>
          <w:p>
            <w:pPr>
              <w:spacing w:after="0" w:line="20" w:lineRule="exact"/>
              <w:rPr>
                <w:sz w:val="1"/>
                <w:szCs w:val="1"/>
                <w:color w:val="auto"/>
              </w:rPr>
            </w:pPr>
          </w:p>
        </w:tc>
        <w:tc>
          <w:tcPr>
            <w:tcW w:w="180" w:type="dxa"/>
            <w:vAlign w:val="bottom"/>
            <w:tcBorders>
              <w:bottom w:val="single" w:sz="8" w:color="3E3935"/>
            </w:tcBorders>
          </w:tcPr>
          <w:p>
            <w:pPr>
              <w:spacing w:after="0" w:line="20" w:lineRule="exact"/>
              <w:rPr>
                <w:sz w:val="1"/>
                <w:szCs w:val="1"/>
                <w:color w:val="auto"/>
              </w:rPr>
            </w:pPr>
          </w:p>
        </w:tc>
        <w:tc>
          <w:tcPr>
            <w:tcW w:w="20" w:type="dxa"/>
            <w:vAlign w:val="bottom"/>
            <w:tcBorders>
              <w:bottom w:val="single" w:sz="8" w:color="3E3935"/>
            </w:tcBorders>
          </w:tcPr>
          <w:p>
            <w:pPr>
              <w:spacing w:after="0" w:line="20" w:lineRule="exact"/>
              <w:rPr>
                <w:sz w:val="1"/>
                <w:szCs w:val="1"/>
                <w:color w:val="auto"/>
              </w:rPr>
            </w:pPr>
          </w:p>
        </w:tc>
        <w:tc>
          <w:tcPr>
            <w:tcW w:w="20" w:type="dxa"/>
            <w:vAlign w:val="bottom"/>
            <w:tcBorders>
              <w:bottom w:val="single" w:sz="8" w:color="3E3935"/>
            </w:tcBorders>
          </w:tcPr>
          <w:p>
            <w:pPr>
              <w:spacing w:after="0" w:line="20" w:lineRule="exact"/>
              <w:rPr>
                <w:sz w:val="1"/>
                <w:szCs w:val="1"/>
                <w:color w:val="auto"/>
              </w:rPr>
            </w:pPr>
          </w:p>
        </w:tc>
        <w:tc>
          <w:tcPr>
            <w:tcW w:w="160" w:type="dxa"/>
            <w:vAlign w:val="bottom"/>
            <w:tcBorders>
              <w:bottom w:val="single" w:sz="8" w:color="3E3935"/>
            </w:tcBorders>
          </w:tcPr>
          <w:p>
            <w:pPr>
              <w:spacing w:after="0" w:line="20" w:lineRule="exact"/>
              <w:rPr>
                <w:sz w:val="1"/>
                <w:szCs w:val="1"/>
                <w:color w:val="auto"/>
              </w:rPr>
            </w:pPr>
          </w:p>
        </w:tc>
        <w:tc>
          <w:tcPr>
            <w:tcW w:w="440" w:type="dxa"/>
            <w:vAlign w:val="bottom"/>
            <w:tcBorders>
              <w:bottom w:val="single" w:sz="8" w:color="3E3935"/>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4840" w:type="dxa"/>
            <w:vAlign w:val="bottom"/>
            <w:gridSpan w:val="37"/>
          </w:tcPr>
          <w:p>
            <w:pPr>
              <w:spacing w:after="0" w:line="170" w:lineRule="exact"/>
              <w:rPr>
                <w:sz w:val="20"/>
                <w:szCs w:val="20"/>
                <w:color w:val="auto"/>
              </w:rPr>
            </w:pPr>
            <w:r>
              <w:rPr>
                <w:rFonts w:ascii="Arial" w:cs="Arial" w:eastAsia="Arial" w:hAnsi="Arial"/>
                <w:sz w:val="18"/>
                <w:szCs w:val="18"/>
                <w:color w:val="0000EE"/>
              </w:rPr>
              <w:t>Our Company Performance</w:t>
            </w:r>
          </w:p>
        </w:tc>
        <w:tc>
          <w:tcPr>
            <w:tcW w:w="440" w:type="dxa"/>
            <w:vAlign w:val="bottom"/>
          </w:tcPr>
          <w:p>
            <w:pPr>
              <w:jc w:val="right"/>
              <w:spacing w:after="0" w:line="170" w:lineRule="exact"/>
              <w:rPr>
                <w:sz w:val="20"/>
                <w:szCs w:val="20"/>
                <w:color w:val="auto"/>
              </w:rPr>
            </w:pPr>
            <w:r>
              <w:rPr>
                <w:rFonts w:ascii="Arial" w:cs="Arial" w:eastAsia="Arial" w:hAnsi="Arial"/>
                <w:sz w:val="18"/>
                <w:szCs w:val="18"/>
                <w:color w:val="3E3935"/>
              </w:rPr>
              <w:t>52</w:t>
            </w:r>
          </w:p>
        </w:tc>
        <w:tc>
          <w:tcPr>
            <w:tcW w:w="0" w:type="dxa"/>
            <w:vAlign w:val="bottom"/>
          </w:tcPr>
          <w:p>
            <w:pPr>
              <w:spacing w:after="0"/>
              <w:rPr>
                <w:sz w:val="1"/>
                <w:szCs w:val="1"/>
                <w:color w:val="auto"/>
              </w:rPr>
            </w:pPr>
          </w:p>
        </w:tc>
      </w:tr>
      <w:tr>
        <w:trPr>
          <w:trHeight w:val="210"/>
        </w:trPr>
        <w:tc>
          <w:tcPr>
            <w:tcW w:w="2200" w:type="dxa"/>
            <w:vAlign w:val="bottom"/>
            <w:tcBorders>
              <w:top w:val="single" w:sz="8" w:color="0000EE"/>
            </w:tcBorders>
            <w:gridSpan w:val="13"/>
          </w:tcPr>
          <w:p>
            <w:pPr>
              <w:spacing w:after="0"/>
              <w:rPr>
                <w:sz w:val="20"/>
                <w:szCs w:val="20"/>
                <w:color w:val="auto"/>
              </w:rPr>
            </w:pPr>
            <w:r>
              <w:rPr>
                <w:rFonts w:ascii="Arial" w:cs="Arial" w:eastAsia="Arial" w:hAnsi="Arial"/>
                <w:sz w:val="18"/>
                <w:szCs w:val="18"/>
                <w:color w:val="0000EE"/>
              </w:rPr>
              <w:t>Compensation Overview</w:t>
            </w:r>
          </w:p>
        </w:tc>
        <w:tc>
          <w:tcPr>
            <w:tcW w:w="2640" w:type="dxa"/>
            <w:vAlign w:val="bottom"/>
            <w:gridSpan w:val="24"/>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3E3935"/>
              </w:rPr>
              <w:t>54</w:t>
            </w:r>
          </w:p>
        </w:tc>
        <w:tc>
          <w:tcPr>
            <w:tcW w:w="0" w:type="dxa"/>
            <w:vAlign w:val="bottom"/>
          </w:tcPr>
          <w:p>
            <w:pPr>
              <w:spacing w:after="0"/>
              <w:rPr>
                <w:sz w:val="1"/>
                <w:szCs w:val="1"/>
                <w:color w:val="auto"/>
              </w:rPr>
            </w:pPr>
          </w:p>
        </w:tc>
      </w:tr>
      <w:tr>
        <w:trPr>
          <w:trHeight w:val="20"/>
        </w:trPr>
        <w:tc>
          <w:tcPr>
            <w:tcW w:w="1880" w:type="dxa"/>
            <w:vAlign w:val="bottom"/>
            <w:gridSpan w:val="10"/>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gridSpan w:val="5"/>
          </w:tcPr>
          <w:p>
            <w:pPr>
              <w:spacing w:after="0" w:line="20" w:lineRule="exact"/>
              <w:rPr>
                <w:sz w:val="1"/>
                <w:szCs w:val="1"/>
                <w:color w:val="auto"/>
              </w:rPr>
            </w:pPr>
          </w:p>
        </w:tc>
        <w:tc>
          <w:tcPr>
            <w:tcW w:w="1380" w:type="dxa"/>
            <w:vAlign w:val="bottom"/>
            <w:gridSpan w:val="1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gridSpan w:val="9"/>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00" w:type="dxa"/>
            <w:vAlign w:val="bottom"/>
            <w:tcBorders>
              <w:bottom w:val="single" w:sz="8" w:color="0000EE"/>
            </w:tcBorders>
            <w:gridSpan w:val="12"/>
          </w:tcPr>
          <w:p>
            <w:pPr>
              <w:spacing w:after="0"/>
              <w:rPr>
                <w:sz w:val="20"/>
                <w:szCs w:val="20"/>
                <w:color w:val="auto"/>
              </w:rPr>
            </w:pPr>
            <w:r>
              <w:rPr>
                <w:rFonts w:ascii="Arial" w:cs="Arial" w:eastAsia="Arial" w:hAnsi="Arial"/>
                <w:sz w:val="18"/>
                <w:szCs w:val="18"/>
                <w:color w:val="0000EE"/>
                <w:w w:val="99"/>
              </w:rPr>
              <w:t>Compensation Principles</w:t>
            </w:r>
          </w:p>
        </w:tc>
        <w:tc>
          <w:tcPr>
            <w:tcW w:w="2840" w:type="dxa"/>
            <w:vAlign w:val="bottom"/>
            <w:gridSpan w:val="25"/>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3E3935"/>
              </w:rPr>
              <w:t>59</w:t>
            </w:r>
          </w:p>
        </w:tc>
        <w:tc>
          <w:tcPr>
            <w:tcW w:w="0" w:type="dxa"/>
            <w:vAlign w:val="bottom"/>
          </w:tcPr>
          <w:p>
            <w:pPr>
              <w:spacing w:after="0"/>
              <w:rPr>
                <w:sz w:val="1"/>
                <w:szCs w:val="1"/>
                <w:color w:val="auto"/>
              </w:rPr>
            </w:pPr>
          </w:p>
        </w:tc>
      </w:tr>
      <w:tr>
        <w:trPr>
          <w:trHeight w:val="210"/>
        </w:trPr>
        <w:tc>
          <w:tcPr>
            <w:tcW w:w="4840" w:type="dxa"/>
            <w:vAlign w:val="bottom"/>
            <w:gridSpan w:val="37"/>
          </w:tcPr>
          <w:p>
            <w:pPr>
              <w:spacing w:after="0"/>
              <w:rPr>
                <w:sz w:val="20"/>
                <w:szCs w:val="20"/>
                <w:color w:val="auto"/>
              </w:rPr>
            </w:pPr>
            <w:r>
              <w:rPr>
                <w:rFonts w:ascii="Arial" w:cs="Arial" w:eastAsia="Arial" w:hAnsi="Arial"/>
                <w:sz w:val="18"/>
                <w:szCs w:val="18"/>
                <w:color w:val="0000EE"/>
              </w:rPr>
              <w:t>Compensation Elements</w:t>
            </w:r>
          </w:p>
        </w:tc>
        <w:tc>
          <w:tcPr>
            <w:tcW w:w="440" w:type="dxa"/>
            <w:vAlign w:val="bottom"/>
          </w:tcPr>
          <w:p>
            <w:pPr>
              <w:jc w:val="right"/>
              <w:spacing w:after="0"/>
              <w:rPr>
                <w:sz w:val="20"/>
                <w:szCs w:val="20"/>
                <w:color w:val="auto"/>
              </w:rPr>
            </w:pPr>
            <w:r>
              <w:rPr>
                <w:rFonts w:ascii="Arial" w:cs="Arial" w:eastAsia="Arial" w:hAnsi="Arial"/>
                <w:sz w:val="18"/>
                <w:szCs w:val="18"/>
                <w:color w:val="3E3935"/>
              </w:rPr>
              <w:t>59</w:t>
            </w:r>
          </w:p>
        </w:tc>
        <w:tc>
          <w:tcPr>
            <w:tcW w:w="0" w:type="dxa"/>
            <w:vAlign w:val="bottom"/>
          </w:tcPr>
          <w:p>
            <w:pPr>
              <w:spacing w:after="0"/>
              <w:rPr>
                <w:sz w:val="1"/>
                <w:szCs w:val="1"/>
                <w:color w:val="auto"/>
              </w:rPr>
            </w:pPr>
          </w:p>
        </w:tc>
      </w:tr>
      <w:tr>
        <w:trPr>
          <w:trHeight w:val="210"/>
        </w:trPr>
        <w:tc>
          <w:tcPr>
            <w:tcW w:w="1880" w:type="dxa"/>
            <w:vAlign w:val="bottom"/>
            <w:tcBorders>
              <w:top w:val="single" w:sz="8" w:color="0000EE"/>
              <w:bottom w:val="single" w:sz="8" w:color="0000EE"/>
            </w:tcBorders>
            <w:gridSpan w:val="10"/>
          </w:tcPr>
          <w:p>
            <w:pPr>
              <w:spacing w:after="0"/>
              <w:rPr>
                <w:sz w:val="20"/>
                <w:szCs w:val="20"/>
                <w:color w:val="auto"/>
              </w:rPr>
            </w:pPr>
            <w:r>
              <w:rPr>
                <w:rFonts w:ascii="Arial" w:cs="Arial" w:eastAsia="Arial" w:hAnsi="Arial"/>
                <w:sz w:val="18"/>
                <w:szCs w:val="18"/>
                <w:color w:val="0000EE"/>
                <w:w w:val="99"/>
              </w:rPr>
              <w:t>Performance Measures</w:t>
            </w:r>
          </w:p>
        </w:tc>
        <w:tc>
          <w:tcPr>
            <w:tcW w:w="80" w:type="dxa"/>
            <w:vAlign w:val="bottom"/>
            <w:tcBorders>
              <w:top w:val="single" w:sz="8" w:color="0000EE"/>
            </w:tcBorders>
          </w:tcPr>
          <w:p>
            <w:pPr>
              <w:spacing w:after="0"/>
              <w:rPr>
                <w:sz w:val="18"/>
                <w:szCs w:val="18"/>
                <w:color w:val="auto"/>
              </w:rPr>
            </w:pPr>
          </w:p>
        </w:tc>
        <w:tc>
          <w:tcPr>
            <w:tcW w:w="2880" w:type="dxa"/>
            <w:vAlign w:val="bottom"/>
            <w:gridSpan w:val="26"/>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3E3935"/>
              </w:rPr>
              <w:t>61</w:t>
            </w:r>
          </w:p>
        </w:tc>
        <w:tc>
          <w:tcPr>
            <w:tcW w:w="0" w:type="dxa"/>
            <w:vAlign w:val="bottom"/>
          </w:tcPr>
          <w:p>
            <w:pPr>
              <w:spacing w:after="0"/>
              <w:rPr>
                <w:sz w:val="1"/>
                <w:szCs w:val="1"/>
                <w:color w:val="auto"/>
              </w:rPr>
            </w:pPr>
          </w:p>
        </w:tc>
      </w:tr>
      <w:tr>
        <w:trPr>
          <w:trHeight w:val="210"/>
        </w:trPr>
        <w:tc>
          <w:tcPr>
            <w:tcW w:w="4080" w:type="dxa"/>
            <w:vAlign w:val="bottom"/>
            <w:tcBorders>
              <w:bottom w:val="single" w:sz="8" w:color="0000EE"/>
            </w:tcBorders>
            <w:gridSpan w:val="28"/>
          </w:tcPr>
          <w:p>
            <w:pPr>
              <w:spacing w:after="0"/>
              <w:rPr>
                <w:sz w:val="20"/>
                <w:szCs w:val="20"/>
                <w:color w:val="auto"/>
              </w:rPr>
            </w:pPr>
            <w:r>
              <w:rPr>
                <w:rFonts w:ascii="Arial" w:cs="Arial" w:eastAsia="Arial" w:hAnsi="Arial"/>
                <w:sz w:val="18"/>
                <w:szCs w:val="18"/>
                <w:color w:val="0000EE"/>
                <w:w w:val="99"/>
              </w:rPr>
              <w:t>Performance Results and Compensation Decisions</w:t>
            </w:r>
          </w:p>
        </w:tc>
        <w:tc>
          <w:tcPr>
            <w:tcW w:w="760" w:type="dxa"/>
            <w:vAlign w:val="bottom"/>
            <w:gridSpan w:val="9"/>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3E3935"/>
              </w:rPr>
              <w:t>64</w:t>
            </w:r>
          </w:p>
        </w:tc>
        <w:tc>
          <w:tcPr>
            <w:tcW w:w="0" w:type="dxa"/>
            <w:vAlign w:val="bottom"/>
          </w:tcPr>
          <w:p>
            <w:pPr>
              <w:spacing w:after="0"/>
              <w:rPr>
                <w:sz w:val="1"/>
                <w:szCs w:val="1"/>
                <w:color w:val="auto"/>
              </w:rPr>
            </w:pPr>
          </w:p>
        </w:tc>
      </w:tr>
      <w:tr>
        <w:trPr>
          <w:trHeight w:val="209"/>
        </w:trPr>
        <w:tc>
          <w:tcPr>
            <w:tcW w:w="4840" w:type="dxa"/>
            <w:vAlign w:val="bottom"/>
            <w:gridSpan w:val="37"/>
          </w:tcPr>
          <w:p>
            <w:pPr>
              <w:spacing w:after="0"/>
              <w:rPr>
                <w:sz w:val="20"/>
                <w:szCs w:val="20"/>
                <w:color w:val="auto"/>
              </w:rPr>
            </w:pPr>
            <w:r>
              <w:rPr>
                <w:rFonts w:ascii="Arial" w:cs="Arial" w:eastAsia="Arial" w:hAnsi="Arial"/>
                <w:sz w:val="18"/>
                <w:szCs w:val="18"/>
                <w:color w:val="0000EE"/>
              </w:rPr>
              <w:t>Compensation Policies and Governance Practices</w:t>
            </w:r>
          </w:p>
        </w:tc>
        <w:tc>
          <w:tcPr>
            <w:tcW w:w="440" w:type="dxa"/>
            <w:vAlign w:val="bottom"/>
          </w:tcPr>
          <w:p>
            <w:pPr>
              <w:jc w:val="right"/>
              <w:spacing w:after="0"/>
              <w:rPr>
                <w:sz w:val="20"/>
                <w:szCs w:val="20"/>
                <w:color w:val="auto"/>
              </w:rPr>
            </w:pPr>
            <w:r>
              <w:rPr>
                <w:rFonts w:ascii="Arial" w:cs="Arial" w:eastAsia="Arial" w:hAnsi="Arial"/>
                <w:sz w:val="18"/>
                <w:szCs w:val="18"/>
                <w:color w:val="3E3935"/>
              </w:rPr>
              <w:t>70</w:t>
            </w:r>
          </w:p>
        </w:tc>
        <w:tc>
          <w:tcPr>
            <w:tcW w:w="0" w:type="dxa"/>
            <w:vAlign w:val="bottom"/>
          </w:tcPr>
          <w:p>
            <w:pPr>
              <w:spacing w:after="0"/>
              <w:rPr>
                <w:sz w:val="1"/>
                <w:szCs w:val="1"/>
                <w:color w:val="auto"/>
              </w:rPr>
            </w:pPr>
          </w:p>
        </w:tc>
      </w:tr>
      <w:tr>
        <w:trPr>
          <w:trHeight w:val="210"/>
        </w:trPr>
        <w:tc>
          <w:tcPr>
            <w:tcW w:w="2680" w:type="dxa"/>
            <w:vAlign w:val="bottom"/>
            <w:tcBorders>
              <w:top w:val="single" w:sz="8" w:color="0000EE"/>
              <w:bottom w:val="single" w:sz="8" w:color="0000EE"/>
            </w:tcBorders>
            <w:gridSpan w:val="17"/>
          </w:tcPr>
          <w:p>
            <w:pPr>
              <w:spacing w:after="0"/>
              <w:rPr>
                <w:sz w:val="20"/>
                <w:szCs w:val="20"/>
                <w:color w:val="auto"/>
              </w:rPr>
            </w:pPr>
            <w:r>
              <w:rPr>
                <w:rFonts w:ascii="Arial" w:cs="Arial" w:eastAsia="Arial" w:hAnsi="Arial"/>
                <w:sz w:val="18"/>
                <w:szCs w:val="18"/>
                <w:color w:val="0000EE"/>
                <w:w w:val="99"/>
              </w:rPr>
              <w:t>Compensation Committee Report</w:t>
            </w:r>
          </w:p>
        </w:tc>
        <w:tc>
          <w:tcPr>
            <w:tcW w:w="1380" w:type="dxa"/>
            <w:vAlign w:val="bottom"/>
            <w:tcBorders>
              <w:top w:val="single" w:sz="8" w:color="0000EE"/>
            </w:tcBorders>
            <w:gridSpan w:val="10"/>
          </w:tcPr>
          <w:p>
            <w:pPr>
              <w:spacing w:after="0"/>
              <w:rPr>
                <w:sz w:val="18"/>
                <w:szCs w:val="18"/>
                <w:color w:val="auto"/>
              </w:rPr>
            </w:pPr>
          </w:p>
        </w:tc>
        <w:tc>
          <w:tcPr>
            <w:tcW w:w="780" w:type="dxa"/>
            <w:vAlign w:val="bottom"/>
            <w:gridSpan w:val="10"/>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3E3935"/>
              </w:rPr>
              <w:t>73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4920" w:type="dxa"/>
            <w:vAlign w:val="bottom"/>
            <w:gridSpan w:val="34"/>
          </w:tcPr>
          <w:p>
            <w:pPr>
              <w:spacing w:after="0"/>
              <w:rPr>
                <w:sz w:val="20"/>
                <w:szCs w:val="20"/>
                <w:color w:val="auto"/>
              </w:rPr>
            </w:pPr>
            <w:r>
              <w:rPr>
                <w:rFonts w:ascii="Arial" w:cs="Arial" w:eastAsia="Arial" w:hAnsi="Arial"/>
                <w:sz w:val="18"/>
                <w:szCs w:val="18"/>
                <w:color w:val="0000EE"/>
              </w:rPr>
              <w:t>EXECUTIVE COMPENSATION TABLES</w:t>
            </w:r>
          </w:p>
        </w:tc>
        <w:tc>
          <w:tcPr>
            <w:tcW w:w="480" w:type="dxa"/>
            <w:vAlign w:val="bottom"/>
          </w:tcPr>
          <w:p>
            <w:pPr>
              <w:jc w:val="right"/>
              <w:spacing w:after="0"/>
              <w:rPr>
                <w:sz w:val="20"/>
                <w:szCs w:val="20"/>
                <w:color w:val="auto"/>
              </w:rPr>
            </w:pPr>
            <w:r>
              <w:rPr>
                <w:rFonts w:ascii="Arial" w:cs="Arial" w:eastAsia="Arial" w:hAnsi="Arial"/>
                <w:sz w:val="18"/>
                <w:szCs w:val="18"/>
                <w:i w:val="1"/>
                <w:iCs w:val="1"/>
                <w:color w:val="00C1DE"/>
              </w:rPr>
              <w:t>74</w:t>
            </w:r>
          </w:p>
        </w:tc>
        <w:tc>
          <w:tcPr>
            <w:tcW w:w="0" w:type="dxa"/>
            <w:vAlign w:val="bottom"/>
          </w:tcPr>
          <w:p>
            <w:pPr>
              <w:spacing w:after="0"/>
              <w:rPr>
                <w:sz w:val="1"/>
                <w:szCs w:val="1"/>
                <w:color w:val="auto"/>
              </w:rPr>
            </w:pPr>
          </w:p>
        </w:tc>
      </w:tr>
      <w:tr>
        <w:trPr>
          <w:trHeight w:val="20"/>
        </w:trPr>
        <w:tc>
          <w:tcPr>
            <w:tcW w:w="180" w:type="dxa"/>
            <w:vAlign w:val="bottom"/>
            <w:tcBorders>
              <w:top w:val="single" w:sz="8" w:color="0000EE"/>
              <w:bottom w:val="single" w:sz="8" w:color="3E3935"/>
            </w:tcBorders>
          </w:tcPr>
          <w:p>
            <w:pPr>
              <w:spacing w:after="0" w:line="20" w:lineRule="exact"/>
              <w:rPr>
                <w:sz w:val="1"/>
                <w:szCs w:val="1"/>
                <w:color w:val="auto"/>
              </w:rPr>
            </w:pPr>
          </w:p>
        </w:tc>
        <w:tc>
          <w:tcPr>
            <w:tcW w:w="460" w:type="dxa"/>
            <w:vAlign w:val="bottom"/>
            <w:tcBorders>
              <w:top w:val="single" w:sz="8" w:color="0000EE"/>
              <w:bottom w:val="single" w:sz="8" w:color="3E3935"/>
            </w:tcBorders>
          </w:tcPr>
          <w:p>
            <w:pPr>
              <w:spacing w:after="0" w:line="20" w:lineRule="exact"/>
              <w:rPr>
                <w:sz w:val="1"/>
                <w:szCs w:val="1"/>
                <w:color w:val="auto"/>
              </w:rPr>
            </w:pPr>
          </w:p>
        </w:tc>
        <w:tc>
          <w:tcPr>
            <w:tcW w:w="360" w:type="dxa"/>
            <w:vAlign w:val="bottom"/>
            <w:tcBorders>
              <w:top w:val="single" w:sz="8" w:color="0000EE"/>
              <w:bottom w:val="single" w:sz="8" w:color="3E3935"/>
            </w:tcBorders>
          </w:tcPr>
          <w:p>
            <w:pPr>
              <w:spacing w:after="0" w:line="20" w:lineRule="exact"/>
              <w:rPr>
                <w:sz w:val="1"/>
                <w:szCs w:val="1"/>
                <w:color w:val="auto"/>
              </w:rPr>
            </w:pPr>
          </w:p>
        </w:tc>
        <w:tc>
          <w:tcPr>
            <w:tcW w:w="40" w:type="dxa"/>
            <w:vAlign w:val="bottom"/>
            <w:tcBorders>
              <w:top w:val="single" w:sz="8" w:color="0000EE"/>
              <w:bottom w:val="single" w:sz="8" w:color="3E3935"/>
            </w:tcBorders>
          </w:tcPr>
          <w:p>
            <w:pPr>
              <w:spacing w:after="0" w:line="20" w:lineRule="exact"/>
              <w:rPr>
                <w:sz w:val="1"/>
                <w:szCs w:val="1"/>
                <w:color w:val="auto"/>
              </w:rPr>
            </w:pPr>
          </w:p>
        </w:tc>
        <w:tc>
          <w:tcPr>
            <w:tcW w:w="180" w:type="dxa"/>
            <w:vAlign w:val="bottom"/>
            <w:tcBorders>
              <w:top w:val="single" w:sz="8" w:color="0000EE"/>
              <w:bottom w:val="single" w:sz="8" w:color="3E3935"/>
            </w:tcBorders>
          </w:tcPr>
          <w:p>
            <w:pPr>
              <w:spacing w:after="0" w:line="20" w:lineRule="exact"/>
              <w:rPr>
                <w:sz w:val="1"/>
                <w:szCs w:val="1"/>
                <w:color w:val="auto"/>
              </w:rPr>
            </w:pPr>
          </w:p>
        </w:tc>
        <w:tc>
          <w:tcPr>
            <w:tcW w:w="120" w:type="dxa"/>
            <w:vAlign w:val="bottom"/>
            <w:tcBorders>
              <w:top w:val="single" w:sz="8" w:color="0000EE"/>
              <w:bottom w:val="single" w:sz="8" w:color="3E3935"/>
            </w:tcBorders>
          </w:tcPr>
          <w:p>
            <w:pPr>
              <w:spacing w:after="0" w:line="20" w:lineRule="exact"/>
              <w:rPr>
                <w:sz w:val="1"/>
                <w:szCs w:val="1"/>
                <w:color w:val="auto"/>
              </w:rPr>
            </w:pPr>
          </w:p>
        </w:tc>
        <w:tc>
          <w:tcPr>
            <w:tcW w:w="640" w:type="dxa"/>
            <w:vAlign w:val="bottom"/>
            <w:tcBorders>
              <w:top w:val="single" w:sz="8" w:color="0000EE"/>
              <w:bottom w:val="single" w:sz="8" w:color="3E3935"/>
            </w:tcBorders>
          </w:tcPr>
          <w:p>
            <w:pPr>
              <w:spacing w:after="0" w:line="20" w:lineRule="exact"/>
              <w:rPr>
                <w:sz w:val="1"/>
                <w:szCs w:val="1"/>
                <w:color w:val="auto"/>
              </w:rPr>
            </w:pPr>
          </w:p>
        </w:tc>
        <w:tc>
          <w:tcPr>
            <w:tcW w:w="380" w:type="dxa"/>
            <w:vAlign w:val="bottom"/>
            <w:tcBorders>
              <w:top w:val="single" w:sz="8" w:color="0000EE"/>
              <w:bottom w:val="single" w:sz="8" w:color="3E3935"/>
            </w:tcBorders>
          </w:tcPr>
          <w:p>
            <w:pPr>
              <w:spacing w:after="0" w:line="20" w:lineRule="exact"/>
              <w:rPr>
                <w:sz w:val="1"/>
                <w:szCs w:val="1"/>
                <w:color w:val="auto"/>
              </w:rPr>
            </w:pPr>
          </w:p>
        </w:tc>
        <w:tc>
          <w:tcPr>
            <w:tcW w:w="100" w:type="dxa"/>
            <w:vAlign w:val="bottom"/>
            <w:tcBorders>
              <w:top w:val="single" w:sz="8" w:color="0000EE"/>
              <w:bottom w:val="single" w:sz="8" w:color="3E3935"/>
            </w:tcBorders>
          </w:tcPr>
          <w:p>
            <w:pPr>
              <w:spacing w:after="0" w:line="20" w:lineRule="exact"/>
              <w:rPr>
                <w:sz w:val="1"/>
                <w:szCs w:val="1"/>
                <w:color w:val="auto"/>
              </w:rPr>
            </w:pPr>
          </w:p>
        </w:tc>
        <w:tc>
          <w:tcPr>
            <w:tcW w:w="340" w:type="dxa"/>
            <w:vAlign w:val="bottom"/>
            <w:tcBorders>
              <w:top w:val="single" w:sz="8" w:color="0000EE"/>
              <w:bottom w:val="single" w:sz="8" w:color="3E3935"/>
            </w:tcBorders>
          </w:tcPr>
          <w:p>
            <w:pPr>
              <w:spacing w:after="0" w:line="20" w:lineRule="exact"/>
              <w:rPr>
                <w:sz w:val="1"/>
                <w:szCs w:val="1"/>
                <w:color w:val="auto"/>
              </w:rPr>
            </w:pPr>
          </w:p>
        </w:tc>
        <w:tc>
          <w:tcPr>
            <w:tcW w:w="60" w:type="dxa"/>
            <w:vAlign w:val="bottom"/>
            <w:tcBorders>
              <w:top w:val="single" w:sz="8" w:color="0000EE"/>
              <w:bottom w:val="single" w:sz="8" w:color="3E3935"/>
            </w:tcBorders>
          </w:tcPr>
          <w:p>
            <w:pPr>
              <w:spacing w:after="0" w:line="20" w:lineRule="exact"/>
              <w:rPr>
                <w:sz w:val="1"/>
                <w:szCs w:val="1"/>
                <w:color w:val="auto"/>
              </w:rPr>
            </w:pPr>
          </w:p>
        </w:tc>
        <w:tc>
          <w:tcPr>
            <w:tcW w:w="140" w:type="dxa"/>
            <w:vAlign w:val="bottom"/>
            <w:tcBorders>
              <w:top w:val="single" w:sz="8" w:color="0000EE"/>
              <w:bottom w:val="single" w:sz="8" w:color="3E3935"/>
            </w:tcBorders>
          </w:tcPr>
          <w:p>
            <w:pPr>
              <w:spacing w:after="0" w:line="20" w:lineRule="exact"/>
              <w:rPr>
                <w:sz w:val="1"/>
                <w:szCs w:val="1"/>
                <w:color w:val="auto"/>
              </w:rPr>
            </w:pPr>
          </w:p>
        </w:tc>
        <w:tc>
          <w:tcPr>
            <w:tcW w:w="60" w:type="dxa"/>
            <w:vAlign w:val="bottom"/>
            <w:tcBorders>
              <w:top w:val="single" w:sz="8" w:color="0000EE"/>
              <w:bottom w:val="single" w:sz="8" w:color="3E3935"/>
            </w:tcBorders>
          </w:tcPr>
          <w:p>
            <w:pPr>
              <w:spacing w:after="0" w:line="20" w:lineRule="exact"/>
              <w:rPr>
                <w:sz w:val="1"/>
                <w:szCs w:val="1"/>
                <w:color w:val="auto"/>
              </w:rPr>
            </w:pPr>
          </w:p>
        </w:tc>
        <w:tc>
          <w:tcPr>
            <w:tcW w:w="180" w:type="dxa"/>
            <w:vAlign w:val="bottom"/>
            <w:tcBorders>
              <w:top w:val="single" w:sz="8" w:color="0000EE"/>
              <w:bottom w:val="single" w:sz="8" w:color="3E3935"/>
            </w:tcBorders>
          </w:tcPr>
          <w:p>
            <w:pPr>
              <w:spacing w:after="0" w:line="20" w:lineRule="exact"/>
              <w:rPr>
                <w:sz w:val="1"/>
                <w:szCs w:val="1"/>
                <w:color w:val="auto"/>
              </w:rPr>
            </w:pPr>
          </w:p>
        </w:tc>
        <w:tc>
          <w:tcPr>
            <w:tcW w:w="40" w:type="dxa"/>
            <w:vAlign w:val="bottom"/>
            <w:tcBorders>
              <w:bottom w:val="single" w:sz="8" w:color="3E3935"/>
            </w:tcBorders>
          </w:tcPr>
          <w:p>
            <w:pPr>
              <w:spacing w:after="0" w:line="20" w:lineRule="exact"/>
              <w:rPr>
                <w:sz w:val="1"/>
                <w:szCs w:val="1"/>
                <w:color w:val="auto"/>
              </w:rPr>
            </w:pPr>
          </w:p>
        </w:tc>
        <w:tc>
          <w:tcPr>
            <w:tcW w:w="60" w:type="dxa"/>
            <w:vAlign w:val="bottom"/>
            <w:tcBorders>
              <w:bottom w:val="single" w:sz="8" w:color="3E3935"/>
            </w:tcBorders>
          </w:tcPr>
          <w:p>
            <w:pPr>
              <w:spacing w:after="0" w:line="20" w:lineRule="exact"/>
              <w:rPr>
                <w:sz w:val="1"/>
                <w:szCs w:val="1"/>
                <w:color w:val="auto"/>
              </w:rPr>
            </w:pPr>
          </w:p>
        </w:tc>
        <w:tc>
          <w:tcPr>
            <w:tcW w:w="20" w:type="dxa"/>
            <w:vAlign w:val="bottom"/>
            <w:tcBorders>
              <w:bottom w:val="single" w:sz="8" w:color="3E3935"/>
            </w:tcBorders>
          </w:tcPr>
          <w:p>
            <w:pPr>
              <w:spacing w:after="0" w:line="20" w:lineRule="exact"/>
              <w:rPr>
                <w:sz w:val="1"/>
                <w:szCs w:val="1"/>
                <w:color w:val="auto"/>
              </w:rPr>
            </w:pPr>
          </w:p>
        </w:tc>
        <w:tc>
          <w:tcPr>
            <w:tcW w:w="40" w:type="dxa"/>
            <w:vAlign w:val="bottom"/>
            <w:tcBorders>
              <w:bottom w:val="single" w:sz="8" w:color="3E3935"/>
            </w:tcBorders>
          </w:tcPr>
          <w:p>
            <w:pPr>
              <w:spacing w:after="0" w:line="20" w:lineRule="exact"/>
              <w:rPr>
                <w:sz w:val="1"/>
                <w:szCs w:val="1"/>
                <w:color w:val="auto"/>
              </w:rPr>
            </w:pPr>
          </w:p>
        </w:tc>
        <w:tc>
          <w:tcPr>
            <w:tcW w:w="200" w:type="dxa"/>
            <w:vAlign w:val="bottom"/>
            <w:tcBorders>
              <w:bottom w:val="single" w:sz="8" w:color="3E3935"/>
            </w:tcBorders>
          </w:tcPr>
          <w:p>
            <w:pPr>
              <w:spacing w:after="0" w:line="20" w:lineRule="exact"/>
              <w:rPr>
                <w:sz w:val="1"/>
                <w:szCs w:val="1"/>
                <w:color w:val="auto"/>
              </w:rPr>
            </w:pPr>
          </w:p>
        </w:tc>
        <w:tc>
          <w:tcPr>
            <w:tcW w:w="80" w:type="dxa"/>
            <w:vAlign w:val="bottom"/>
            <w:tcBorders>
              <w:bottom w:val="single" w:sz="8" w:color="3E3935"/>
            </w:tcBorders>
          </w:tcPr>
          <w:p>
            <w:pPr>
              <w:spacing w:after="0" w:line="20" w:lineRule="exact"/>
              <w:rPr>
                <w:sz w:val="1"/>
                <w:szCs w:val="1"/>
                <w:color w:val="auto"/>
              </w:rPr>
            </w:pPr>
          </w:p>
        </w:tc>
        <w:tc>
          <w:tcPr>
            <w:tcW w:w="260" w:type="dxa"/>
            <w:vAlign w:val="bottom"/>
            <w:tcBorders>
              <w:bottom w:val="single" w:sz="8" w:color="3E3935"/>
            </w:tcBorders>
          </w:tcPr>
          <w:p>
            <w:pPr>
              <w:spacing w:after="0" w:line="20" w:lineRule="exact"/>
              <w:rPr>
                <w:sz w:val="1"/>
                <w:szCs w:val="1"/>
                <w:color w:val="auto"/>
              </w:rPr>
            </w:pPr>
          </w:p>
        </w:tc>
        <w:tc>
          <w:tcPr>
            <w:tcW w:w="80" w:type="dxa"/>
            <w:vAlign w:val="bottom"/>
            <w:tcBorders>
              <w:bottom w:val="single" w:sz="8" w:color="3E3935"/>
            </w:tcBorders>
          </w:tcPr>
          <w:p>
            <w:pPr>
              <w:spacing w:after="0" w:line="20" w:lineRule="exact"/>
              <w:rPr>
                <w:sz w:val="1"/>
                <w:szCs w:val="1"/>
                <w:color w:val="auto"/>
              </w:rPr>
            </w:pPr>
          </w:p>
        </w:tc>
        <w:tc>
          <w:tcPr>
            <w:tcW w:w="160" w:type="dxa"/>
            <w:vAlign w:val="bottom"/>
            <w:tcBorders>
              <w:bottom w:val="single" w:sz="8" w:color="3E3935"/>
            </w:tcBorders>
          </w:tcPr>
          <w:p>
            <w:pPr>
              <w:spacing w:after="0" w:line="20" w:lineRule="exact"/>
              <w:rPr>
                <w:sz w:val="1"/>
                <w:szCs w:val="1"/>
                <w:color w:val="auto"/>
              </w:rPr>
            </w:pPr>
          </w:p>
        </w:tc>
        <w:tc>
          <w:tcPr>
            <w:tcW w:w="20" w:type="dxa"/>
            <w:vAlign w:val="bottom"/>
            <w:tcBorders>
              <w:bottom w:val="single" w:sz="8" w:color="3E3935"/>
            </w:tcBorders>
          </w:tcPr>
          <w:p>
            <w:pPr>
              <w:spacing w:after="0" w:line="20" w:lineRule="exact"/>
              <w:rPr>
                <w:sz w:val="1"/>
                <w:szCs w:val="1"/>
                <w:color w:val="auto"/>
              </w:rPr>
            </w:pPr>
          </w:p>
        </w:tc>
        <w:tc>
          <w:tcPr>
            <w:tcW w:w="40" w:type="dxa"/>
            <w:vAlign w:val="bottom"/>
            <w:tcBorders>
              <w:bottom w:val="single" w:sz="8" w:color="3E3935"/>
            </w:tcBorders>
          </w:tcPr>
          <w:p>
            <w:pPr>
              <w:spacing w:after="0" w:line="20" w:lineRule="exact"/>
              <w:rPr>
                <w:sz w:val="1"/>
                <w:szCs w:val="1"/>
                <w:color w:val="auto"/>
              </w:rPr>
            </w:pPr>
          </w:p>
        </w:tc>
        <w:tc>
          <w:tcPr>
            <w:tcW w:w="140" w:type="dxa"/>
            <w:vAlign w:val="bottom"/>
            <w:tcBorders>
              <w:bottom w:val="single" w:sz="8" w:color="3E3935"/>
            </w:tcBorders>
          </w:tcPr>
          <w:p>
            <w:pPr>
              <w:spacing w:after="0" w:line="20" w:lineRule="exact"/>
              <w:rPr>
                <w:sz w:val="1"/>
                <w:szCs w:val="1"/>
                <w:color w:val="auto"/>
              </w:rPr>
            </w:pPr>
          </w:p>
        </w:tc>
        <w:tc>
          <w:tcPr>
            <w:tcW w:w="40" w:type="dxa"/>
            <w:vAlign w:val="bottom"/>
            <w:tcBorders>
              <w:bottom w:val="single" w:sz="8" w:color="3E3935"/>
            </w:tcBorders>
          </w:tcPr>
          <w:p>
            <w:pPr>
              <w:spacing w:after="0" w:line="20" w:lineRule="exact"/>
              <w:rPr>
                <w:sz w:val="1"/>
                <w:szCs w:val="1"/>
                <w:color w:val="auto"/>
              </w:rPr>
            </w:pPr>
          </w:p>
        </w:tc>
        <w:tc>
          <w:tcPr>
            <w:tcW w:w="20" w:type="dxa"/>
            <w:vAlign w:val="bottom"/>
            <w:tcBorders>
              <w:bottom w:val="single" w:sz="8" w:color="3E3935"/>
            </w:tcBorders>
          </w:tcPr>
          <w:p>
            <w:pPr>
              <w:spacing w:after="0" w:line="20" w:lineRule="exact"/>
              <w:rPr>
                <w:sz w:val="1"/>
                <w:szCs w:val="1"/>
                <w:color w:val="auto"/>
              </w:rPr>
            </w:pPr>
          </w:p>
        </w:tc>
        <w:tc>
          <w:tcPr>
            <w:tcW w:w="40" w:type="dxa"/>
            <w:vAlign w:val="bottom"/>
            <w:tcBorders>
              <w:bottom w:val="single" w:sz="8" w:color="3E3935"/>
            </w:tcBorders>
          </w:tcPr>
          <w:p>
            <w:pPr>
              <w:spacing w:after="0" w:line="20" w:lineRule="exact"/>
              <w:rPr>
                <w:sz w:val="1"/>
                <w:szCs w:val="1"/>
                <w:color w:val="auto"/>
              </w:rPr>
            </w:pPr>
          </w:p>
        </w:tc>
        <w:tc>
          <w:tcPr>
            <w:tcW w:w="20" w:type="dxa"/>
            <w:vAlign w:val="bottom"/>
            <w:tcBorders>
              <w:bottom w:val="single" w:sz="8" w:color="3E3935"/>
            </w:tcBorders>
          </w:tcPr>
          <w:p>
            <w:pPr>
              <w:spacing w:after="0" w:line="20" w:lineRule="exact"/>
              <w:rPr>
                <w:sz w:val="1"/>
                <w:szCs w:val="1"/>
                <w:color w:val="auto"/>
              </w:rPr>
            </w:pPr>
          </w:p>
        </w:tc>
        <w:tc>
          <w:tcPr>
            <w:tcW w:w="100" w:type="dxa"/>
            <w:vAlign w:val="bottom"/>
            <w:tcBorders>
              <w:bottom w:val="single" w:sz="8" w:color="3E3935"/>
            </w:tcBorders>
          </w:tcPr>
          <w:p>
            <w:pPr>
              <w:spacing w:after="0" w:line="20" w:lineRule="exact"/>
              <w:rPr>
                <w:sz w:val="1"/>
                <w:szCs w:val="1"/>
                <w:color w:val="auto"/>
              </w:rPr>
            </w:pPr>
          </w:p>
        </w:tc>
        <w:tc>
          <w:tcPr>
            <w:tcW w:w="140" w:type="dxa"/>
            <w:vAlign w:val="bottom"/>
            <w:tcBorders>
              <w:bottom w:val="single" w:sz="8" w:color="3E3935"/>
            </w:tcBorders>
          </w:tcPr>
          <w:p>
            <w:pPr>
              <w:spacing w:after="0" w:line="20" w:lineRule="exact"/>
              <w:rPr>
                <w:sz w:val="1"/>
                <w:szCs w:val="1"/>
                <w:color w:val="auto"/>
              </w:rPr>
            </w:pPr>
          </w:p>
        </w:tc>
        <w:tc>
          <w:tcPr>
            <w:tcW w:w="40" w:type="dxa"/>
            <w:vAlign w:val="bottom"/>
            <w:tcBorders>
              <w:bottom w:val="single" w:sz="8" w:color="3E3935"/>
            </w:tcBorders>
          </w:tcPr>
          <w:p>
            <w:pPr>
              <w:spacing w:after="0" w:line="20" w:lineRule="exact"/>
              <w:rPr>
                <w:sz w:val="1"/>
                <w:szCs w:val="1"/>
                <w:color w:val="auto"/>
              </w:rPr>
            </w:pPr>
          </w:p>
        </w:tc>
        <w:tc>
          <w:tcPr>
            <w:tcW w:w="140" w:type="dxa"/>
            <w:vAlign w:val="bottom"/>
            <w:tcBorders>
              <w:bottom w:val="single" w:sz="8" w:color="3E3935"/>
            </w:tcBorders>
          </w:tcPr>
          <w:p>
            <w:pPr>
              <w:spacing w:after="0" w:line="20" w:lineRule="exact"/>
              <w:rPr>
                <w:sz w:val="1"/>
                <w:szCs w:val="1"/>
                <w:color w:val="auto"/>
              </w:rPr>
            </w:pPr>
          </w:p>
        </w:tc>
        <w:tc>
          <w:tcPr>
            <w:tcW w:w="480" w:type="dxa"/>
            <w:vAlign w:val="bottom"/>
            <w:tcBorders>
              <w:bottom w:val="single" w:sz="8" w:color="3E3935"/>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460" w:type="dxa"/>
            <w:vAlign w:val="bottom"/>
            <w:tcBorders>
              <w:bottom w:val="single" w:sz="8" w:color="0000EE"/>
            </w:tcBorders>
            <w:gridSpan w:val="9"/>
          </w:tcPr>
          <w:p>
            <w:pPr>
              <w:spacing w:after="0" w:line="170" w:lineRule="exact"/>
              <w:rPr>
                <w:sz w:val="20"/>
                <w:szCs w:val="20"/>
                <w:color w:val="auto"/>
              </w:rPr>
            </w:pPr>
            <w:r>
              <w:rPr>
                <w:rFonts w:ascii="Arial" w:cs="Arial" w:eastAsia="Arial" w:hAnsi="Arial"/>
                <w:sz w:val="18"/>
                <w:szCs w:val="18"/>
                <w:color w:val="0000EE"/>
                <w:w w:val="98"/>
              </w:rPr>
              <w:t>Summary Compensation Table</w:t>
            </w:r>
          </w:p>
        </w:tc>
        <w:tc>
          <w:tcPr>
            <w:tcW w:w="2460" w:type="dxa"/>
            <w:vAlign w:val="bottom"/>
            <w:gridSpan w:val="25"/>
          </w:tcPr>
          <w:p>
            <w:pPr>
              <w:spacing w:after="0"/>
              <w:rPr>
                <w:sz w:val="14"/>
                <w:szCs w:val="14"/>
                <w:color w:val="auto"/>
              </w:rPr>
            </w:pPr>
          </w:p>
        </w:tc>
        <w:tc>
          <w:tcPr>
            <w:tcW w:w="480" w:type="dxa"/>
            <w:vAlign w:val="bottom"/>
          </w:tcPr>
          <w:p>
            <w:pPr>
              <w:jc w:val="right"/>
              <w:spacing w:after="0" w:line="170" w:lineRule="exact"/>
              <w:rPr>
                <w:sz w:val="20"/>
                <w:szCs w:val="20"/>
                <w:color w:val="auto"/>
              </w:rPr>
            </w:pPr>
            <w:r>
              <w:rPr>
                <w:rFonts w:ascii="Arial" w:cs="Arial" w:eastAsia="Arial" w:hAnsi="Arial"/>
                <w:sz w:val="18"/>
                <w:szCs w:val="18"/>
                <w:color w:val="3E3935"/>
              </w:rPr>
              <w:t>74</w:t>
            </w:r>
          </w:p>
        </w:tc>
        <w:tc>
          <w:tcPr>
            <w:tcW w:w="0" w:type="dxa"/>
            <w:vAlign w:val="bottom"/>
          </w:tcPr>
          <w:p>
            <w:pPr>
              <w:spacing w:after="0"/>
              <w:rPr>
                <w:sz w:val="1"/>
                <w:szCs w:val="1"/>
                <w:color w:val="auto"/>
              </w:rPr>
            </w:pPr>
          </w:p>
        </w:tc>
      </w:tr>
      <w:tr>
        <w:trPr>
          <w:trHeight w:val="210"/>
        </w:trPr>
        <w:tc>
          <w:tcPr>
            <w:tcW w:w="4920" w:type="dxa"/>
            <w:vAlign w:val="bottom"/>
            <w:gridSpan w:val="34"/>
          </w:tcPr>
          <w:p>
            <w:pPr>
              <w:spacing w:after="0"/>
              <w:rPr>
                <w:sz w:val="20"/>
                <w:szCs w:val="20"/>
                <w:color w:val="auto"/>
              </w:rPr>
            </w:pPr>
            <w:r>
              <w:rPr>
                <w:rFonts w:ascii="Arial" w:cs="Arial" w:eastAsia="Arial" w:hAnsi="Arial"/>
                <w:sz w:val="18"/>
                <w:szCs w:val="18"/>
                <w:color w:val="0000EE"/>
              </w:rPr>
              <w:t>Grants of Plan-Based Awards</w:t>
            </w:r>
          </w:p>
        </w:tc>
        <w:tc>
          <w:tcPr>
            <w:tcW w:w="480" w:type="dxa"/>
            <w:vAlign w:val="bottom"/>
          </w:tcPr>
          <w:p>
            <w:pPr>
              <w:jc w:val="right"/>
              <w:spacing w:after="0"/>
              <w:rPr>
                <w:sz w:val="20"/>
                <w:szCs w:val="20"/>
                <w:color w:val="auto"/>
              </w:rPr>
            </w:pPr>
            <w:r>
              <w:rPr>
                <w:rFonts w:ascii="Arial" w:cs="Arial" w:eastAsia="Arial" w:hAnsi="Arial"/>
                <w:sz w:val="18"/>
                <w:szCs w:val="18"/>
                <w:color w:val="3E3935"/>
              </w:rPr>
              <w:t>76</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680" w:type="dxa"/>
            <w:vAlign w:val="bottom"/>
            <w:tcBorders>
              <w:bottom w:val="single" w:sz="8" w:color="0000EE"/>
            </w:tcBorders>
            <w:gridSpan w:val="20"/>
          </w:tcPr>
          <w:p>
            <w:pPr>
              <w:spacing w:after="0"/>
              <w:rPr>
                <w:sz w:val="20"/>
                <w:szCs w:val="20"/>
                <w:color w:val="auto"/>
              </w:rPr>
            </w:pPr>
            <w:r>
              <w:rPr>
                <w:rFonts w:ascii="Arial" w:cs="Arial" w:eastAsia="Arial" w:hAnsi="Arial"/>
                <w:sz w:val="18"/>
                <w:szCs w:val="18"/>
                <w:color w:val="0000EE"/>
                <w:w w:val="98"/>
              </w:rPr>
              <w:t>Outstanding Equity Awards at Fiscal Year-End</w:t>
            </w:r>
          </w:p>
        </w:tc>
        <w:tc>
          <w:tcPr>
            <w:tcW w:w="1240" w:type="dxa"/>
            <w:vAlign w:val="bottom"/>
            <w:gridSpan w:val="14"/>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3E3935"/>
              </w:rPr>
              <w:t>77</w:t>
            </w:r>
          </w:p>
        </w:tc>
        <w:tc>
          <w:tcPr>
            <w:tcW w:w="0" w:type="dxa"/>
            <w:vAlign w:val="bottom"/>
          </w:tcPr>
          <w:p>
            <w:pPr>
              <w:spacing w:after="0"/>
              <w:rPr>
                <w:sz w:val="1"/>
                <w:szCs w:val="1"/>
                <w:color w:val="auto"/>
              </w:rPr>
            </w:pPr>
          </w:p>
        </w:tc>
      </w:tr>
      <w:tr>
        <w:trPr>
          <w:trHeight w:val="209"/>
        </w:trPr>
        <w:tc>
          <w:tcPr>
            <w:tcW w:w="4920" w:type="dxa"/>
            <w:vAlign w:val="bottom"/>
            <w:gridSpan w:val="34"/>
          </w:tcPr>
          <w:p>
            <w:pPr>
              <w:spacing w:after="0"/>
              <w:rPr>
                <w:sz w:val="20"/>
                <w:szCs w:val="20"/>
                <w:color w:val="auto"/>
              </w:rPr>
            </w:pPr>
            <w:r>
              <w:rPr>
                <w:rFonts w:ascii="Arial" w:cs="Arial" w:eastAsia="Arial" w:hAnsi="Arial"/>
                <w:sz w:val="18"/>
                <w:szCs w:val="18"/>
                <w:color w:val="0000EE"/>
              </w:rPr>
              <w:t>Option Exercises and Stock Vested</w:t>
            </w:r>
          </w:p>
        </w:tc>
        <w:tc>
          <w:tcPr>
            <w:tcW w:w="480" w:type="dxa"/>
            <w:vAlign w:val="bottom"/>
          </w:tcPr>
          <w:p>
            <w:pPr>
              <w:jc w:val="right"/>
              <w:spacing w:after="0"/>
              <w:rPr>
                <w:sz w:val="20"/>
                <w:szCs w:val="20"/>
                <w:color w:val="auto"/>
              </w:rPr>
            </w:pPr>
            <w:r>
              <w:rPr>
                <w:rFonts w:ascii="Arial" w:cs="Arial" w:eastAsia="Arial" w:hAnsi="Arial"/>
                <w:sz w:val="18"/>
                <w:szCs w:val="18"/>
                <w:color w:val="3E3935"/>
              </w:rPr>
              <w:t>78</w:t>
            </w:r>
          </w:p>
        </w:tc>
        <w:tc>
          <w:tcPr>
            <w:tcW w:w="0" w:type="dxa"/>
            <w:vAlign w:val="bottom"/>
          </w:tcPr>
          <w:p>
            <w:pPr>
              <w:spacing w:after="0"/>
              <w:rPr>
                <w:sz w:val="1"/>
                <w:szCs w:val="1"/>
                <w:color w:val="auto"/>
              </w:rPr>
            </w:pPr>
          </w:p>
        </w:tc>
      </w:tr>
      <w:tr>
        <w:trPr>
          <w:trHeight w:val="210"/>
        </w:trPr>
        <w:tc>
          <w:tcPr>
            <w:tcW w:w="2800" w:type="dxa"/>
            <w:vAlign w:val="bottom"/>
            <w:tcBorders>
              <w:top w:val="single" w:sz="8" w:color="0000EE"/>
            </w:tcBorders>
            <w:gridSpan w:val="10"/>
          </w:tcPr>
          <w:p>
            <w:pPr>
              <w:spacing w:after="0"/>
              <w:rPr>
                <w:sz w:val="20"/>
                <w:szCs w:val="20"/>
                <w:color w:val="auto"/>
              </w:rPr>
            </w:pPr>
            <w:r>
              <w:rPr>
                <w:rFonts w:ascii="Arial" w:cs="Arial" w:eastAsia="Arial" w:hAnsi="Arial"/>
                <w:sz w:val="18"/>
                <w:szCs w:val="18"/>
                <w:color w:val="0000EE"/>
              </w:rPr>
              <w:t>Pension Benefits</w:t>
            </w:r>
          </w:p>
        </w:tc>
        <w:tc>
          <w:tcPr>
            <w:tcW w:w="2120" w:type="dxa"/>
            <w:vAlign w:val="bottom"/>
            <w:gridSpan w:val="24"/>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3E3935"/>
              </w:rPr>
              <w:t>78</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8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920" w:type="dxa"/>
            <w:vAlign w:val="bottom"/>
            <w:gridSpan w:val="34"/>
          </w:tcPr>
          <w:p>
            <w:pPr>
              <w:spacing w:after="0"/>
              <w:rPr>
                <w:sz w:val="20"/>
                <w:szCs w:val="20"/>
                <w:color w:val="auto"/>
              </w:rPr>
            </w:pPr>
            <w:r>
              <w:rPr>
                <w:rFonts w:ascii="Arial" w:cs="Arial" w:eastAsia="Arial" w:hAnsi="Arial"/>
                <w:sz w:val="18"/>
                <w:szCs w:val="18"/>
                <w:color w:val="0000EE"/>
              </w:rPr>
              <w:t>Nonqualified Deferred Compensation Plan</w:t>
            </w:r>
          </w:p>
        </w:tc>
        <w:tc>
          <w:tcPr>
            <w:tcW w:w="480" w:type="dxa"/>
            <w:vAlign w:val="bottom"/>
          </w:tcPr>
          <w:p>
            <w:pPr>
              <w:jc w:val="right"/>
              <w:spacing w:after="0"/>
              <w:rPr>
                <w:sz w:val="20"/>
                <w:szCs w:val="20"/>
                <w:color w:val="auto"/>
              </w:rPr>
            </w:pPr>
            <w:r>
              <w:rPr>
                <w:rFonts w:ascii="Arial" w:cs="Arial" w:eastAsia="Arial" w:hAnsi="Arial"/>
                <w:sz w:val="18"/>
                <w:szCs w:val="18"/>
                <w:color w:val="3E3935"/>
              </w:rPr>
              <w:t>80</w:t>
            </w:r>
          </w:p>
        </w:tc>
        <w:tc>
          <w:tcPr>
            <w:tcW w:w="0" w:type="dxa"/>
            <w:vAlign w:val="bottom"/>
          </w:tcPr>
          <w:p>
            <w:pPr>
              <w:spacing w:after="0"/>
              <w:rPr>
                <w:sz w:val="1"/>
                <w:szCs w:val="1"/>
                <w:color w:val="auto"/>
              </w:rPr>
            </w:pPr>
          </w:p>
        </w:tc>
      </w:tr>
      <w:tr>
        <w:trPr>
          <w:trHeight w:val="210"/>
        </w:trPr>
        <w:tc>
          <w:tcPr>
            <w:tcW w:w="3360" w:type="dxa"/>
            <w:vAlign w:val="bottom"/>
            <w:tcBorders>
              <w:top w:val="single" w:sz="8" w:color="0000EE"/>
            </w:tcBorders>
            <w:gridSpan w:val="17"/>
          </w:tcPr>
          <w:p>
            <w:pPr>
              <w:spacing w:after="0"/>
              <w:rPr>
                <w:sz w:val="20"/>
                <w:szCs w:val="20"/>
                <w:color w:val="auto"/>
              </w:rPr>
            </w:pPr>
            <w:r>
              <w:rPr>
                <w:rFonts w:ascii="Arial" w:cs="Arial" w:eastAsia="Arial" w:hAnsi="Arial"/>
                <w:sz w:val="18"/>
                <w:szCs w:val="18"/>
                <w:color w:val="0000EE"/>
              </w:rPr>
              <w:t>Potential Payments Upon Termination</w:t>
            </w:r>
          </w:p>
        </w:tc>
        <w:tc>
          <w:tcPr>
            <w:tcW w:w="1560" w:type="dxa"/>
            <w:vAlign w:val="bottom"/>
            <w:gridSpan w:val="17"/>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3E3935"/>
              </w:rPr>
              <w:t>81</w:t>
            </w:r>
          </w:p>
        </w:tc>
        <w:tc>
          <w:tcPr>
            <w:tcW w:w="0" w:type="dxa"/>
            <w:vAlign w:val="bottom"/>
          </w:tcPr>
          <w:p>
            <w:pPr>
              <w:spacing w:after="0"/>
              <w:rPr>
                <w:sz w:val="1"/>
                <w:szCs w:val="1"/>
                <w:color w:val="auto"/>
              </w:rPr>
            </w:pPr>
          </w:p>
        </w:tc>
      </w:tr>
      <w:tr>
        <w:trPr>
          <w:trHeight w:val="209"/>
        </w:trPr>
        <w:tc>
          <w:tcPr>
            <w:tcW w:w="1220" w:type="dxa"/>
            <w:vAlign w:val="bottom"/>
            <w:tcBorders>
              <w:top w:val="single" w:sz="8" w:color="0000EE"/>
              <w:bottom w:val="single" w:sz="8" w:color="0000EE"/>
            </w:tcBorders>
            <w:gridSpan w:val="5"/>
          </w:tcPr>
          <w:p>
            <w:pPr>
              <w:spacing w:after="0"/>
              <w:rPr>
                <w:sz w:val="20"/>
                <w:szCs w:val="20"/>
                <w:color w:val="auto"/>
              </w:rPr>
            </w:pPr>
            <w:r>
              <w:rPr>
                <w:rFonts w:ascii="Arial" w:cs="Arial" w:eastAsia="Arial" w:hAnsi="Arial"/>
                <w:sz w:val="18"/>
                <w:szCs w:val="18"/>
                <w:color w:val="0000EE"/>
                <w:w w:val="98"/>
              </w:rPr>
              <w:t>CEO Pay Ratio</w:t>
            </w:r>
          </w:p>
        </w:tc>
        <w:tc>
          <w:tcPr>
            <w:tcW w:w="1780" w:type="dxa"/>
            <w:vAlign w:val="bottom"/>
            <w:tcBorders>
              <w:top w:val="single" w:sz="8" w:color="0000EE"/>
            </w:tcBorders>
            <w:gridSpan w:val="7"/>
          </w:tcPr>
          <w:p>
            <w:pPr>
              <w:spacing w:after="0"/>
              <w:rPr>
                <w:sz w:val="18"/>
                <w:szCs w:val="18"/>
                <w:color w:val="auto"/>
              </w:rPr>
            </w:pPr>
          </w:p>
        </w:tc>
        <w:tc>
          <w:tcPr>
            <w:tcW w:w="1920" w:type="dxa"/>
            <w:vAlign w:val="bottom"/>
            <w:gridSpan w:val="22"/>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3E3935"/>
              </w:rPr>
              <w:t>84</w:t>
            </w:r>
          </w:p>
        </w:tc>
        <w:tc>
          <w:tcPr>
            <w:tcW w:w="0" w:type="dxa"/>
            <w:vAlign w:val="bottom"/>
          </w:tcPr>
          <w:p>
            <w:pPr>
              <w:spacing w:after="0"/>
              <w:rPr>
                <w:sz w:val="1"/>
                <w:szCs w:val="1"/>
                <w:color w:val="auto"/>
              </w:rPr>
            </w:pPr>
          </w:p>
        </w:tc>
      </w:tr>
      <w:tr>
        <w:trPr>
          <w:trHeight w:val="209"/>
        </w:trPr>
        <w:tc>
          <w:tcPr>
            <w:tcW w:w="4920" w:type="dxa"/>
            <w:vAlign w:val="bottom"/>
            <w:gridSpan w:val="34"/>
          </w:tcPr>
          <w:p>
            <w:pPr>
              <w:spacing w:after="0"/>
              <w:rPr>
                <w:sz w:val="20"/>
                <w:szCs w:val="20"/>
                <w:color w:val="auto"/>
              </w:rPr>
            </w:pPr>
            <w:r>
              <w:rPr>
                <w:rFonts w:ascii="Arial" w:cs="Arial" w:eastAsia="Arial" w:hAnsi="Arial"/>
                <w:sz w:val="18"/>
                <w:szCs w:val="18"/>
                <w:color w:val="0000EE"/>
              </w:rPr>
              <w:t>Pay Versus Performance</w:t>
            </w:r>
          </w:p>
        </w:tc>
        <w:tc>
          <w:tcPr>
            <w:tcW w:w="480" w:type="dxa"/>
            <w:vAlign w:val="bottom"/>
          </w:tcPr>
          <w:p>
            <w:pPr>
              <w:jc w:val="right"/>
              <w:spacing w:after="0"/>
              <w:rPr>
                <w:sz w:val="20"/>
                <w:szCs w:val="20"/>
                <w:color w:val="auto"/>
              </w:rPr>
            </w:pPr>
            <w:r>
              <w:rPr>
                <w:rFonts w:ascii="Arial" w:cs="Arial" w:eastAsia="Arial" w:hAnsi="Arial"/>
                <w:sz w:val="18"/>
                <w:szCs w:val="18"/>
                <w:color w:val="3E3935"/>
              </w:rPr>
              <w:t>85</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940" w:type="dxa"/>
            <w:vAlign w:val="bottom"/>
            <w:gridSpan w:val="3"/>
            <w:shd w:val="clear" w:color="auto" w:fill="0000EE"/>
          </w:tcPr>
          <w:p>
            <w:pPr>
              <w:spacing w:after="0" w:line="20" w:lineRule="exact"/>
              <w:rPr>
                <w:sz w:val="1"/>
                <w:szCs w:val="1"/>
                <w:color w:val="auto"/>
              </w:rPr>
            </w:pPr>
          </w:p>
        </w:tc>
        <w:tc>
          <w:tcPr>
            <w:tcW w:w="880" w:type="dxa"/>
            <w:vAlign w:val="bottom"/>
            <w:gridSpan w:val="4"/>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920" w:type="dxa"/>
            <w:vAlign w:val="bottom"/>
            <w:gridSpan w:val="34"/>
          </w:tcPr>
          <w:p>
            <w:pPr>
              <w:spacing w:after="0"/>
              <w:rPr>
                <w:sz w:val="20"/>
                <w:szCs w:val="20"/>
                <w:color w:val="auto"/>
              </w:rPr>
            </w:pPr>
            <w:r>
              <w:rPr>
                <w:rFonts w:ascii="Arial" w:cs="Arial" w:eastAsia="Arial" w:hAnsi="Arial"/>
                <w:sz w:val="18"/>
                <w:szCs w:val="18"/>
                <w:color w:val="0000EE"/>
              </w:rPr>
              <w:t>Equity Compensation Plan Information</w:t>
            </w:r>
          </w:p>
        </w:tc>
        <w:tc>
          <w:tcPr>
            <w:tcW w:w="480" w:type="dxa"/>
            <w:vAlign w:val="bottom"/>
          </w:tcPr>
          <w:p>
            <w:pPr>
              <w:jc w:val="right"/>
              <w:spacing w:after="0"/>
              <w:rPr>
                <w:sz w:val="20"/>
                <w:szCs w:val="20"/>
                <w:color w:val="auto"/>
              </w:rPr>
            </w:pPr>
            <w:r>
              <w:rPr>
                <w:rFonts w:ascii="Arial" w:cs="Arial" w:eastAsia="Arial" w:hAnsi="Arial"/>
                <w:sz w:val="18"/>
                <w:szCs w:val="18"/>
                <w:color w:val="3E3935"/>
              </w:rPr>
              <w:t>87</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20" w:type="dxa"/>
            <w:vAlign w:val="bottom"/>
            <w:gridSpan w:val="7"/>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gridSpan w:val="34"/>
          </w:tcPr>
          <w:p>
            <w:pPr>
              <w:spacing w:after="0"/>
              <w:rPr>
                <w:sz w:val="20"/>
                <w:szCs w:val="20"/>
                <w:color w:val="auto"/>
              </w:rPr>
            </w:pPr>
            <w:r>
              <w:rPr>
                <w:rFonts w:ascii="Arial" w:cs="Arial" w:eastAsia="Arial" w:hAnsi="Arial"/>
                <w:sz w:val="18"/>
                <w:szCs w:val="18"/>
                <w:b w:val="1"/>
                <w:bCs w:val="1"/>
                <w:color w:val="0000EE"/>
              </w:rPr>
              <w:t>ITEM NO. 4 – PROPOSAL TO APPROVE AMENDMENT</w:t>
            </w:r>
          </w:p>
        </w:tc>
        <w:tc>
          <w:tcPr>
            <w:tcW w:w="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3"/>
        </w:trPr>
        <w:tc>
          <w:tcPr>
            <w:tcW w:w="180" w:type="dxa"/>
            <w:vAlign w:val="bottom"/>
            <w:tcBorders>
              <w:top w:val="single" w:sz="8" w:color="0000EE"/>
            </w:tcBorders>
          </w:tcPr>
          <w:p>
            <w:pPr>
              <w:spacing w:after="0"/>
              <w:rPr>
                <w:sz w:val="15"/>
                <w:szCs w:val="15"/>
                <w:color w:val="auto"/>
              </w:rPr>
            </w:pPr>
          </w:p>
        </w:tc>
        <w:tc>
          <w:tcPr>
            <w:tcW w:w="460" w:type="dxa"/>
            <w:vAlign w:val="bottom"/>
            <w:tcBorders>
              <w:top w:val="single" w:sz="8" w:color="0000EE"/>
            </w:tcBorders>
          </w:tcPr>
          <w:p>
            <w:pPr>
              <w:spacing w:after="0"/>
              <w:rPr>
                <w:sz w:val="15"/>
                <w:szCs w:val="15"/>
                <w:color w:val="auto"/>
              </w:rPr>
            </w:pPr>
          </w:p>
        </w:tc>
        <w:tc>
          <w:tcPr>
            <w:tcW w:w="36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3560" w:type="dxa"/>
            <w:vAlign w:val="bottom"/>
            <w:tcBorders>
              <w:top w:val="single" w:sz="8" w:color="0000EE"/>
            </w:tcBorders>
            <w:gridSpan w:val="27"/>
          </w:tcPr>
          <w:p>
            <w:pPr>
              <w:spacing w:after="0" w:line="182" w:lineRule="exact"/>
              <w:rPr>
                <w:sz w:val="20"/>
                <w:szCs w:val="20"/>
                <w:color w:val="auto"/>
              </w:rPr>
            </w:pPr>
            <w:r>
              <w:rPr>
                <w:rFonts w:ascii="Arial" w:cs="Arial" w:eastAsia="Arial" w:hAnsi="Arial"/>
                <w:sz w:val="18"/>
                <w:szCs w:val="18"/>
                <w:b w:val="1"/>
                <w:bCs w:val="1"/>
                <w:color w:val="0000EE"/>
              </w:rPr>
              <w:t>NO. 1 TO THE COMPANY’S 2020 LONG-</w:t>
            </w: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400" w:type="dxa"/>
            <w:vAlign w:val="bottom"/>
            <w:tcBorders>
              <w:top w:val="single" w:sz="8" w:color="0000EE"/>
            </w:tcBorders>
            <w:gridSpan w:val="24"/>
          </w:tcPr>
          <w:p>
            <w:pPr>
              <w:spacing w:after="0" w:line="182" w:lineRule="exact"/>
              <w:rPr>
                <w:sz w:val="20"/>
                <w:szCs w:val="20"/>
                <w:color w:val="auto"/>
              </w:rPr>
            </w:pPr>
            <w:r>
              <w:rPr>
                <w:rFonts w:ascii="Arial" w:cs="Arial" w:eastAsia="Arial" w:hAnsi="Arial"/>
                <w:sz w:val="18"/>
                <w:szCs w:val="18"/>
                <w:b w:val="1"/>
                <w:bCs w:val="1"/>
                <w:color w:val="0000EE"/>
              </w:rPr>
              <w:t>TERM INCENTIVE PLAN TO INCREASE</w:t>
            </w:r>
          </w:p>
        </w:tc>
        <w:tc>
          <w:tcPr>
            <w:tcW w:w="480" w:type="dxa"/>
            <w:vAlign w:val="bottom"/>
            <w:gridSpan w:val="6"/>
          </w:tcPr>
          <w:p>
            <w:pPr>
              <w:spacing w:after="0" w:line="182" w:lineRule="exact"/>
              <w:rPr>
                <w:sz w:val="20"/>
                <w:szCs w:val="20"/>
                <w:color w:val="auto"/>
              </w:rPr>
            </w:pPr>
            <w:r>
              <w:rPr>
                <w:rFonts w:ascii="Arial" w:cs="Arial" w:eastAsia="Arial" w:hAnsi="Arial"/>
                <w:sz w:val="18"/>
                <w:szCs w:val="18"/>
                <w:b w:val="1"/>
                <w:bCs w:val="1"/>
                <w:color w:val="0000EE"/>
              </w:rPr>
              <w:t>THE</w:t>
            </w:r>
          </w:p>
        </w:tc>
        <w:tc>
          <w:tcPr>
            <w:tcW w:w="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740" w:type="dxa"/>
            <w:vAlign w:val="bottom"/>
            <w:tcBorders>
              <w:top w:val="single" w:sz="8" w:color="0000EE"/>
            </w:tcBorders>
            <w:gridSpan w:val="29"/>
          </w:tcPr>
          <w:p>
            <w:pPr>
              <w:spacing w:after="0" w:line="182" w:lineRule="exact"/>
              <w:rPr>
                <w:sz w:val="20"/>
                <w:szCs w:val="20"/>
                <w:color w:val="auto"/>
              </w:rPr>
            </w:pPr>
            <w:r>
              <w:rPr>
                <w:rFonts w:ascii="Arial" w:cs="Arial" w:eastAsia="Arial" w:hAnsi="Arial"/>
                <w:sz w:val="18"/>
                <w:szCs w:val="18"/>
                <w:b w:val="1"/>
                <w:bCs w:val="1"/>
                <w:color w:val="0000EE"/>
              </w:rPr>
              <w:t>NUMBER OF SHARES AVAILABLE FOR</w:t>
            </w:r>
          </w:p>
        </w:tc>
        <w:tc>
          <w:tcPr>
            <w:tcW w:w="140" w:type="dxa"/>
            <w:vAlign w:val="bottom"/>
          </w:tcPr>
          <w:p>
            <w:pPr>
              <w:spacing w:after="0"/>
              <w:rPr>
                <w:sz w:val="15"/>
                <w:szCs w:val="15"/>
                <w:color w:val="auto"/>
              </w:rPr>
            </w:pPr>
          </w:p>
        </w:tc>
        <w:tc>
          <w:tcPr>
            <w:tcW w:w="480" w:type="dxa"/>
            <w:vAlign w:val="bottom"/>
            <w:vMerge w:val="restart"/>
          </w:tcPr>
          <w:p>
            <w:pPr>
              <w:jc w:val="right"/>
              <w:spacing w:after="0"/>
              <w:rPr>
                <w:sz w:val="20"/>
                <w:szCs w:val="20"/>
                <w:color w:val="auto"/>
              </w:rPr>
            </w:pPr>
            <w:r>
              <w:rPr>
                <w:rFonts w:ascii="Arial" w:cs="Arial" w:eastAsia="Arial" w:hAnsi="Arial"/>
                <w:sz w:val="18"/>
                <w:szCs w:val="18"/>
                <w:i w:val="1"/>
                <w:iCs w:val="1"/>
                <w:color w:val="3E3935"/>
              </w:rPr>
              <w:t>88</w:t>
            </w:r>
          </w:p>
        </w:tc>
        <w:tc>
          <w:tcPr>
            <w:tcW w:w="0" w:type="dxa"/>
            <w:vAlign w:val="bottom"/>
          </w:tcPr>
          <w:p>
            <w:pPr>
              <w:spacing w:after="0"/>
              <w:rPr>
                <w:sz w:val="1"/>
                <w:szCs w:val="1"/>
                <w:color w:val="auto"/>
              </w:rPr>
            </w:pPr>
          </w:p>
        </w:tc>
      </w:tr>
      <w:tr>
        <w:trPr>
          <w:trHeight w:val="183"/>
        </w:trPr>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380" w:type="dxa"/>
            <w:vAlign w:val="bottom"/>
            <w:tcBorders>
              <w:top w:val="single" w:sz="8" w:color="0000EE"/>
            </w:tcBorders>
            <w:gridSpan w:val="23"/>
          </w:tcPr>
          <w:p>
            <w:pPr>
              <w:spacing w:after="0" w:line="182" w:lineRule="exact"/>
              <w:rPr>
                <w:sz w:val="20"/>
                <w:szCs w:val="20"/>
                <w:color w:val="auto"/>
              </w:rPr>
            </w:pPr>
            <w:r>
              <w:rPr>
                <w:rFonts w:ascii="Arial" w:cs="Arial" w:eastAsia="Arial" w:hAnsi="Arial"/>
                <w:sz w:val="18"/>
                <w:szCs w:val="18"/>
                <w:b w:val="1"/>
                <w:bCs w:val="1"/>
                <w:color w:val="0000EE"/>
              </w:rPr>
              <w:t>ISSUANCE THEREUNDER</w:t>
            </w:r>
          </w:p>
        </w:tc>
        <w:tc>
          <w:tcPr>
            <w:tcW w:w="6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gridSpan w:val="2"/>
          </w:tcPr>
          <w:p>
            <w:pPr>
              <w:spacing w:after="0"/>
              <w:rPr>
                <w:sz w:val="15"/>
                <w:szCs w:val="15"/>
                <w:color w:val="auto"/>
              </w:rPr>
            </w:pPr>
          </w:p>
        </w:tc>
        <w:tc>
          <w:tcPr>
            <w:tcW w:w="180" w:type="dxa"/>
            <w:vAlign w:val="bottom"/>
            <w:gridSpan w:val="2"/>
          </w:tcPr>
          <w:p>
            <w:pPr>
              <w:spacing w:after="0"/>
              <w:rPr>
                <w:sz w:val="15"/>
                <w:szCs w:val="15"/>
                <w:color w:val="auto"/>
              </w:rPr>
            </w:pPr>
          </w:p>
        </w:tc>
        <w:tc>
          <w:tcPr>
            <w:tcW w:w="4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80" w:type="dxa"/>
            <w:vAlign w:val="bottom"/>
            <w:tcBorders>
              <w:bottom w:val="single" w:sz="8" w:color="3E3935"/>
            </w:tcBorders>
          </w:tcPr>
          <w:p>
            <w:pPr>
              <w:spacing w:after="0" w:line="20" w:lineRule="exact"/>
              <w:rPr>
                <w:sz w:val="1"/>
                <w:szCs w:val="1"/>
                <w:color w:val="auto"/>
              </w:rPr>
            </w:pPr>
          </w:p>
        </w:tc>
        <w:tc>
          <w:tcPr>
            <w:tcW w:w="460" w:type="dxa"/>
            <w:vAlign w:val="bottom"/>
            <w:tcBorders>
              <w:bottom w:val="single" w:sz="8" w:color="3E3935"/>
            </w:tcBorders>
          </w:tcPr>
          <w:p>
            <w:pPr>
              <w:spacing w:after="0" w:line="20" w:lineRule="exact"/>
              <w:rPr>
                <w:sz w:val="1"/>
                <w:szCs w:val="1"/>
                <w:color w:val="auto"/>
              </w:rPr>
            </w:pPr>
          </w:p>
        </w:tc>
        <w:tc>
          <w:tcPr>
            <w:tcW w:w="360" w:type="dxa"/>
            <w:vAlign w:val="bottom"/>
            <w:tcBorders>
              <w:bottom w:val="single" w:sz="8" w:color="3E3935"/>
            </w:tcBorders>
          </w:tcPr>
          <w:p>
            <w:pPr>
              <w:spacing w:after="0" w:line="20" w:lineRule="exact"/>
              <w:rPr>
                <w:sz w:val="1"/>
                <w:szCs w:val="1"/>
                <w:color w:val="auto"/>
              </w:rPr>
            </w:pPr>
          </w:p>
        </w:tc>
        <w:tc>
          <w:tcPr>
            <w:tcW w:w="40" w:type="dxa"/>
            <w:vAlign w:val="bottom"/>
            <w:tcBorders>
              <w:bottom w:val="single" w:sz="8" w:color="3E3935"/>
            </w:tcBorders>
          </w:tcPr>
          <w:p>
            <w:pPr>
              <w:spacing w:after="0" w:line="20" w:lineRule="exact"/>
              <w:rPr>
                <w:sz w:val="1"/>
                <w:szCs w:val="1"/>
                <w:color w:val="auto"/>
              </w:rPr>
            </w:pPr>
          </w:p>
        </w:tc>
        <w:tc>
          <w:tcPr>
            <w:tcW w:w="180" w:type="dxa"/>
            <w:vAlign w:val="bottom"/>
            <w:tcBorders>
              <w:top w:val="single" w:sz="8" w:color="0000EE"/>
              <w:bottom w:val="single" w:sz="8" w:color="3E3935"/>
            </w:tcBorders>
          </w:tcPr>
          <w:p>
            <w:pPr>
              <w:spacing w:after="0" w:line="20" w:lineRule="exact"/>
              <w:rPr>
                <w:sz w:val="1"/>
                <w:szCs w:val="1"/>
                <w:color w:val="auto"/>
              </w:rPr>
            </w:pPr>
          </w:p>
        </w:tc>
        <w:tc>
          <w:tcPr>
            <w:tcW w:w="120" w:type="dxa"/>
            <w:vAlign w:val="bottom"/>
            <w:tcBorders>
              <w:top w:val="single" w:sz="8" w:color="0000EE"/>
              <w:bottom w:val="single" w:sz="8" w:color="3E3935"/>
            </w:tcBorders>
          </w:tcPr>
          <w:p>
            <w:pPr>
              <w:spacing w:after="0" w:line="20" w:lineRule="exact"/>
              <w:rPr>
                <w:sz w:val="1"/>
                <w:szCs w:val="1"/>
                <w:color w:val="auto"/>
              </w:rPr>
            </w:pPr>
          </w:p>
        </w:tc>
        <w:tc>
          <w:tcPr>
            <w:tcW w:w="640" w:type="dxa"/>
            <w:vAlign w:val="bottom"/>
            <w:tcBorders>
              <w:top w:val="single" w:sz="8" w:color="0000EE"/>
              <w:bottom w:val="single" w:sz="8" w:color="3E3935"/>
            </w:tcBorders>
          </w:tcPr>
          <w:p>
            <w:pPr>
              <w:spacing w:after="0" w:line="20" w:lineRule="exact"/>
              <w:rPr>
                <w:sz w:val="1"/>
                <w:szCs w:val="1"/>
                <w:color w:val="auto"/>
              </w:rPr>
            </w:pPr>
          </w:p>
        </w:tc>
        <w:tc>
          <w:tcPr>
            <w:tcW w:w="380" w:type="dxa"/>
            <w:vAlign w:val="bottom"/>
            <w:tcBorders>
              <w:top w:val="single" w:sz="8" w:color="0000EE"/>
              <w:bottom w:val="single" w:sz="8" w:color="3E3935"/>
            </w:tcBorders>
          </w:tcPr>
          <w:p>
            <w:pPr>
              <w:spacing w:after="0" w:line="20" w:lineRule="exact"/>
              <w:rPr>
                <w:sz w:val="1"/>
                <w:szCs w:val="1"/>
                <w:color w:val="auto"/>
              </w:rPr>
            </w:pPr>
          </w:p>
        </w:tc>
        <w:tc>
          <w:tcPr>
            <w:tcW w:w="100" w:type="dxa"/>
            <w:vAlign w:val="bottom"/>
            <w:tcBorders>
              <w:top w:val="single" w:sz="8" w:color="0000EE"/>
              <w:bottom w:val="single" w:sz="8" w:color="3E3935"/>
            </w:tcBorders>
          </w:tcPr>
          <w:p>
            <w:pPr>
              <w:spacing w:after="0" w:line="20" w:lineRule="exact"/>
              <w:rPr>
                <w:sz w:val="1"/>
                <w:szCs w:val="1"/>
                <w:color w:val="auto"/>
              </w:rPr>
            </w:pPr>
          </w:p>
        </w:tc>
        <w:tc>
          <w:tcPr>
            <w:tcW w:w="340" w:type="dxa"/>
            <w:vAlign w:val="bottom"/>
            <w:tcBorders>
              <w:top w:val="single" w:sz="8" w:color="0000EE"/>
              <w:bottom w:val="single" w:sz="8" w:color="3E3935"/>
            </w:tcBorders>
          </w:tcPr>
          <w:p>
            <w:pPr>
              <w:spacing w:after="0" w:line="20" w:lineRule="exact"/>
              <w:rPr>
                <w:sz w:val="1"/>
                <w:szCs w:val="1"/>
                <w:color w:val="auto"/>
              </w:rPr>
            </w:pPr>
          </w:p>
        </w:tc>
        <w:tc>
          <w:tcPr>
            <w:tcW w:w="60" w:type="dxa"/>
            <w:vAlign w:val="bottom"/>
            <w:tcBorders>
              <w:top w:val="single" w:sz="8" w:color="0000EE"/>
              <w:bottom w:val="single" w:sz="8" w:color="3E3935"/>
            </w:tcBorders>
          </w:tcPr>
          <w:p>
            <w:pPr>
              <w:spacing w:after="0" w:line="20" w:lineRule="exact"/>
              <w:rPr>
                <w:sz w:val="1"/>
                <w:szCs w:val="1"/>
                <w:color w:val="auto"/>
              </w:rPr>
            </w:pPr>
          </w:p>
        </w:tc>
        <w:tc>
          <w:tcPr>
            <w:tcW w:w="140" w:type="dxa"/>
            <w:vAlign w:val="bottom"/>
            <w:tcBorders>
              <w:top w:val="single" w:sz="8" w:color="0000EE"/>
              <w:bottom w:val="single" w:sz="8" w:color="3E3935"/>
            </w:tcBorders>
          </w:tcPr>
          <w:p>
            <w:pPr>
              <w:spacing w:after="0" w:line="20" w:lineRule="exact"/>
              <w:rPr>
                <w:sz w:val="1"/>
                <w:szCs w:val="1"/>
                <w:color w:val="auto"/>
              </w:rPr>
            </w:pPr>
          </w:p>
        </w:tc>
        <w:tc>
          <w:tcPr>
            <w:tcW w:w="60" w:type="dxa"/>
            <w:vAlign w:val="bottom"/>
            <w:tcBorders>
              <w:top w:val="single" w:sz="8" w:color="0000EE"/>
              <w:bottom w:val="single" w:sz="8" w:color="3E3935"/>
            </w:tcBorders>
          </w:tcPr>
          <w:p>
            <w:pPr>
              <w:spacing w:after="0" w:line="20" w:lineRule="exact"/>
              <w:rPr>
                <w:sz w:val="1"/>
                <w:szCs w:val="1"/>
                <w:color w:val="auto"/>
              </w:rPr>
            </w:pPr>
          </w:p>
        </w:tc>
        <w:tc>
          <w:tcPr>
            <w:tcW w:w="180" w:type="dxa"/>
            <w:vAlign w:val="bottom"/>
            <w:tcBorders>
              <w:top w:val="single" w:sz="8" w:color="0000EE"/>
              <w:bottom w:val="single" w:sz="8" w:color="3E3935"/>
            </w:tcBorders>
          </w:tcPr>
          <w:p>
            <w:pPr>
              <w:spacing w:after="0" w:line="20" w:lineRule="exact"/>
              <w:rPr>
                <w:sz w:val="1"/>
                <w:szCs w:val="1"/>
                <w:color w:val="auto"/>
              </w:rPr>
            </w:pPr>
          </w:p>
        </w:tc>
        <w:tc>
          <w:tcPr>
            <w:tcW w:w="40" w:type="dxa"/>
            <w:vAlign w:val="bottom"/>
            <w:tcBorders>
              <w:top w:val="single" w:sz="8" w:color="0000EE"/>
              <w:bottom w:val="single" w:sz="8" w:color="3E3935"/>
            </w:tcBorders>
          </w:tcPr>
          <w:p>
            <w:pPr>
              <w:spacing w:after="0" w:line="20" w:lineRule="exact"/>
              <w:rPr>
                <w:sz w:val="1"/>
                <w:szCs w:val="1"/>
                <w:color w:val="auto"/>
              </w:rPr>
            </w:pPr>
          </w:p>
        </w:tc>
        <w:tc>
          <w:tcPr>
            <w:tcW w:w="60" w:type="dxa"/>
            <w:vAlign w:val="bottom"/>
            <w:tcBorders>
              <w:bottom w:val="single" w:sz="8" w:color="3E3935"/>
            </w:tcBorders>
          </w:tcPr>
          <w:p>
            <w:pPr>
              <w:spacing w:after="0" w:line="20" w:lineRule="exact"/>
              <w:rPr>
                <w:sz w:val="1"/>
                <w:szCs w:val="1"/>
                <w:color w:val="auto"/>
              </w:rPr>
            </w:pPr>
          </w:p>
        </w:tc>
        <w:tc>
          <w:tcPr>
            <w:tcW w:w="20" w:type="dxa"/>
            <w:vAlign w:val="bottom"/>
            <w:tcBorders>
              <w:bottom w:val="single" w:sz="8" w:color="3E3935"/>
            </w:tcBorders>
          </w:tcPr>
          <w:p>
            <w:pPr>
              <w:spacing w:after="0" w:line="20" w:lineRule="exact"/>
              <w:rPr>
                <w:sz w:val="1"/>
                <w:szCs w:val="1"/>
                <w:color w:val="auto"/>
              </w:rPr>
            </w:pPr>
          </w:p>
        </w:tc>
        <w:tc>
          <w:tcPr>
            <w:tcW w:w="40" w:type="dxa"/>
            <w:vAlign w:val="bottom"/>
            <w:tcBorders>
              <w:bottom w:val="single" w:sz="8" w:color="3E3935"/>
            </w:tcBorders>
          </w:tcPr>
          <w:p>
            <w:pPr>
              <w:spacing w:after="0" w:line="20" w:lineRule="exact"/>
              <w:rPr>
                <w:sz w:val="1"/>
                <w:szCs w:val="1"/>
                <w:color w:val="auto"/>
              </w:rPr>
            </w:pPr>
          </w:p>
        </w:tc>
        <w:tc>
          <w:tcPr>
            <w:tcW w:w="200" w:type="dxa"/>
            <w:vAlign w:val="bottom"/>
            <w:tcBorders>
              <w:bottom w:val="single" w:sz="8" w:color="3E3935"/>
            </w:tcBorders>
          </w:tcPr>
          <w:p>
            <w:pPr>
              <w:spacing w:after="0" w:line="20" w:lineRule="exact"/>
              <w:rPr>
                <w:sz w:val="1"/>
                <w:szCs w:val="1"/>
                <w:color w:val="auto"/>
              </w:rPr>
            </w:pPr>
          </w:p>
        </w:tc>
        <w:tc>
          <w:tcPr>
            <w:tcW w:w="80" w:type="dxa"/>
            <w:vAlign w:val="bottom"/>
            <w:tcBorders>
              <w:bottom w:val="single" w:sz="8" w:color="3E3935"/>
            </w:tcBorders>
          </w:tcPr>
          <w:p>
            <w:pPr>
              <w:spacing w:after="0" w:line="20" w:lineRule="exact"/>
              <w:rPr>
                <w:sz w:val="1"/>
                <w:szCs w:val="1"/>
                <w:color w:val="auto"/>
              </w:rPr>
            </w:pPr>
          </w:p>
        </w:tc>
        <w:tc>
          <w:tcPr>
            <w:tcW w:w="260" w:type="dxa"/>
            <w:vAlign w:val="bottom"/>
            <w:tcBorders>
              <w:bottom w:val="single" w:sz="8" w:color="3E3935"/>
            </w:tcBorders>
          </w:tcPr>
          <w:p>
            <w:pPr>
              <w:spacing w:after="0" w:line="20" w:lineRule="exact"/>
              <w:rPr>
                <w:sz w:val="1"/>
                <w:szCs w:val="1"/>
                <w:color w:val="auto"/>
              </w:rPr>
            </w:pPr>
          </w:p>
        </w:tc>
        <w:tc>
          <w:tcPr>
            <w:tcW w:w="80" w:type="dxa"/>
            <w:vAlign w:val="bottom"/>
            <w:tcBorders>
              <w:bottom w:val="single" w:sz="8" w:color="3E3935"/>
            </w:tcBorders>
          </w:tcPr>
          <w:p>
            <w:pPr>
              <w:spacing w:after="0" w:line="20" w:lineRule="exact"/>
              <w:rPr>
                <w:sz w:val="1"/>
                <w:szCs w:val="1"/>
                <w:color w:val="auto"/>
              </w:rPr>
            </w:pPr>
          </w:p>
        </w:tc>
        <w:tc>
          <w:tcPr>
            <w:tcW w:w="160" w:type="dxa"/>
            <w:vAlign w:val="bottom"/>
            <w:tcBorders>
              <w:bottom w:val="single" w:sz="8" w:color="3E3935"/>
            </w:tcBorders>
          </w:tcPr>
          <w:p>
            <w:pPr>
              <w:spacing w:after="0" w:line="20" w:lineRule="exact"/>
              <w:rPr>
                <w:sz w:val="1"/>
                <w:szCs w:val="1"/>
                <w:color w:val="auto"/>
              </w:rPr>
            </w:pPr>
          </w:p>
        </w:tc>
        <w:tc>
          <w:tcPr>
            <w:tcW w:w="20" w:type="dxa"/>
            <w:vAlign w:val="bottom"/>
            <w:tcBorders>
              <w:bottom w:val="single" w:sz="8" w:color="3E3935"/>
            </w:tcBorders>
          </w:tcPr>
          <w:p>
            <w:pPr>
              <w:spacing w:after="0" w:line="20" w:lineRule="exact"/>
              <w:rPr>
                <w:sz w:val="1"/>
                <w:szCs w:val="1"/>
                <w:color w:val="auto"/>
              </w:rPr>
            </w:pPr>
          </w:p>
        </w:tc>
        <w:tc>
          <w:tcPr>
            <w:tcW w:w="40" w:type="dxa"/>
            <w:vAlign w:val="bottom"/>
            <w:tcBorders>
              <w:bottom w:val="single" w:sz="8" w:color="3E3935"/>
            </w:tcBorders>
          </w:tcPr>
          <w:p>
            <w:pPr>
              <w:spacing w:after="0" w:line="20" w:lineRule="exact"/>
              <w:rPr>
                <w:sz w:val="1"/>
                <w:szCs w:val="1"/>
                <w:color w:val="auto"/>
              </w:rPr>
            </w:pPr>
          </w:p>
        </w:tc>
        <w:tc>
          <w:tcPr>
            <w:tcW w:w="140" w:type="dxa"/>
            <w:vAlign w:val="bottom"/>
            <w:tcBorders>
              <w:bottom w:val="single" w:sz="8" w:color="3E3935"/>
            </w:tcBorders>
          </w:tcPr>
          <w:p>
            <w:pPr>
              <w:spacing w:after="0" w:line="20" w:lineRule="exact"/>
              <w:rPr>
                <w:sz w:val="1"/>
                <w:szCs w:val="1"/>
                <w:color w:val="auto"/>
              </w:rPr>
            </w:pPr>
          </w:p>
        </w:tc>
        <w:tc>
          <w:tcPr>
            <w:tcW w:w="40" w:type="dxa"/>
            <w:vAlign w:val="bottom"/>
            <w:tcBorders>
              <w:bottom w:val="single" w:sz="8" w:color="3E3935"/>
            </w:tcBorders>
          </w:tcPr>
          <w:p>
            <w:pPr>
              <w:spacing w:after="0" w:line="20" w:lineRule="exact"/>
              <w:rPr>
                <w:sz w:val="1"/>
                <w:szCs w:val="1"/>
                <w:color w:val="auto"/>
              </w:rPr>
            </w:pPr>
          </w:p>
        </w:tc>
        <w:tc>
          <w:tcPr>
            <w:tcW w:w="20" w:type="dxa"/>
            <w:vAlign w:val="bottom"/>
            <w:tcBorders>
              <w:bottom w:val="single" w:sz="8" w:color="3E3935"/>
            </w:tcBorders>
          </w:tcPr>
          <w:p>
            <w:pPr>
              <w:spacing w:after="0" w:line="20" w:lineRule="exact"/>
              <w:rPr>
                <w:sz w:val="1"/>
                <w:szCs w:val="1"/>
                <w:color w:val="auto"/>
              </w:rPr>
            </w:pPr>
          </w:p>
        </w:tc>
        <w:tc>
          <w:tcPr>
            <w:tcW w:w="40" w:type="dxa"/>
            <w:vAlign w:val="bottom"/>
            <w:tcBorders>
              <w:bottom w:val="single" w:sz="8" w:color="3E3935"/>
            </w:tcBorders>
          </w:tcPr>
          <w:p>
            <w:pPr>
              <w:spacing w:after="0" w:line="20" w:lineRule="exact"/>
              <w:rPr>
                <w:sz w:val="1"/>
                <w:szCs w:val="1"/>
                <w:color w:val="auto"/>
              </w:rPr>
            </w:pPr>
          </w:p>
        </w:tc>
        <w:tc>
          <w:tcPr>
            <w:tcW w:w="20" w:type="dxa"/>
            <w:vAlign w:val="bottom"/>
            <w:tcBorders>
              <w:bottom w:val="single" w:sz="8" w:color="3E3935"/>
            </w:tcBorders>
          </w:tcPr>
          <w:p>
            <w:pPr>
              <w:spacing w:after="0" w:line="20" w:lineRule="exact"/>
              <w:rPr>
                <w:sz w:val="1"/>
                <w:szCs w:val="1"/>
                <w:color w:val="auto"/>
              </w:rPr>
            </w:pPr>
          </w:p>
        </w:tc>
        <w:tc>
          <w:tcPr>
            <w:tcW w:w="100" w:type="dxa"/>
            <w:vAlign w:val="bottom"/>
            <w:tcBorders>
              <w:bottom w:val="single" w:sz="8" w:color="3E3935"/>
            </w:tcBorders>
          </w:tcPr>
          <w:p>
            <w:pPr>
              <w:spacing w:after="0" w:line="20" w:lineRule="exact"/>
              <w:rPr>
                <w:sz w:val="1"/>
                <w:szCs w:val="1"/>
                <w:color w:val="auto"/>
              </w:rPr>
            </w:pPr>
          </w:p>
        </w:tc>
        <w:tc>
          <w:tcPr>
            <w:tcW w:w="140" w:type="dxa"/>
            <w:vAlign w:val="bottom"/>
            <w:tcBorders>
              <w:bottom w:val="single" w:sz="8" w:color="3E3935"/>
            </w:tcBorders>
          </w:tcPr>
          <w:p>
            <w:pPr>
              <w:spacing w:after="0" w:line="20" w:lineRule="exact"/>
              <w:rPr>
                <w:sz w:val="1"/>
                <w:szCs w:val="1"/>
                <w:color w:val="auto"/>
              </w:rPr>
            </w:pPr>
          </w:p>
        </w:tc>
        <w:tc>
          <w:tcPr>
            <w:tcW w:w="40" w:type="dxa"/>
            <w:vAlign w:val="bottom"/>
            <w:tcBorders>
              <w:bottom w:val="single" w:sz="8" w:color="3E3935"/>
            </w:tcBorders>
          </w:tcPr>
          <w:p>
            <w:pPr>
              <w:spacing w:after="0" w:line="20" w:lineRule="exact"/>
              <w:rPr>
                <w:sz w:val="1"/>
                <w:szCs w:val="1"/>
                <w:color w:val="auto"/>
              </w:rPr>
            </w:pPr>
          </w:p>
        </w:tc>
        <w:tc>
          <w:tcPr>
            <w:tcW w:w="140" w:type="dxa"/>
            <w:vAlign w:val="bottom"/>
            <w:tcBorders>
              <w:bottom w:val="single" w:sz="8" w:color="3E3935"/>
            </w:tcBorders>
          </w:tcPr>
          <w:p>
            <w:pPr>
              <w:spacing w:after="0" w:line="20" w:lineRule="exact"/>
              <w:rPr>
                <w:sz w:val="1"/>
                <w:szCs w:val="1"/>
                <w:color w:val="auto"/>
              </w:rPr>
            </w:pPr>
          </w:p>
        </w:tc>
        <w:tc>
          <w:tcPr>
            <w:tcW w:w="480" w:type="dxa"/>
            <w:vAlign w:val="bottom"/>
            <w:tcBorders>
              <w:bottom w:val="single" w:sz="8" w:color="3E3935"/>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920" w:type="dxa"/>
            <w:vAlign w:val="bottom"/>
            <w:gridSpan w:val="34"/>
          </w:tcPr>
          <w:p>
            <w:pPr>
              <w:spacing w:after="0"/>
              <w:rPr>
                <w:sz w:val="20"/>
                <w:szCs w:val="20"/>
                <w:color w:val="auto"/>
              </w:rPr>
            </w:pPr>
            <w:r>
              <w:rPr>
                <w:rFonts w:ascii="Arial" w:cs="Arial" w:eastAsia="Arial" w:hAnsi="Arial"/>
                <w:sz w:val="18"/>
                <w:szCs w:val="18"/>
                <w:b w:val="1"/>
                <w:bCs w:val="1"/>
                <w:color w:val="0000EE"/>
              </w:rPr>
              <w:t>ITEM NO. 5 – SHAREHOLDER PROPOSAL</w:t>
            </w: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180" w:type="dxa"/>
            <w:vAlign w:val="bottom"/>
            <w:tcBorders>
              <w:top w:val="single" w:sz="8" w:color="0000EE"/>
            </w:tcBorders>
          </w:tcPr>
          <w:p>
            <w:pPr>
              <w:spacing w:after="0"/>
              <w:rPr>
                <w:sz w:val="15"/>
                <w:szCs w:val="15"/>
                <w:color w:val="auto"/>
              </w:rPr>
            </w:pPr>
          </w:p>
        </w:tc>
        <w:tc>
          <w:tcPr>
            <w:tcW w:w="460" w:type="dxa"/>
            <w:vAlign w:val="bottom"/>
            <w:tcBorders>
              <w:top w:val="single" w:sz="8" w:color="0000EE"/>
            </w:tcBorders>
          </w:tcPr>
          <w:p>
            <w:pPr>
              <w:spacing w:after="0"/>
              <w:rPr>
                <w:sz w:val="15"/>
                <w:szCs w:val="15"/>
                <w:color w:val="auto"/>
              </w:rPr>
            </w:pPr>
          </w:p>
        </w:tc>
        <w:tc>
          <w:tcPr>
            <w:tcW w:w="36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2560" w:type="dxa"/>
            <w:vAlign w:val="bottom"/>
            <w:tcBorders>
              <w:top w:val="single" w:sz="8" w:color="0000EE"/>
            </w:tcBorders>
            <w:gridSpan w:val="15"/>
          </w:tcPr>
          <w:p>
            <w:pPr>
              <w:spacing w:after="0" w:line="182" w:lineRule="exact"/>
              <w:rPr>
                <w:sz w:val="20"/>
                <w:szCs w:val="20"/>
                <w:color w:val="auto"/>
              </w:rPr>
            </w:pPr>
            <w:r>
              <w:rPr>
                <w:rFonts w:ascii="Arial" w:cs="Arial" w:eastAsia="Arial" w:hAnsi="Arial"/>
                <w:sz w:val="18"/>
                <w:szCs w:val="18"/>
                <w:b w:val="1"/>
                <w:bCs w:val="1"/>
                <w:color w:val="0000EE"/>
              </w:rPr>
              <w:t>REQUESTING A REPORT ON</w:t>
            </w:r>
          </w:p>
        </w:tc>
        <w:tc>
          <w:tcPr>
            <w:tcW w:w="1320" w:type="dxa"/>
            <w:vAlign w:val="bottom"/>
            <w:gridSpan w:val="15"/>
          </w:tcPr>
          <w:p>
            <w:pPr>
              <w:spacing w:after="0" w:line="182" w:lineRule="exact"/>
              <w:rPr>
                <w:sz w:val="20"/>
                <w:szCs w:val="20"/>
                <w:color w:val="auto"/>
              </w:rPr>
            </w:pPr>
            <w:r>
              <w:rPr>
                <w:rFonts w:ascii="Arial" w:cs="Arial" w:eastAsia="Arial" w:hAnsi="Arial"/>
                <w:sz w:val="18"/>
                <w:szCs w:val="18"/>
                <w:b w:val="1"/>
                <w:bCs w:val="1"/>
                <w:color w:val="0000EE"/>
              </w:rPr>
              <w:t>THE</w:t>
            </w:r>
          </w:p>
        </w:tc>
        <w:tc>
          <w:tcPr>
            <w:tcW w:w="480" w:type="dxa"/>
            <w:vAlign w:val="bottom"/>
            <w:vMerge w:val="restart"/>
          </w:tcPr>
          <w:p>
            <w:pPr>
              <w:jc w:val="right"/>
              <w:spacing w:after="0"/>
              <w:rPr>
                <w:sz w:val="20"/>
                <w:szCs w:val="20"/>
                <w:color w:val="auto"/>
              </w:rPr>
            </w:pPr>
            <w:r>
              <w:rPr>
                <w:rFonts w:ascii="Arial" w:cs="Arial" w:eastAsia="Arial" w:hAnsi="Arial"/>
                <w:sz w:val="18"/>
                <w:szCs w:val="18"/>
                <w:i w:val="1"/>
                <w:iCs w:val="1"/>
                <w:color w:val="3E3935"/>
              </w:rPr>
              <w:t>98</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20" w:type="dxa"/>
            <w:vAlign w:val="bottom"/>
            <w:gridSpan w:val="7"/>
            <w:shd w:val="clear" w:color="auto" w:fill="0000EE"/>
          </w:tcPr>
          <w:p>
            <w:pPr>
              <w:spacing w:after="0" w:line="20" w:lineRule="exact"/>
              <w:rPr>
                <w:sz w:val="1"/>
                <w:szCs w:val="1"/>
                <w:color w:val="auto"/>
              </w:rPr>
            </w:pPr>
          </w:p>
        </w:tc>
        <w:tc>
          <w:tcPr>
            <w:tcW w:w="480" w:type="dxa"/>
            <w:vAlign w:val="bottom"/>
            <w:gridSpan w:val="5"/>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540" w:type="dxa"/>
            <w:vAlign w:val="bottom"/>
            <w:gridSpan w:val="3"/>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8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880" w:type="dxa"/>
            <w:vAlign w:val="bottom"/>
            <w:gridSpan w:val="30"/>
          </w:tcPr>
          <w:p>
            <w:pPr>
              <w:spacing w:after="0" w:line="182" w:lineRule="exact"/>
              <w:rPr>
                <w:sz w:val="20"/>
                <w:szCs w:val="20"/>
                <w:color w:val="auto"/>
              </w:rPr>
            </w:pPr>
            <w:r>
              <w:rPr>
                <w:rFonts w:ascii="Arial" w:cs="Arial" w:eastAsia="Arial" w:hAnsi="Arial"/>
                <w:sz w:val="18"/>
                <w:szCs w:val="18"/>
                <w:b w:val="1"/>
                <w:bCs w:val="1"/>
                <w:color w:val="0000EE"/>
              </w:rPr>
              <w:t>COMPANY’S OPERATIONS IN CHINA</w:t>
            </w:r>
          </w:p>
        </w:tc>
        <w:tc>
          <w:tcPr>
            <w:tcW w:w="4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80" w:type="dxa"/>
            <w:vAlign w:val="bottom"/>
            <w:tcBorders>
              <w:bottom w:val="single" w:sz="8" w:color="3E3935"/>
            </w:tcBorders>
          </w:tcPr>
          <w:p>
            <w:pPr>
              <w:spacing w:after="0" w:line="20" w:lineRule="exact"/>
              <w:rPr>
                <w:sz w:val="1"/>
                <w:szCs w:val="1"/>
                <w:color w:val="auto"/>
              </w:rPr>
            </w:pPr>
          </w:p>
        </w:tc>
        <w:tc>
          <w:tcPr>
            <w:tcW w:w="460" w:type="dxa"/>
            <w:vAlign w:val="bottom"/>
            <w:tcBorders>
              <w:bottom w:val="single" w:sz="8" w:color="3E3935"/>
            </w:tcBorders>
          </w:tcPr>
          <w:p>
            <w:pPr>
              <w:spacing w:after="0" w:line="20" w:lineRule="exact"/>
              <w:rPr>
                <w:sz w:val="1"/>
                <w:szCs w:val="1"/>
                <w:color w:val="auto"/>
              </w:rPr>
            </w:pPr>
          </w:p>
        </w:tc>
        <w:tc>
          <w:tcPr>
            <w:tcW w:w="360" w:type="dxa"/>
            <w:vAlign w:val="bottom"/>
            <w:tcBorders>
              <w:bottom w:val="single" w:sz="8" w:color="3E3935"/>
            </w:tcBorders>
          </w:tcPr>
          <w:p>
            <w:pPr>
              <w:spacing w:after="0" w:line="20" w:lineRule="exact"/>
              <w:rPr>
                <w:sz w:val="1"/>
                <w:szCs w:val="1"/>
                <w:color w:val="auto"/>
              </w:rPr>
            </w:pPr>
          </w:p>
        </w:tc>
        <w:tc>
          <w:tcPr>
            <w:tcW w:w="40" w:type="dxa"/>
            <w:vAlign w:val="bottom"/>
            <w:tcBorders>
              <w:bottom w:val="single" w:sz="8" w:color="3E3935"/>
            </w:tcBorders>
          </w:tcPr>
          <w:p>
            <w:pPr>
              <w:spacing w:after="0" w:line="20" w:lineRule="exact"/>
              <w:rPr>
                <w:sz w:val="1"/>
                <w:szCs w:val="1"/>
                <w:color w:val="auto"/>
              </w:rPr>
            </w:pPr>
          </w:p>
        </w:tc>
        <w:tc>
          <w:tcPr>
            <w:tcW w:w="180" w:type="dxa"/>
            <w:vAlign w:val="bottom"/>
            <w:tcBorders>
              <w:top w:val="single" w:sz="8" w:color="0000EE"/>
              <w:bottom w:val="single" w:sz="8" w:color="3E3935"/>
            </w:tcBorders>
          </w:tcPr>
          <w:p>
            <w:pPr>
              <w:spacing w:after="0" w:line="20" w:lineRule="exact"/>
              <w:rPr>
                <w:sz w:val="1"/>
                <w:szCs w:val="1"/>
                <w:color w:val="auto"/>
              </w:rPr>
            </w:pPr>
          </w:p>
        </w:tc>
        <w:tc>
          <w:tcPr>
            <w:tcW w:w="120" w:type="dxa"/>
            <w:vAlign w:val="bottom"/>
            <w:tcBorders>
              <w:top w:val="single" w:sz="8" w:color="0000EE"/>
              <w:bottom w:val="single" w:sz="8" w:color="3E3935"/>
            </w:tcBorders>
          </w:tcPr>
          <w:p>
            <w:pPr>
              <w:spacing w:after="0" w:line="20" w:lineRule="exact"/>
              <w:rPr>
                <w:sz w:val="1"/>
                <w:szCs w:val="1"/>
                <w:color w:val="auto"/>
              </w:rPr>
            </w:pPr>
          </w:p>
        </w:tc>
        <w:tc>
          <w:tcPr>
            <w:tcW w:w="640" w:type="dxa"/>
            <w:vAlign w:val="bottom"/>
            <w:tcBorders>
              <w:top w:val="single" w:sz="8" w:color="0000EE"/>
              <w:bottom w:val="single" w:sz="8" w:color="3E3935"/>
            </w:tcBorders>
          </w:tcPr>
          <w:p>
            <w:pPr>
              <w:spacing w:after="0" w:line="20" w:lineRule="exact"/>
              <w:rPr>
                <w:sz w:val="1"/>
                <w:szCs w:val="1"/>
                <w:color w:val="auto"/>
              </w:rPr>
            </w:pPr>
          </w:p>
        </w:tc>
        <w:tc>
          <w:tcPr>
            <w:tcW w:w="380" w:type="dxa"/>
            <w:vAlign w:val="bottom"/>
            <w:tcBorders>
              <w:top w:val="single" w:sz="8" w:color="0000EE"/>
              <w:bottom w:val="single" w:sz="8" w:color="3E3935"/>
            </w:tcBorders>
          </w:tcPr>
          <w:p>
            <w:pPr>
              <w:spacing w:after="0" w:line="20" w:lineRule="exact"/>
              <w:rPr>
                <w:sz w:val="1"/>
                <w:szCs w:val="1"/>
                <w:color w:val="auto"/>
              </w:rPr>
            </w:pPr>
          </w:p>
        </w:tc>
        <w:tc>
          <w:tcPr>
            <w:tcW w:w="100" w:type="dxa"/>
            <w:vAlign w:val="bottom"/>
            <w:tcBorders>
              <w:top w:val="single" w:sz="8" w:color="0000EE"/>
              <w:bottom w:val="single" w:sz="8" w:color="3E3935"/>
            </w:tcBorders>
          </w:tcPr>
          <w:p>
            <w:pPr>
              <w:spacing w:after="0" w:line="20" w:lineRule="exact"/>
              <w:rPr>
                <w:sz w:val="1"/>
                <w:szCs w:val="1"/>
                <w:color w:val="auto"/>
              </w:rPr>
            </w:pPr>
          </w:p>
        </w:tc>
        <w:tc>
          <w:tcPr>
            <w:tcW w:w="340" w:type="dxa"/>
            <w:vAlign w:val="bottom"/>
            <w:tcBorders>
              <w:top w:val="single" w:sz="8" w:color="0000EE"/>
              <w:bottom w:val="single" w:sz="8" w:color="3E3935"/>
            </w:tcBorders>
          </w:tcPr>
          <w:p>
            <w:pPr>
              <w:spacing w:after="0" w:line="20" w:lineRule="exact"/>
              <w:rPr>
                <w:sz w:val="1"/>
                <w:szCs w:val="1"/>
                <w:color w:val="auto"/>
              </w:rPr>
            </w:pPr>
          </w:p>
        </w:tc>
        <w:tc>
          <w:tcPr>
            <w:tcW w:w="60" w:type="dxa"/>
            <w:vAlign w:val="bottom"/>
            <w:tcBorders>
              <w:top w:val="single" w:sz="8" w:color="0000EE"/>
              <w:bottom w:val="single" w:sz="8" w:color="3E3935"/>
            </w:tcBorders>
          </w:tcPr>
          <w:p>
            <w:pPr>
              <w:spacing w:after="0" w:line="20" w:lineRule="exact"/>
              <w:rPr>
                <w:sz w:val="1"/>
                <w:szCs w:val="1"/>
                <w:color w:val="auto"/>
              </w:rPr>
            </w:pPr>
          </w:p>
        </w:tc>
        <w:tc>
          <w:tcPr>
            <w:tcW w:w="140" w:type="dxa"/>
            <w:vAlign w:val="bottom"/>
            <w:tcBorders>
              <w:top w:val="single" w:sz="8" w:color="0000EE"/>
              <w:bottom w:val="single" w:sz="8" w:color="3E3935"/>
            </w:tcBorders>
          </w:tcPr>
          <w:p>
            <w:pPr>
              <w:spacing w:after="0" w:line="20" w:lineRule="exact"/>
              <w:rPr>
                <w:sz w:val="1"/>
                <w:szCs w:val="1"/>
                <w:color w:val="auto"/>
              </w:rPr>
            </w:pPr>
          </w:p>
        </w:tc>
        <w:tc>
          <w:tcPr>
            <w:tcW w:w="60" w:type="dxa"/>
            <w:vAlign w:val="bottom"/>
            <w:tcBorders>
              <w:top w:val="single" w:sz="8" w:color="0000EE"/>
              <w:bottom w:val="single" w:sz="8" w:color="3E3935"/>
            </w:tcBorders>
          </w:tcPr>
          <w:p>
            <w:pPr>
              <w:spacing w:after="0" w:line="20" w:lineRule="exact"/>
              <w:rPr>
                <w:sz w:val="1"/>
                <w:szCs w:val="1"/>
                <w:color w:val="auto"/>
              </w:rPr>
            </w:pPr>
          </w:p>
        </w:tc>
        <w:tc>
          <w:tcPr>
            <w:tcW w:w="180" w:type="dxa"/>
            <w:vAlign w:val="bottom"/>
            <w:tcBorders>
              <w:top w:val="single" w:sz="8" w:color="0000EE"/>
              <w:bottom w:val="single" w:sz="8" w:color="3E3935"/>
            </w:tcBorders>
          </w:tcPr>
          <w:p>
            <w:pPr>
              <w:spacing w:after="0" w:line="20" w:lineRule="exact"/>
              <w:rPr>
                <w:sz w:val="1"/>
                <w:szCs w:val="1"/>
                <w:color w:val="auto"/>
              </w:rPr>
            </w:pPr>
          </w:p>
        </w:tc>
        <w:tc>
          <w:tcPr>
            <w:tcW w:w="40" w:type="dxa"/>
            <w:vAlign w:val="bottom"/>
            <w:tcBorders>
              <w:top w:val="single" w:sz="8" w:color="0000EE"/>
              <w:bottom w:val="single" w:sz="8" w:color="3E3935"/>
            </w:tcBorders>
          </w:tcPr>
          <w:p>
            <w:pPr>
              <w:spacing w:after="0" w:line="20" w:lineRule="exact"/>
              <w:rPr>
                <w:sz w:val="1"/>
                <w:szCs w:val="1"/>
                <w:color w:val="auto"/>
              </w:rPr>
            </w:pPr>
          </w:p>
        </w:tc>
        <w:tc>
          <w:tcPr>
            <w:tcW w:w="60" w:type="dxa"/>
            <w:vAlign w:val="bottom"/>
            <w:tcBorders>
              <w:top w:val="single" w:sz="8" w:color="0000EE"/>
              <w:bottom w:val="single" w:sz="8" w:color="3E3935"/>
            </w:tcBorders>
          </w:tcPr>
          <w:p>
            <w:pPr>
              <w:spacing w:after="0" w:line="20" w:lineRule="exact"/>
              <w:rPr>
                <w:sz w:val="1"/>
                <w:szCs w:val="1"/>
                <w:color w:val="auto"/>
              </w:rPr>
            </w:pPr>
          </w:p>
        </w:tc>
        <w:tc>
          <w:tcPr>
            <w:tcW w:w="20" w:type="dxa"/>
            <w:vAlign w:val="bottom"/>
            <w:tcBorders>
              <w:top w:val="single" w:sz="8" w:color="0000EE"/>
              <w:bottom w:val="single" w:sz="8" w:color="3E3935"/>
            </w:tcBorders>
          </w:tcPr>
          <w:p>
            <w:pPr>
              <w:spacing w:after="0" w:line="20" w:lineRule="exact"/>
              <w:rPr>
                <w:sz w:val="1"/>
                <w:szCs w:val="1"/>
                <w:color w:val="auto"/>
              </w:rPr>
            </w:pPr>
          </w:p>
        </w:tc>
        <w:tc>
          <w:tcPr>
            <w:tcW w:w="40" w:type="dxa"/>
            <w:vAlign w:val="bottom"/>
            <w:tcBorders>
              <w:top w:val="single" w:sz="8" w:color="0000EE"/>
              <w:bottom w:val="single" w:sz="8" w:color="3E3935"/>
            </w:tcBorders>
          </w:tcPr>
          <w:p>
            <w:pPr>
              <w:spacing w:after="0" w:line="20" w:lineRule="exact"/>
              <w:rPr>
                <w:sz w:val="1"/>
                <w:szCs w:val="1"/>
                <w:color w:val="auto"/>
              </w:rPr>
            </w:pPr>
          </w:p>
        </w:tc>
        <w:tc>
          <w:tcPr>
            <w:tcW w:w="200" w:type="dxa"/>
            <w:vAlign w:val="bottom"/>
            <w:tcBorders>
              <w:top w:val="single" w:sz="8" w:color="0000EE"/>
              <w:bottom w:val="single" w:sz="8" w:color="3E3935"/>
            </w:tcBorders>
          </w:tcPr>
          <w:p>
            <w:pPr>
              <w:spacing w:after="0" w:line="20" w:lineRule="exact"/>
              <w:rPr>
                <w:sz w:val="1"/>
                <w:szCs w:val="1"/>
                <w:color w:val="auto"/>
              </w:rPr>
            </w:pPr>
          </w:p>
        </w:tc>
        <w:tc>
          <w:tcPr>
            <w:tcW w:w="80" w:type="dxa"/>
            <w:vAlign w:val="bottom"/>
            <w:tcBorders>
              <w:top w:val="single" w:sz="8" w:color="0000EE"/>
              <w:bottom w:val="single" w:sz="8" w:color="3E3935"/>
            </w:tcBorders>
          </w:tcPr>
          <w:p>
            <w:pPr>
              <w:spacing w:after="0" w:line="20" w:lineRule="exact"/>
              <w:rPr>
                <w:sz w:val="1"/>
                <w:szCs w:val="1"/>
                <w:color w:val="auto"/>
              </w:rPr>
            </w:pPr>
          </w:p>
        </w:tc>
        <w:tc>
          <w:tcPr>
            <w:tcW w:w="260" w:type="dxa"/>
            <w:vAlign w:val="bottom"/>
            <w:tcBorders>
              <w:top w:val="single" w:sz="8" w:color="0000EE"/>
              <w:bottom w:val="single" w:sz="8" w:color="3E3935"/>
            </w:tcBorders>
          </w:tcPr>
          <w:p>
            <w:pPr>
              <w:spacing w:after="0" w:line="20" w:lineRule="exact"/>
              <w:rPr>
                <w:sz w:val="1"/>
                <w:szCs w:val="1"/>
                <w:color w:val="auto"/>
              </w:rPr>
            </w:pPr>
          </w:p>
        </w:tc>
        <w:tc>
          <w:tcPr>
            <w:tcW w:w="80" w:type="dxa"/>
            <w:vAlign w:val="bottom"/>
            <w:tcBorders>
              <w:top w:val="single" w:sz="8" w:color="0000EE"/>
              <w:bottom w:val="single" w:sz="8" w:color="3E3935"/>
            </w:tcBorders>
          </w:tcPr>
          <w:p>
            <w:pPr>
              <w:spacing w:after="0" w:line="20" w:lineRule="exact"/>
              <w:rPr>
                <w:sz w:val="1"/>
                <w:szCs w:val="1"/>
                <w:color w:val="auto"/>
              </w:rPr>
            </w:pPr>
          </w:p>
        </w:tc>
        <w:tc>
          <w:tcPr>
            <w:tcW w:w="160" w:type="dxa"/>
            <w:vAlign w:val="bottom"/>
            <w:tcBorders>
              <w:top w:val="single" w:sz="8" w:color="0000EE"/>
              <w:bottom w:val="single" w:sz="8" w:color="3E3935"/>
            </w:tcBorders>
          </w:tcPr>
          <w:p>
            <w:pPr>
              <w:spacing w:after="0" w:line="20" w:lineRule="exact"/>
              <w:rPr>
                <w:sz w:val="1"/>
                <w:szCs w:val="1"/>
                <w:color w:val="auto"/>
              </w:rPr>
            </w:pPr>
          </w:p>
        </w:tc>
        <w:tc>
          <w:tcPr>
            <w:tcW w:w="20" w:type="dxa"/>
            <w:vAlign w:val="bottom"/>
            <w:tcBorders>
              <w:top w:val="single" w:sz="8" w:color="0000EE"/>
              <w:bottom w:val="single" w:sz="8" w:color="3E3935"/>
            </w:tcBorders>
          </w:tcPr>
          <w:p>
            <w:pPr>
              <w:spacing w:after="0" w:line="20" w:lineRule="exact"/>
              <w:rPr>
                <w:sz w:val="1"/>
                <w:szCs w:val="1"/>
                <w:color w:val="auto"/>
              </w:rPr>
            </w:pPr>
          </w:p>
        </w:tc>
        <w:tc>
          <w:tcPr>
            <w:tcW w:w="40" w:type="dxa"/>
            <w:vAlign w:val="bottom"/>
            <w:tcBorders>
              <w:bottom w:val="single" w:sz="8" w:color="3E3935"/>
            </w:tcBorders>
          </w:tcPr>
          <w:p>
            <w:pPr>
              <w:spacing w:after="0" w:line="20" w:lineRule="exact"/>
              <w:rPr>
                <w:sz w:val="1"/>
                <w:szCs w:val="1"/>
                <w:color w:val="auto"/>
              </w:rPr>
            </w:pPr>
          </w:p>
        </w:tc>
        <w:tc>
          <w:tcPr>
            <w:tcW w:w="140" w:type="dxa"/>
            <w:vAlign w:val="bottom"/>
            <w:tcBorders>
              <w:bottom w:val="single" w:sz="8" w:color="3E3935"/>
            </w:tcBorders>
          </w:tcPr>
          <w:p>
            <w:pPr>
              <w:spacing w:after="0" w:line="20" w:lineRule="exact"/>
              <w:rPr>
                <w:sz w:val="1"/>
                <w:szCs w:val="1"/>
                <w:color w:val="auto"/>
              </w:rPr>
            </w:pPr>
          </w:p>
        </w:tc>
        <w:tc>
          <w:tcPr>
            <w:tcW w:w="40" w:type="dxa"/>
            <w:vAlign w:val="bottom"/>
            <w:tcBorders>
              <w:bottom w:val="single" w:sz="8" w:color="3E3935"/>
            </w:tcBorders>
          </w:tcPr>
          <w:p>
            <w:pPr>
              <w:spacing w:after="0" w:line="20" w:lineRule="exact"/>
              <w:rPr>
                <w:sz w:val="1"/>
                <w:szCs w:val="1"/>
                <w:color w:val="auto"/>
              </w:rPr>
            </w:pPr>
          </w:p>
        </w:tc>
        <w:tc>
          <w:tcPr>
            <w:tcW w:w="20" w:type="dxa"/>
            <w:vAlign w:val="bottom"/>
            <w:tcBorders>
              <w:bottom w:val="single" w:sz="8" w:color="3E3935"/>
            </w:tcBorders>
          </w:tcPr>
          <w:p>
            <w:pPr>
              <w:spacing w:after="0" w:line="20" w:lineRule="exact"/>
              <w:rPr>
                <w:sz w:val="1"/>
                <w:szCs w:val="1"/>
                <w:color w:val="auto"/>
              </w:rPr>
            </w:pPr>
          </w:p>
        </w:tc>
        <w:tc>
          <w:tcPr>
            <w:tcW w:w="40" w:type="dxa"/>
            <w:vAlign w:val="bottom"/>
            <w:tcBorders>
              <w:bottom w:val="single" w:sz="8" w:color="3E3935"/>
            </w:tcBorders>
          </w:tcPr>
          <w:p>
            <w:pPr>
              <w:spacing w:after="0" w:line="20" w:lineRule="exact"/>
              <w:rPr>
                <w:sz w:val="1"/>
                <w:szCs w:val="1"/>
                <w:color w:val="auto"/>
              </w:rPr>
            </w:pPr>
          </w:p>
        </w:tc>
        <w:tc>
          <w:tcPr>
            <w:tcW w:w="20" w:type="dxa"/>
            <w:vAlign w:val="bottom"/>
            <w:tcBorders>
              <w:bottom w:val="single" w:sz="8" w:color="3E3935"/>
            </w:tcBorders>
          </w:tcPr>
          <w:p>
            <w:pPr>
              <w:spacing w:after="0" w:line="20" w:lineRule="exact"/>
              <w:rPr>
                <w:sz w:val="1"/>
                <w:szCs w:val="1"/>
                <w:color w:val="auto"/>
              </w:rPr>
            </w:pPr>
          </w:p>
        </w:tc>
        <w:tc>
          <w:tcPr>
            <w:tcW w:w="100" w:type="dxa"/>
            <w:vAlign w:val="bottom"/>
            <w:tcBorders>
              <w:bottom w:val="single" w:sz="8" w:color="3E3935"/>
            </w:tcBorders>
          </w:tcPr>
          <w:p>
            <w:pPr>
              <w:spacing w:after="0" w:line="20" w:lineRule="exact"/>
              <w:rPr>
                <w:sz w:val="1"/>
                <w:szCs w:val="1"/>
                <w:color w:val="auto"/>
              </w:rPr>
            </w:pPr>
          </w:p>
        </w:tc>
        <w:tc>
          <w:tcPr>
            <w:tcW w:w="140" w:type="dxa"/>
            <w:vAlign w:val="bottom"/>
            <w:tcBorders>
              <w:bottom w:val="single" w:sz="8" w:color="3E3935"/>
            </w:tcBorders>
          </w:tcPr>
          <w:p>
            <w:pPr>
              <w:spacing w:after="0" w:line="20" w:lineRule="exact"/>
              <w:rPr>
                <w:sz w:val="1"/>
                <w:szCs w:val="1"/>
                <w:color w:val="auto"/>
              </w:rPr>
            </w:pPr>
          </w:p>
        </w:tc>
        <w:tc>
          <w:tcPr>
            <w:tcW w:w="40" w:type="dxa"/>
            <w:vAlign w:val="bottom"/>
            <w:tcBorders>
              <w:bottom w:val="single" w:sz="8" w:color="3E3935"/>
            </w:tcBorders>
          </w:tcPr>
          <w:p>
            <w:pPr>
              <w:spacing w:after="0" w:line="20" w:lineRule="exact"/>
              <w:rPr>
                <w:sz w:val="1"/>
                <w:szCs w:val="1"/>
                <w:color w:val="auto"/>
              </w:rPr>
            </w:pPr>
          </w:p>
        </w:tc>
        <w:tc>
          <w:tcPr>
            <w:tcW w:w="140" w:type="dxa"/>
            <w:vAlign w:val="bottom"/>
            <w:tcBorders>
              <w:bottom w:val="single" w:sz="8" w:color="3E3935"/>
            </w:tcBorders>
          </w:tcPr>
          <w:p>
            <w:pPr>
              <w:spacing w:after="0" w:line="20" w:lineRule="exact"/>
              <w:rPr>
                <w:sz w:val="1"/>
                <w:szCs w:val="1"/>
                <w:color w:val="auto"/>
              </w:rPr>
            </w:pPr>
          </w:p>
        </w:tc>
        <w:tc>
          <w:tcPr>
            <w:tcW w:w="480" w:type="dxa"/>
            <w:vAlign w:val="bottom"/>
            <w:tcBorders>
              <w:bottom w:val="single" w:sz="8" w:color="3E3935"/>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920" w:type="dxa"/>
            <w:vAlign w:val="bottom"/>
            <w:gridSpan w:val="34"/>
          </w:tcPr>
          <w:p>
            <w:pPr>
              <w:spacing w:after="0"/>
              <w:rPr>
                <w:sz w:val="20"/>
                <w:szCs w:val="20"/>
                <w:color w:val="auto"/>
              </w:rPr>
            </w:pPr>
            <w:r>
              <w:rPr>
                <w:rFonts w:ascii="Arial" w:cs="Arial" w:eastAsia="Arial" w:hAnsi="Arial"/>
                <w:sz w:val="18"/>
                <w:szCs w:val="18"/>
                <w:b w:val="1"/>
                <w:bCs w:val="1"/>
                <w:color w:val="0000EE"/>
              </w:rPr>
              <w:t>ITEM NO. 6 – SHAREHOLDER PROPOSAL REGARDING</w:t>
            </w:r>
          </w:p>
        </w:tc>
        <w:tc>
          <w:tcPr>
            <w:tcW w:w="480" w:type="dxa"/>
            <w:vAlign w:val="bottom"/>
            <w:vMerge w:val="restart"/>
          </w:tcPr>
          <w:p>
            <w:pPr>
              <w:jc w:val="right"/>
              <w:spacing w:after="0"/>
              <w:rPr>
                <w:sz w:val="20"/>
                <w:szCs w:val="20"/>
                <w:color w:val="auto"/>
              </w:rPr>
            </w:pPr>
            <w:r>
              <w:rPr>
                <w:rFonts w:ascii="Arial" w:cs="Arial" w:eastAsia="Arial" w:hAnsi="Arial"/>
                <w:sz w:val="18"/>
                <w:szCs w:val="18"/>
                <w:i w:val="1"/>
                <w:iCs w:val="1"/>
                <w:color w:val="3E3935"/>
              </w:rPr>
              <w:t>100</w:t>
            </w:r>
          </w:p>
        </w:tc>
        <w:tc>
          <w:tcPr>
            <w:tcW w:w="0" w:type="dxa"/>
            <w:vAlign w:val="bottom"/>
          </w:tcPr>
          <w:p>
            <w:pPr>
              <w:spacing w:after="0"/>
              <w:rPr>
                <w:sz w:val="1"/>
                <w:szCs w:val="1"/>
                <w:color w:val="auto"/>
              </w:rPr>
            </w:pPr>
          </w:p>
        </w:tc>
      </w:tr>
      <w:tr>
        <w:trPr>
          <w:trHeight w:val="183"/>
        </w:trPr>
        <w:tc>
          <w:tcPr>
            <w:tcW w:w="180" w:type="dxa"/>
            <w:vAlign w:val="bottom"/>
            <w:tcBorders>
              <w:top w:val="single" w:sz="8" w:color="0000EE"/>
            </w:tcBorders>
          </w:tcPr>
          <w:p>
            <w:pPr>
              <w:spacing w:after="0"/>
              <w:rPr>
                <w:sz w:val="15"/>
                <w:szCs w:val="15"/>
                <w:color w:val="auto"/>
              </w:rPr>
            </w:pPr>
          </w:p>
        </w:tc>
        <w:tc>
          <w:tcPr>
            <w:tcW w:w="460" w:type="dxa"/>
            <w:vAlign w:val="bottom"/>
            <w:tcBorders>
              <w:top w:val="single" w:sz="8" w:color="0000EE"/>
            </w:tcBorders>
          </w:tcPr>
          <w:p>
            <w:pPr>
              <w:spacing w:after="0"/>
              <w:rPr>
                <w:sz w:val="15"/>
                <w:szCs w:val="15"/>
                <w:color w:val="auto"/>
              </w:rPr>
            </w:pPr>
          </w:p>
        </w:tc>
        <w:tc>
          <w:tcPr>
            <w:tcW w:w="36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3700" w:type="dxa"/>
            <w:vAlign w:val="bottom"/>
            <w:tcBorders>
              <w:top w:val="single" w:sz="8" w:color="0000EE"/>
            </w:tcBorders>
            <w:gridSpan w:val="28"/>
          </w:tcPr>
          <w:p>
            <w:pPr>
              <w:spacing w:after="0" w:line="182" w:lineRule="exact"/>
              <w:rPr>
                <w:sz w:val="20"/>
                <w:szCs w:val="20"/>
                <w:color w:val="auto"/>
              </w:rPr>
            </w:pPr>
            <w:r>
              <w:rPr>
                <w:rFonts w:ascii="Arial" w:cs="Arial" w:eastAsia="Arial" w:hAnsi="Arial"/>
                <w:sz w:val="18"/>
                <w:szCs w:val="18"/>
                <w:b w:val="1"/>
                <w:bCs w:val="1"/>
                <w:color w:val="0000EE"/>
              </w:rPr>
              <w:t>SHAREHOLDER WRITTEN CONSENT</w:t>
            </w:r>
          </w:p>
        </w:tc>
        <w:tc>
          <w:tcPr>
            <w:tcW w:w="180" w:type="dxa"/>
            <w:vAlign w:val="bottom"/>
            <w:gridSpan w:val="2"/>
          </w:tcPr>
          <w:p>
            <w:pPr>
              <w:spacing w:after="0"/>
              <w:rPr>
                <w:sz w:val="15"/>
                <w:szCs w:val="15"/>
                <w:color w:val="auto"/>
              </w:rPr>
            </w:pPr>
          </w:p>
        </w:tc>
        <w:tc>
          <w:tcPr>
            <w:tcW w:w="4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80" w:type="dxa"/>
            <w:vAlign w:val="bottom"/>
            <w:tcBorders>
              <w:bottom w:val="single" w:sz="8" w:color="3E3935"/>
            </w:tcBorders>
          </w:tcPr>
          <w:p>
            <w:pPr>
              <w:spacing w:after="0" w:line="20" w:lineRule="exact"/>
              <w:rPr>
                <w:sz w:val="1"/>
                <w:szCs w:val="1"/>
                <w:color w:val="auto"/>
              </w:rPr>
            </w:pPr>
          </w:p>
        </w:tc>
        <w:tc>
          <w:tcPr>
            <w:tcW w:w="460" w:type="dxa"/>
            <w:vAlign w:val="bottom"/>
            <w:tcBorders>
              <w:bottom w:val="single" w:sz="8" w:color="3E3935"/>
            </w:tcBorders>
          </w:tcPr>
          <w:p>
            <w:pPr>
              <w:spacing w:after="0" w:line="20" w:lineRule="exact"/>
              <w:rPr>
                <w:sz w:val="1"/>
                <w:szCs w:val="1"/>
                <w:color w:val="auto"/>
              </w:rPr>
            </w:pPr>
          </w:p>
        </w:tc>
        <w:tc>
          <w:tcPr>
            <w:tcW w:w="360" w:type="dxa"/>
            <w:vAlign w:val="bottom"/>
            <w:tcBorders>
              <w:bottom w:val="single" w:sz="8" w:color="3E3935"/>
            </w:tcBorders>
          </w:tcPr>
          <w:p>
            <w:pPr>
              <w:spacing w:after="0" w:line="20" w:lineRule="exact"/>
              <w:rPr>
                <w:sz w:val="1"/>
                <w:szCs w:val="1"/>
                <w:color w:val="auto"/>
              </w:rPr>
            </w:pPr>
          </w:p>
        </w:tc>
        <w:tc>
          <w:tcPr>
            <w:tcW w:w="40" w:type="dxa"/>
            <w:vAlign w:val="bottom"/>
            <w:tcBorders>
              <w:bottom w:val="single" w:sz="8" w:color="3E3935"/>
            </w:tcBorders>
          </w:tcPr>
          <w:p>
            <w:pPr>
              <w:spacing w:after="0" w:line="20" w:lineRule="exact"/>
              <w:rPr>
                <w:sz w:val="1"/>
                <w:szCs w:val="1"/>
                <w:color w:val="auto"/>
              </w:rPr>
            </w:pPr>
          </w:p>
        </w:tc>
        <w:tc>
          <w:tcPr>
            <w:tcW w:w="180" w:type="dxa"/>
            <w:vAlign w:val="bottom"/>
            <w:tcBorders>
              <w:top w:val="single" w:sz="8" w:color="0000EE"/>
              <w:bottom w:val="single" w:sz="8" w:color="3E3935"/>
            </w:tcBorders>
          </w:tcPr>
          <w:p>
            <w:pPr>
              <w:spacing w:after="0" w:line="20" w:lineRule="exact"/>
              <w:rPr>
                <w:sz w:val="1"/>
                <w:szCs w:val="1"/>
                <w:color w:val="auto"/>
              </w:rPr>
            </w:pPr>
          </w:p>
        </w:tc>
        <w:tc>
          <w:tcPr>
            <w:tcW w:w="120" w:type="dxa"/>
            <w:vAlign w:val="bottom"/>
            <w:tcBorders>
              <w:top w:val="single" w:sz="8" w:color="0000EE"/>
              <w:bottom w:val="single" w:sz="8" w:color="3E3935"/>
            </w:tcBorders>
          </w:tcPr>
          <w:p>
            <w:pPr>
              <w:spacing w:after="0" w:line="20" w:lineRule="exact"/>
              <w:rPr>
                <w:sz w:val="1"/>
                <w:szCs w:val="1"/>
                <w:color w:val="auto"/>
              </w:rPr>
            </w:pPr>
          </w:p>
        </w:tc>
        <w:tc>
          <w:tcPr>
            <w:tcW w:w="640" w:type="dxa"/>
            <w:vAlign w:val="bottom"/>
            <w:tcBorders>
              <w:top w:val="single" w:sz="8" w:color="0000EE"/>
              <w:bottom w:val="single" w:sz="8" w:color="3E3935"/>
            </w:tcBorders>
          </w:tcPr>
          <w:p>
            <w:pPr>
              <w:spacing w:after="0" w:line="20" w:lineRule="exact"/>
              <w:rPr>
                <w:sz w:val="1"/>
                <w:szCs w:val="1"/>
                <w:color w:val="auto"/>
              </w:rPr>
            </w:pPr>
          </w:p>
        </w:tc>
        <w:tc>
          <w:tcPr>
            <w:tcW w:w="380" w:type="dxa"/>
            <w:vAlign w:val="bottom"/>
            <w:tcBorders>
              <w:top w:val="single" w:sz="8" w:color="0000EE"/>
              <w:bottom w:val="single" w:sz="8" w:color="3E3935"/>
            </w:tcBorders>
          </w:tcPr>
          <w:p>
            <w:pPr>
              <w:spacing w:after="0" w:line="20" w:lineRule="exact"/>
              <w:rPr>
                <w:sz w:val="1"/>
                <w:szCs w:val="1"/>
                <w:color w:val="auto"/>
              </w:rPr>
            </w:pPr>
          </w:p>
        </w:tc>
        <w:tc>
          <w:tcPr>
            <w:tcW w:w="100" w:type="dxa"/>
            <w:vAlign w:val="bottom"/>
            <w:tcBorders>
              <w:top w:val="single" w:sz="8" w:color="0000EE"/>
              <w:bottom w:val="single" w:sz="8" w:color="3E3935"/>
            </w:tcBorders>
          </w:tcPr>
          <w:p>
            <w:pPr>
              <w:spacing w:after="0" w:line="20" w:lineRule="exact"/>
              <w:rPr>
                <w:sz w:val="1"/>
                <w:szCs w:val="1"/>
                <w:color w:val="auto"/>
              </w:rPr>
            </w:pPr>
          </w:p>
        </w:tc>
        <w:tc>
          <w:tcPr>
            <w:tcW w:w="340" w:type="dxa"/>
            <w:vAlign w:val="bottom"/>
            <w:tcBorders>
              <w:top w:val="single" w:sz="8" w:color="0000EE"/>
              <w:bottom w:val="single" w:sz="8" w:color="3E3935"/>
            </w:tcBorders>
          </w:tcPr>
          <w:p>
            <w:pPr>
              <w:spacing w:after="0" w:line="20" w:lineRule="exact"/>
              <w:rPr>
                <w:sz w:val="1"/>
                <w:szCs w:val="1"/>
                <w:color w:val="auto"/>
              </w:rPr>
            </w:pPr>
          </w:p>
        </w:tc>
        <w:tc>
          <w:tcPr>
            <w:tcW w:w="60" w:type="dxa"/>
            <w:vAlign w:val="bottom"/>
            <w:tcBorders>
              <w:top w:val="single" w:sz="8" w:color="0000EE"/>
              <w:bottom w:val="single" w:sz="8" w:color="3E3935"/>
            </w:tcBorders>
          </w:tcPr>
          <w:p>
            <w:pPr>
              <w:spacing w:after="0" w:line="20" w:lineRule="exact"/>
              <w:rPr>
                <w:sz w:val="1"/>
                <w:szCs w:val="1"/>
                <w:color w:val="auto"/>
              </w:rPr>
            </w:pPr>
          </w:p>
        </w:tc>
        <w:tc>
          <w:tcPr>
            <w:tcW w:w="140" w:type="dxa"/>
            <w:vAlign w:val="bottom"/>
            <w:tcBorders>
              <w:top w:val="single" w:sz="8" w:color="0000EE"/>
              <w:bottom w:val="single" w:sz="8" w:color="3E3935"/>
            </w:tcBorders>
          </w:tcPr>
          <w:p>
            <w:pPr>
              <w:spacing w:after="0" w:line="20" w:lineRule="exact"/>
              <w:rPr>
                <w:sz w:val="1"/>
                <w:szCs w:val="1"/>
                <w:color w:val="auto"/>
              </w:rPr>
            </w:pPr>
          </w:p>
        </w:tc>
        <w:tc>
          <w:tcPr>
            <w:tcW w:w="60" w:type="dxa"/>
            <w:vAlign w:val="bottom"/>
            <w:tcBorders>
              <w:top w:val="single" w:sz="8" w:color="0000EE"/>
              <w:bottom w:val="single" w:sz="8" w:color="3E3935"/>
            </w:tcBorders>
          </w:tcPr>
          <w:p>
            <w:pPr>
              <w:spacing w:after="0" w:line="20" w:lineRule="exact"/>
              <w:rPr>
                <w:sz w:val="1"/>
                <w:szCs w:val="1"/>
                <w:color w:val="auto"/>
              </w:rPr>
            </w:pPr>
          </w:p>
        </w:tc>
        <w:tc>
          <w:tcPr>
            <w:tcW w:w="180" w:type="dxa"/>
            <w:vAlign w:val="bottom"/>
            <w:tcBorders>
              <w:top w:val="single" w:sz="8" w:color="0000EE"/>
              <w:bottom w:val="single" w:sz="8" w:color="3E3935"/>
            </w:tcBorders>
          </w:tcPr>
          <w:p>
            <w:pPr>
              <w:spacing w:after="0" w:line="20" w:lineRule="exact"/>
              <w:rPr>
                <w:sz w:val="1"/>
                <w:szCs w:val="1"/>
                <w:color w:val="auto"/>
              </w:rPr>
            </w:pPr>
          </w:p>
        </w:tc>
        <w:tc>
          <w:tcPr>
            <w:tcW w:w="40" w:type="dxa"/>
            <w:vAlign w:val="bottom"/>
            <w:tcBorders>
              <w:top w:val="single" w:sz="8" w:color="0000EE"/>
              <w:bottom w:val="single" w:sz="8" w:color="3E3935"/>
            </w:tcBorders>
          </w:tcPr>
          <w:p>
            <w:pPr>
              <w:spacing w:after="0" w:line="20" w:lineRule="exact"/>
              <w:rPr>
                <w:sz w:val="1"/>
                <w:szCs w:val="1"/>
                <w:color w:val="auto"/>
              </w:rPr>
            </w:pPr>
          </w:p>
        </w:tc>
        <w:tc>
          <w:tcPr>
            <w:tcW w:w="60" w:type="dxa"/>
            <w:vAlign w:val="bottom"/>
            <w:tcBorders>
              <w:top w:val="single" w:sz="8" w:color="0000EE"/>
              <w:bottom w:val="single" w:sz="8" w:color="3E3935"/>
            </w:tcBorders>
          </w:tcPr>
          <w:p>
            <w:pPr>
              <w:spacing w:after="0" w:line="20" w:lineRule="exact"/>
              <w:rPr>
                <w:sz w:val="1"/>
                <w:szCs w:val="1"/>
                <w:color w:val="auto"/>
              </w:rPr>
            </w:pPr>
          </w:p>
        </w:tc>
        <w:tc>
          <w:tcPr>
            <w:tcW w:w="20" w:type="dxa"/>
            <w:vAlign w:val="bottom"/>
            <w:tcBorders>
              <w:top w:val="single" w:sz="8" w:color="0000EE"/>
              <w:bottom w:val="single" w:sz="8" w:color="3E3935"/>
            </w:tcBorders>
          </w:tcPr>
          <w:p>
            <w:pPr>
              <w:spacing w:after="0" w:line="20" w:lineRule="exact"/>
              <w:rPr>
                <w:sz w:val="1"/>
                <w:szCs w:val="1"/>
                <w:color w:val="auto"/>
              </w:rPr>
            </w:pPr>
          </w:p>
        </w:tc>
        <w:tc>
          <w:tcPr>
            <w:tcW w:w="40" w:type="dxa"/>
            <w:vAlign w:val="bottom"/>
            <w:tcBorders>
              <w:top w:val="single" w:sz="8" w:color="0000EE"/>
              <w:bottom w:val="single" w:sz="8" w:color="3E3935"/>
            </w:tcBorders>
          </w:tcPr>
          <w:p>
            <w:pPr>
              <w:spacing w:after="0" w:line="20" w:lineRule="exact"/>
              <w:rPr>
                <w:sz w:val="1"/>
                <w:szCs w:val="1"/>
                <w:color w:val="auto"/>
              </w:rPr>
            </w:pPr>
          </w:p>
        </w:tc>
        <w:tc>
          <w:tcPr>
            <w:tcW w:w="200" w:type="dxa"/>
            <w:vAlign w:val="bottom"/>
            <w:tcBorders>
              <w:top w:val="single" w:sz="8" w:color="0000EE"/>
              <w:bottom w:val="single" w:sz="8" w:color="3E3935"/>
            </w:tcBorders>
          </w:tcPr>
          <w:p>
            <w:pPr>
              <w:spacing w:after="0" w:line="20" w:lineRule="exact"/>
              <w:rPr>
                <w:sz w:val="1"/>
                <w:szCs w:val="1"/>
                <w:color w:val="auto"/>
              </w:rPr>
            </w:pPr>
          </w:p>
        </w:tc>
        <w:tc>
          <w:tcPr>
            <w:tcW w:w="80" w:type="dxa"/>
            <w:vAlign w:val="bottom"/>
            <w:tcBorders>
              <w:top w:val="single" w:sz="8" w:color="0000EE"/>
              <w:bottom w:val="single" w:sz="8" w:color="3E3935"/>
            </w:tcBorders>
          </w:tcPr>
          <w:p>
            <w:pPr>
              <w:spacing w:after="0" w:line="20" w:lineRule="exact"/>
              <w:rPr>
                <w:sz w:val="1"/>
                <w:szCs w:val="1"/>
                <w:color w:val="auto"/>
              </w:rPr>
            </w:pPr>
          </w:p>
        </w:tc>
        <w:tc>
          <w:tcPr>
            <w:tcW w:w="260" w:type="dxa"/>
            <w:vAlign w:val="bottom"/>
            <w:tcBorders>
              <w:top w:val="single" w:sz="8" w:color="0000EE"/>
              <w:bottom w:val="single" w:sz="8" w:color="3E3935"/>
            </w:tcBorders>
          </w:tcPr>
          <w:p>
            <w:pPr>
              <w:spacing w:after="0" w:line="20" w:lineRule="exact"/>
              <w:rPr>
                <w:sz w:val="1"/>
                <w:szCs w:val="1"/>
                <w:color w:val="auto"/>
              </w:rPr>
            </w:pPr>
          </w:p>
        </w:tc>
        <w:tc>
          <w:tcPr>
            <w:tcW w:w="80" w:type="dxa"/>
            <w:vAlign w:val="bottom"/>
            <w:tcBorders>
              <w:top w:val="single" w:sz="8" w:color="0000EE"/>
              <w:bottom w:val="single" w:sz="8" w:color="3E3935"/>
            </w:tcBorders>
          </w:tcPr>
          <w:p>
            <w:pPr>
              <w:spacing w:after="0" w:line="20" w:lineRule="exact"/>
              <w:rPr>
                <w:sz w:val="1"/>
                <w:szCs w:val="1"/>
                <w:color w:val="auto"/>
              </w:rPr>
            </w:pPr>
          </w:p>
        </w:tc>
        <w:tc>
          <w:tcPr>
            <w:tcW w:w="160" w:type="dxa"/>
            <w:vAlign w:val="bottom"/>
            <w:tcBorders>
              <w:top w:val="single" w:sz="8" w:color="0000EE"/>
              <w:bottom w:val="single" w:sz="8" w:color="3E3935"/>
            </w:tcBorders>
          </w:tcPr>
          <w:p>
            <w:pPr>
              <w:spacing w:after="0" w:line="20" w:lineRule="exact"/>
              <w:rPr>
                <w:sz w:val="1"/>
                <w:szCs w:val="1"/>
                <w:color w:val="auto"/>
              </w:rPr>
            </w:pPr>
          </w:p>
        </w:tc>
        <w:tc>
          <w:tcPr>
            <w:tcW w:w="20" w:type="dxa"/>
            <w:vAlign w:val="bottom"/>
            <w:tcBorders>
              <w:top w:val="single" w:sz="8" w:color="0000EE"/>
              <w:bottom w:val="single" w:sz="8" w:color="3E3935"/>
            </w:tcBorders>
          </w:tcPr>
          <w:p>
            <w:pPr>
              <w:spacing w:after="0" w:line="20" w:lineRule="exact"/>
              <w:rPr>
                <w:sz w:val="1"/>
                <w:szCs w:val="1"/>
                <w:color w:val="auto"/>
              </w:rPr>
            </w:pPr>
          </w:p>
        </w:tc>
        <w:tc>
          <w:tcPr>
            <w:tcW w:w="40" w:type="dxa"/>
            <w:vAlign w:val="bottom"/>
            <w:tcBorders>
              <w:top w:val="single" w:sz="8" w:color="0000EE"/>
              <w:bottom w:val="single" w:sz="8" w:color="3E3935"/>
            </w:tcBorders>
          </w:tcPr>
          <w:p>
            <w:pPr>
              <w:spacing w:after="0" w:line="20" w:lineRule="exact"/>
              <w:rPr>
                <w:sz w:val="1"/>
                <w:szCs w:val="1"/>
                <w:color w:val="auto"/>
              </w:rPr>
            </w:pPr>
          </w:p>
        </w:tc>
        <w:tc>
          <w:tcPr>
            <w:tcW w:w="140" w:type="dxa"/>
            <w:vAlign w:val="bottom"/>
            <w:tcBorders>
              <w:bottom w:val="single" w:sz="8" w:color="3E3935"/>
            </w:tcBorders>
          </w:tcPr>
          <w:p>
            <w:pPr>
              <w:spacing w:after="0" w:line="20" w:lineRule="exact"/>
              <w:rPr>
                <w:sz w:val="1"/>
                <w:szCs w:val="1"/>
                <w:color w:val="auto"/>
              </w:rPr>
            </w:pPr>
          </w:p>
        </w:tc>
        <w:tc>
          <w:tcPr>
            <w:tcW w:w="40" w:type="dxa"/>
            <w:vAlign w:val="bottom"/>
            <w:tcBorders>
              <w:bottom w:val="single" w:sz="8" w:color="3E3935"/>
            </w:tcBorders>
          </w:tcPr>
          <w:p>
            <w:pPr>
              <w:spacing w:after="0" w:line="20" w:lineRule="exact"/>
              <w:rPr>
                <w:sz w:val="1"/>
                <w:szCs w:val="1"/>
                <w:color w:val="auto"/>
              </w:rPr>
            </w:pPr>
          </w:p>
        </w:tc>
        <w:tc>
          <w:tcPr>
            <w:tcW w:w="20" w:type="dxa"/>
            <w:vAlign w:val="bottom"/>
            <w:tcBorders>
              <w:bottom w:val="single" w:sz="8" w:color="3E3935"/>
            </w:tcBorders>
          </w:tcPr>
          <w:p>
            <w:pPr>
              <w:spacing w:after="0" w:line="20" w:lineRule="exact"/>
              <w:rPr>
                <w:sz w:val="1"/>
                <w:szCs w:val="1"/>
                <w:color w:val="auto"/>
              </w:rPr>
            </w:pPr>
          </w:p>
        </w:tc>
        <w:tc>
          <w:tcPr>
            <w:tcW w:w="40" w:type="dxa"/>
            <w:vAlign w:val="bottom"/>
            <w:tcBorders>
              <w:bottom w:val="single" w:sz="8" w:color="3E3935"/>
            </w:tcBorders>
          </w:tcPr>
          <w:p>
            <w:pPr>
              <w:spacing w:after="0" w:line="20" w:lineRule="exact"/>
              <w:rPr>
                <w:sz w:val="1"/>
                <w:szCs w:val="1"/>
                <w:color w:val="auto"/>
              </w:rPr>
            </w:pPr>
          </w:p>
        </w:tc>
        <w:tc>
          <w:tcPr>
            <w:tcW w:w="20" w:type="dxa"/>
            <w:vAlign w:val="bottom"/>
            <w:tcBorders>
              <w:bottom w:val="single" w:sz="8" w:color="3E3935"/>
            </w:tcBorders>
          </w:tcPr>
          <w:p>
            <w:pPr>
              <w:spacing w:after="0" w:line="20" w:lineRule="exact"/>
              <w:rPr>
                <w:sz w:val="1"/>
                <w:szCs w:val="1"/>
                <w:color w:val="auto"/>
              </w:rPr>
            </w:pPr>
          </w:p>
        </w:tc>
        <w:tc>
          <w:tcPr>
            <w:tcW w:w="100" w:type="dxa"/>
            <w:vAlign w:val="bottom"/>
            <w:tcBorders>
              <w:bottom w:val="single" w:sz="8" w:color="3E3935"/>
            </w:tcBorders>
          </w:tcPr>
          <w:p>
            <w:pPr>
              <w:spacing w:after="0" w:line="20" w:lineRule="exact"/>
              <w:rPr>
                <w:sz w:val="1"/>
                <w:szCs w:val="1"/>
                <w:color w:val="auto"/>
              </w:rPr>
            </w:pPr>
          </w:p>
        </w:tc>
        <w:tc>
          <w:tcPr>
            <w:tcW w:w="140" w:type="dxa"/>
            <w:vAlign w:val="bottom"/>
            <w:tcBorders>
              <w:bottom w:val="single" w:sz="8" w:color="3E3935"/>
            </w:tcBorders>
          </w:tcPr>
          <w:p>
            <w:pPr>
              <w:spacing w:after="0" w:line="20" w:lineRule="exact"/>
              <w:rPr>
                <w:sz w:val="1"/>
                <w:szCs w:val="1"/>
                <w:color w:val="auto"/>
              </w:rPr>
            </w:pPr>
          </w:p>
        </w:tc>
        <w:tc>
          <w:tcPr>
            <w:tcW w:w="40" w:type="dxa"/>
            <w:vAlign w:val="bottom"/>
            <w:tcBorders>
              <w:bottom w:val="single" w:sz="8" w:color="3E3935"/>
            </w:tcBorders>
          </w:tcPr>
          <w:p>
            <w:pPr>
              <w:spacing w:after="0" w:line="20" w:lineRule="exact"/>
              <w:rPr>
                <w:sz w:val="1"/>
                <w:szCs w:val="1"/>
                <w:color w:val="auto"/>
              </w:rPr>
            </w:pPr>
          </w:p>
        </w:tc>
        <w:tc>
          <w:tcPr>
            <w:tcW w:w="140" w:type="dxa"/>
            <w:vAlign w:val="bottom"/>
            <w:tcBorders>
              <w:bottom w:val="single" w:sz="8" w:color="3E3935"/>
            </w:tcBorders>
          </w:tcPr>
          <w:p>
            <w:pPr>
              <w:spacing w:after="0" w:line="20" w:lineRule="exact"/>
              <w:rPr>
                <w:sz w:val="1"/>
                <w:szCs w:val="1"/>
                <w:color w:val="auto"/>
              </w:rPr>
            </w:pPr>
          </w:p>
        </w:tc>
        <w:tc>
          <w:tcPr>
            <w:tcW w:w="480" w:type="dxa"/>
            <w:vAlign w:val="bottom"/>
            <w:tcBorders>
              <w:bottom w:val="single" w:sz="8" w:color="3E3935"/>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920" w:type="dxa"/>
            <w:vAlign w:val="bottom"/>
            <w:gridSpan w:val="34"/>
          </w:tcPr>
          <w:p>
            <w:pPr>
              <w:spacing w:after="0"/>
              <w:rPr>
                <w:sz w:val="20"/>
                <w:szCs w:val="20"/>
                <w:color w:val="auto"/>
              </w:rPr>
            </w:pPr>
            <w:r>
              <w:rPr>
                <w:rFonts w:ascii="Arial" w:cs="Arial" w:eastAsia="Arial" w:hAnsi="Arial"/>
                <w:sz w:val="18"/>
                <w:szCs w:val="18"/>
                <w:b w:val="1"/>
                <w:bCs w:val="1"/>
                <w:color w:val="0000EE"/>
              </w:rPr>
              <w:t>ITEM NO. 7 – SHAREHOLDER PROPOSAL REGARDING</w:t>
            </w: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180" w:type="dxa"/>
            <w:vAlign w:val="bottom"/>
            <w:tcBorders>
              <w:top w:val="single" w:sz="8" w:color="0000EE"/>
            </w:tcBorders>
          </w:tcPr>
          <w:p>
            <w:pPr>
              <w:spacing w:after="0"/>
              <w:rPr>
                <w:sz w:val="15"/>
                <w:szCs w:val="15"/>
                <w:color w:val="auto"/>
              </w:rPr>
            </w:pPr>
          </w:p>
        </w:tc>
        <w:tc>
          <w:tcPr>
            <w:tcW w:w="460" w:type="dxa"/>
            <w:vAlign w:val="bottom"/>
            <w:tcBorders>
              <w:top w:val="single" w:sz="8" w:color="0000EE"/>
            </w:tcBorders>
          </w:tcPr>
          <w:p>
            <w:pPr>
              <w:spacing w:after="0"/>
              <w:rPr>
                <w:sz w:val="15"/>
                <w:szCs w:val="15"/>
                <w:color w:val="auto"/>
              </w:rPr>
            </w:pPr>
          </w:p>
        </w:tc>
        <w:tc>
          <w:tcPr>
            <w:tcW w:w="36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3700" w:type="dxa"/>
            <w:vAlign w:val="bottom"/>
            <w:tcBorders>
              <w:top w:val="single" w:sz="8" w:color="0000EE"/>
            </w:tcBorders>
            <w:gridSpan w:val="28"/>
          </w:tcPr>
          <w:p>
            <w:pPr>
              <w:spacing w:after="0" w:line="182" w:lineRule="exact"/>
              <w:rPr>
                <w:sz w:val="20"/>
                <w:szCs w:val="20"/>
                <w:color w:val="auto"/>
              </w:rPr>
            </w:pPr>
            <w:r>
              <w:rPr>
                <w:rFonts w:ascii="Arial" w:cs="Arial" w:eastAsia="Arial" w:hAnsi="Arial"/>
                <w:sz w:val="18"/>
                <w:szCs w:val="18"/>
                <w:b w:val="1"/>
                <w:bCs w:val="1"/>
                <w:color w:val="0000EE"/>
              </w:rPr>
              <w:t>SUSTAINABLE MATERIALS</w:t>
            </w:r>
          </w:p>
        </w:tc>
        <w:tc>
          <w:tcPr>
            <w:tcW w:w="180" w:type="dxa"/>
            <w:vAlign w:val="bottom"/>
            <w:gridSpan w:val="2"/>
          </w:tcPr>
          <w:p>
            <w:pPr>
              <w:spacing w:after="0"/>
              <w:rPr>
                <w:sz w:val="15"/>
                <w:szCs w:val="15"/>
                <w:color w:val="auto"/>
              </w:rPr>
            </w:pPr>
          </w:p>
        </w:tc>
        <w:tc>
          <w:tcPr>
            <w:tcW w:w="480" w:type="dxa"/>
            <w:vAlign w:val="bottom"/>
            <w:vMerge w:val="restart"/>
          </w:tcPr>
          <w:p>
            <w:pPr>
              <w:jc w:val="right"/>
              <w:spacing w:after="0"/>
              <w:rPr>
                <w:sz w:val="20"/>
                <w:szCs w:val="20"/>
                <w:color w:val="auto"/>
              </w:rPr>
            </w:pPr>
            <w:r>
              <w:rPr>
                <w:rFonts w:ascii="Arial" w:cs="Arial" w:eastAsia="Arial" w:hAnsi="Arial"/>
                <w:sz w:val="18"/>
                <w:szCs w:val="18"/>
                <w:i w:val="1"/>
                <w:iCs w:val="1"/>
                <w:color w:val="3E3935"/>
              </w:rPr>
              <w:t>102</w:t>
            </w:r>
          </w:p>
        </w:tc>
        <w:tc>
          <w:tcPr>
            <w:tcW w:w="0" w:type="dxa"/>
            <w:vAlign w:val="bottom"/>
          </w:tcPr>
          <w:p>
            <w:pPr>
              <w:spacing w:after="0"/>
              <w:rPr>
                <w:sz w:val="1"/>
                <w:szCs w:val="1"/>
                <w:color w:val="auto"/>
              </w:rPr>
            </w:pPr>
          </w:p>
        </w:tc>
      </w:tr>
      <w:tr>
        <w:trPr>
          <w:trHeight w:val="183"/>
        </w:trPr>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360" w:type="dxa"/>
            <w:vAlign w:val="bottom"/>
            <w:tcBorders>
              <w:top w:val="single" w:sz="8" w:color="0000EE"/>
            </w:tcBorders>
            <w:gridSpan w:val="14"/>
          </w:tcPr>
          <w:p>
            <w:pPr>
              <w:spacing w:after="0" w:line="182" w:lineRule="exact"/>
              <w:rPr>
                <w:sz w:val="20"/>
                <w:szCs w:val="20"/>
                <w:color w:val="auto"/>
              </w:rPr>
            </w:pPr>
            <w:r>
              <w:rPr>
                <w:rFonts w:ascii="Arial" w:cs="Arial" w:eastAsia="Arial" w:hAnsi="Arial"/>
                <w:sz w:val="18"/>
                <w:szCs w:val="18"/>
                <w:b w:val="1"/>
                <w:bCs w:val="1"/>
                <w:color w:val="0000EE"/>
              </w:rPr>
              <w:t>PROCUREMENT TARGETS</w:t>
            </w:r>
          </w:p>
        </w:tc>
        <w:tc>
          <w:tcPr>
            <w:tcW w:w="620" w:type="dxa"/>
            <w:vAlign w:val="bottom"/>
            <w:gridSpan w:val="4"/>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gridSpan w:val="3"/>
          </w:tcPr>
          <w:p>
            <w:pPr>
              <w:spacing w:after="0"/>
              <w:rPr>
                <w:sz w:val="15"/>
                <w:szCs w:val="15"/>
                <w:color w:val="auto"/>
              </w:rPr>
            </w:pPr>
          </w:p>
        </w:tc>
        <w:tc>
          <w:tcPr>
            <w:tcW w:w="10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gridSpan w:val="4"/>
          </w:tcPr>
          <w:p>
            <w:pPr>
              <w:spacing w:after="0"/>
              <w:rPr>
                <w:sz w:val="15"/>
                <w:szCs w:val="15"/>
                <w:color w:val="auto"/>
              </w:rPr>
            </w:pPr>
          </w:p>
        </w:tc>
        <w:tc>
          <w:tcPr>
            <w:tcW w:w="4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80" w:type="dxa"/>
            <w:vAlign w:val="bottom"/>
            <w:tcBorders>
              <w:bottom w:val="single" w:sz="8" w:color="3E3935"/>
            </w:tcBorders>
          </w:tcPr>
          <w:p>
            <w:pPr>
              <w:spacing w:after="0" w:line="20" w:lineRule="exact"/>
              <w:rPr>
                <w:sz w:val="1"/>
                <w:szCs w:val="1"/>
                <w:color w:val="auto"/>
              </w:rPr>
            </w:pPr>
          </w:p>
        </w:tc>
        <w:tc>
          <w:tcPr>
            <w:tcW w:w="460" w:type="dxa"/>
            <w:vAlign w:val="bottom"/>
            <w:tcBorders>
              <w:bottom w:val="single" w:sz="8" w:color="3E3935"/>
            </w:tcBorders>
          </w:tcPr>
          <w:p>
            <w:pPr>
              <w:spacing w:after="0" w:line="20" w:lineRule="exact"/>
              <w:rPr>
                <w:sz w:val="1"/>
                <w:szCs w:val="1"/>
                <w:color w:val="auto"/>
              </w:rPr>
            </w:pPr>
          </w:p>
        </w:tc>
        <w:tc>
          <w:tcPr>
            <w:tcW w:w="360" w:type="dxa"/>
            <w:vAlign w:val="bottom"/>
            <w:tcBorders>
              <w:bottom w:val="single" w:sz="8" w:color="3E3935"/>
            </w:tcBorders>
          </w:tcPr>
          <w:p>
            <w:pPr>
              <w:spacing w:after="0" w:line="20" w:lineRule="exact"/>
              <w:rPr>
                <w:sz w:val="1"/>
                <w:szCs w:val="1"/>
                <w:color w:val="auto"/>
              </w:rPr>
            </w:pPr>
          </w:p>
        </w:tc>
        <w:tc>
          <w:tcPr>
            <w:tcW w:w="40" w:type="dxa"/>
            <w:vAlign w:val="bottom"/>
            <w:tcBorders>
              <w:bottom w:val="single" w:sz="8" w:color="3E3935"/>
            </w:tcBorders>
          </w:tcPr>
          <w:p>
            <w:pPr>
              <w:spacing w:after="0" w:line="20" w:lineRule="exact"/>
              <w:rPr>
                <w:sz w:val="1"/>
                <w:szCs w:val="1"/>
                <w:color w:val="auto"/>
              </w:rPr>
            </w:pPr>
          </w:p>
        </w:tc>
        <w:tc>
          <w:tcPr>
            <w:tcW w:w="180" w:type="dxa"/>
            <w:vAlign w:val="bottom"/>
            <w:tcBorders>
              <w:top w:val="single" w:sz="8" w:color="0000EE"/>
              <w:bottom w:val="single" w:sz="8" w:color="3E3935"/>
            </w:tcBorders>
          </w:tcPr>
          <w:p>
            <w:pPr>
              <w:spacing w:after="0" w:line="20" w:lineRule="exact"/>
              <w:rPr>
                <w:sz w:val="1"/>
                <w:szCs w:val="1"/>
                <w:color w:val="auto"/>
              </w:rPr>
            </w:pPr>
          </w:p>
        </w:tc>
        <w:tc>
          <w:tcPr>
            <w:tcW w:w="120" w:type="dxa"/>
            <w:vAlign w:val="bottom"/>
            <w:tcBorders>
              <w:top w:val="single" w:sz="8" w:color="0000EE"/>
              <w:bottom w:val="single" w:sz="8" w:color="3E3935"/>
            </w:tcBorders>
          </w:tcPr>
          <w:p>
            <w:pPr>
              <w:spacing w:after="0" w:line="20" w:lineRule="exact"/>
              <w:rPr>
                <w:sz w:val="1"/>
                <w:szCs w:val="1"/>
                <w:color w:val="auto"/>
              </w:rPr>
            </w:pPr>
          </w:p>
        </w:tc>
        <w:tc>
          <w:tcPr>
            <w:tcW w:w="640" w:type="dxa"/>
            <w:vAlign w:val="bottom"/>
            <w:tcBorders>
              <w:top w:val="single" w:sz="8" w:color="0000EE"/>
              <w:bottom w:val="single" w:sz="8" w:color="3E3935"/>
            </w:tcBorders>
          </w:tcPr>
          <w:p>
            <w:pPr>
              <w:spacing w:after="0" w:line="20" w:lineRule="exact"/>
              <w:rPr>
                <w:sz w:val="1"/>
                <w:szCs w:val="1"/>
                <w:color w:val="auto"/>
              </w:rPr>
            </w:pPr>
          </w:p>
        </w:tc>
        <w:tc>
          <w:tcPr>
            <w:tcW w:w="380" w:type="dxa"/>
            <w:vAlign w:val="bottom"/>
            <w:tcBorders>
              <w:top w:val="single" w:sz="8" w:color="0000EE"/>
              <w:bottom w:val="single" w:sz="8" w:color="3E3935"/>
            </w:tcBorders>
          </w:tcPr>
          <w:p>
            <w:pPr>
              <w:spacing w:after="0" w:line="20" w:lineRule="exact"/>
              <w:rPr>
                <w:sz w:val="1"/>
                <w:szCs w:val="1"/>
                <w:color w:val="auto"/>
              </w:rPr>
            </w:pPr>
          </w:p>
        </w:tc>
        <w:tc>
          <w:tcPr>
            <w:tcW w:w="100" w:type="dxa"/>
            <w:vAlign w:val="bottom"/>
            <w:tcBorders>
              <w:top w:val="single" w:sz="8" w:color="0000EE"/>
              <w:bottom w:val="single" w:sz="8" w:color="3E3935"/>
            </w:tcBorders>
          </w:tcPr>
          <w:p>
            <w:pPr>
              <w:spacing w:after="0" w:line="20" w:lineRule="exact"/>
              <w:rPr>
                <w:sz w:val="1"/>
                <w:szCs w:val="1"/>
                <w:color w:val="auto"/>
              </w:rPr>
            </w:pPr>
          </w:p>
        </w:tc>
        <w:tc>
          <w:tcPr>
            <w:tcW w:w="340" w:type="dxa"/>
            <w:vAlign w:val="bottom"/>
            <w:tcBorders>
              <w:top w:val="single" w:sz="8" w:color="0000EE"/>
              <w:bottom w:val="single" w:sz="8" w:color="3E3935"/>
            </w:tcBorders>
          </w:tcPr>
          <w:p>
            <w:pPr>
              <w:spacing w:after="0" w:line="20" w:lineRule="exact"/>
              <w:rPr>
                <w:sz w:val="1"/>
                <w:szCs w:val="1"/>
                <w:color w:val="auto"/>
              </w:rPr>
            </w:pPr>
          </w:p>
        </w:tc>
        <w:tc>
          <w:tcPr>
            <w:tcW w:w="60" w:type="dxa"/>
            <w:vAlign w:val="bottom"/>
            <w:tcBorders>
              <w:top w:val="single" w:sz="8" w:color="0000EE"/>
              <w:bottom w:val="single" w:sz="8" w:color="3E3935"/>
            </w:tcBorders>
          </w:tcPr>
          <w:p>
            <w:pPr>
              <w:spacing w:after="0" w:line="20" w:lineRule="exact"/>
              <w:rPr>
                <w:sz w:val="1"/>
                <w:szCs w:val="1"/>
                <w:color w:val="auto"/>
              </w:rPr>
            </w:pPr>
          </w:p>
        </w:tc>
        <w:tc>
          <w:tcPr>
            <w:tcW w:w="140" w:type="dxa"/>
            <w:vAlign w:val="bottom"/>
            <w:tcBorders>
              <w:top w:val="single" w:sz="8" w:color="0000EE"/>
              <w:bottom w:val="single" w:sz="8" w:color="3E3935"/>
            </w:tcBorders>
          </w:tcPr>
          <w:p>
            <w:pPr>
              <w:spacing w:after="0" w:line="20" w:lineRule="exact"/>
              <w:rPr>
                <w:sz w:val="1"/>
                <w:szCs w:val="1"/>
                <w:color w:val="auto"/>
              </w:rPr>
            </w:pPr>
          </w:p>
        </w:tc>
        <w:tc>
          <w:tcPr>
            <w:tcW w:w="60" w:type="dxa"/>
            <w:vAlign w:val="bottom"/>
            <w:tcBorders>
              <w:top w:val="single" w:sz="8" w:color="0000EE"/>
              <w:bottom w:val="single" w:sz="8" w:color="3E3935"/>
            </w:tcBorders>
          </w:tcPr>
          <w:p>
            <w:pPr>
              <w:spacing w:after="0" w:line="20" w:lineRule="exact"/>
              <w:rPr>
                <w:sz w:val="1"/>
                <w:szCs w:val="1"/>
                <w:color w:val="auto"/>
              </w:rPr>
            </w:pPr>
          </w:p>
        </w:tc>
        <w:tc>
          <w:tcPr>
            <w:tcW w:w="180" w:type="dxa"/>
            <w:vAlign w:val="bottom"/>
            <w:tcBorders>
              <w:top w:val="single" w:sz="8" w:color="0000EE"/>
              <w:bottom w:val="single" w:sz="8" w:color="3E3935"/>
            </w:tcBorders>
          </w:tcPr>
          <w:p>
            <w:pPr>
              <w:spacing w:after="0" w:line="20" w:lineRule="exact"/>
              <w:rPr>
                <w:sz w:val="1"/>
                <w:szCs w:val="1"/>
                <w:color w:val="auto"/>
              </w:rPr>
            </w:pPr>
          </w:p>
        </w:tc>
        <w:tc>
          <w:tcPr>
            <w:tcW w:w="40" w:type="dxa"/>
            <w:vAlign w:val="bottom"/>
            <w:tcBorders>
              <w:top w:val="single" w:sz="8" w:color="0000EE"/>
              <w:bottom w:val="single" w:sz="8" w:color="3E3935"/>
            </w:tcBorders>
          </w:tcPr>
          <w:p>
            <w:pPr>
              <w:spacing w:after="0" w:line="20" w:lineRule="exact"/>
              <w:rPr>
                <w:sz w:val="1"/>
                <w:szCs w:val="1"/>
                <w:color w:val="auto"/>
              </w:rPr>
            </w:pPr>
          </w:p>
        </w:tc>
        <w:tc>
          <w:tcPr>
            <w:tcW w:w="60" w:type="dxa"/>
            <w:vAlign w:val="bottom"/>
            <w:tcBorders>
              <w:top w:val="single" w:sz="8" w:color="0000EE"/>
              <w:bottom w:val="single" w:sz="8" w:color="3E3935"/>
            </w:tcBorders>
          </w:tcPr>
          <w:p>
            <w:pPr>
              <w:spacing w:after="0" w:line="20" w:lineRule="exact"/>
              <w:rPr>
                <w:sz w:val="1"/>
                <w:szCs w:val="1"/>
                <w:color w:val="auto"/>
              </w:rPr>
            </w:pPr>
          </w:p>
        </w:tc>
        <w:tc>
          <w:tcPr>
            <w:tcW w:w="20" w:type="dxa"/>
            <w:vAlign w:val="bottom"/>
            <w:tcBorders>
              <w:bottom w:val="single" w:sz="8" w:color="3E3935"/>
            </w:tcBorders>
          </w:tcPr>
          <w:p>
            <w:pPr>
              <w:spacing w:after="0" w:line="20" w:lineRule="exact"/>
              <w:rPr>
                <w:sz w:val="1"/>
                <w:szCs w:val="1"/>
                <w:color w:val="auto"/>
              </w:rPr>
            </w:pPr>
          </w:p>
        </w:tc>
        <w:tc>
          <w:tcPr>
            <w:tcW w:w="40" w:type="dxa"/>
            <w:vAlign w:val="bottom"/>
            <w:tcBorders>
              <w:bottom w:val="single" w:sz="8" w:color="3E3935"/>
            </w:tcBorders>
          </w:tcPr>
          <w:p>
            <w:pPr>
              <w:spacing w:after="0" w:line="20" w:lineRule="exact"/>
              <w:rPr>
                <w:sz w:val="1"/>
                <w:szCs w:val="1"/>
                <w:color w:val="auto"/>
              </w:rPr>
            </w:pPr>
          </w:p>
        </w:tc>
        <w:tc>
          <w:tcPr>
            <w:tcW w:w="200" w:type="dxa"/>
            <w:vAlign w:val="bottom"/>
            <w:tcBorders>
              <w:bottom w:val="single" w:sz="8" w:color="3E3935"/>
            </w:tcBorders>
          </w:tcPr>
          <w:p>
            <w:pPr>
              <w:spacing w:after="0" w:line="20" w:lineRule="exact"/>
              <w:rPr>
                <w:sz w:val="1"/>
                <w:szCs w:val="1"/>
                <w:color w:val="auto"/>
              </w:rPr>
            </w:pPr>
          </w:p>
        </w:tc>
        <w:tc>
          <w:tcPr>
            <w:tcW w:w="80" w:type="dxa"/>
            <w:vAlign w:val="bottom"/>
            <w:tcBorders>
              <w:bottom w:val="single" w:sz="8" w:color="3E3935"/>
            </w:tcBorders>
          </w:tcPr>
          <w:p>
            <w:pPr>
              <w:spacing w:after="0" w:line="20" w:lineRule="exact"/>
              <w:rPr>
                <w:sz w:val="1"/>
                <w:szCs w:val="1"/>
                <w:color w:val="auto"/>
              </w:rPr>
            </w:pPr>
          </w:p>
        </w:tc>
        <w:tc>
          <w:tcPr>
            <w:tcW w:w="260" w:type="dxa"/>
            <w:vAlign w:val="bottom"/>
            <w:tcBorders>
              <w:bottom w:val="single" w:sz="8" w:color="3E3935"/>
            </w:tcBorders>
          </w:tcPr>
          <w:p>
            <w:pPr>
              <w:spacing w:after="0" w:line="20" w:lineRule="exact"/>
              <w:rPr>
                <w:sz w:val="1"/>
                <w:szCs w:val="1"/>
                <w:color w:val="auto"/>
              </w:rPr>
            </w:pPr>
          </w:p>
        </w:tc>
        <w:tc>
          <w:tcPr>
            <w:tcW w:w="80" w:type="dxa"/>
            <w:vAlign w:val="bottom"/>
            <w:tcBorders>
              <w:bottom w:val="single" w:sz="8" w:color="3E3935"/>
            </w:tcBorders>
          </w:tcPr>
          <w:p>
            <w:pPr>
              <w:spacing w:after="0" w:line="20" w:lineRule="exact"/>
              <w:rPr>
                <w:sz w:val="1"/>
                <w:szCs w:val="1"/>
                <w:color w:val="auto"/>
              </w:rPr>
            </w:pPr>
          </w:p>
        </w:tc>
        <w:tc>
          <w:tcPr>
            <w:tcW w:w="160" w:type="dxa"/>
            <w:vAlign w:val="bottom"/>
            <w:tcBorders>
              <w:bottom w:val="single" w:sz="8" w:color="3E3935"/>
            </w:tcBorders>
          </w:tcPr>
          <w:p>
            <w:pPr>
              <w:spacing w:after="0" w:line="20" w:lineRule="exact"/>
              <w:rPr>
                <w:sz w:val="1"/>
                <w:szCs w:val="1"/>
                <w:color w:val="auto"/>
              </w:rPr>
            </w:pPr>
          </w:p>
        </w:tc>
        <w:tc>
          <w:tcPr>
            <w:tcW w:w="20" w:type="dxa"/>
            <w:vAlign w:val="bottom"/>
            <w:tcBorders>
              <w:bottom w:val="single" w:sz="8" w:color="3E3935"/>
            </w:tcBorders>
          </w:tcPr>
          <w:p>
            <w:pPr>
              <w:spacing w:after="0" w:line="20" w:lineRule="exact"/>
              <w:rPr>
                <w:sz w:val="1"/>
                <w:szCs w:val="1"/>
                <w:color w:val="auto"/>
              </w:rPr>
            </w:pPr>
          </w:p>
        </w:tc>
        <w:tc>
          <w:tcPr>
            <w:tcW w:w="40" w:type="dxa"/>
            <w:vAlign w:val="bottom"/>
            <w:tcBorders>
              <w:bottom w:val="single" w:sz="8" w:color="3E3935"/>
            </w:tcBorders>
          </w:tcPr>
          <w:p>
            <w:pPr>
              <w:spacing w:after="0" w:line="20" w:lineRule="exact"/>
              <w:rPr>
                <w:sz w:val="1"/>
                <w:szCs w:val="1"/>
                <w:color w:val="auto"/>
              </w:rPr>
            </w:pPr>
          </w:p>
        </w:tc>
        <w:tc>
          <w:tcPr>
            <w:tcW w:w="140" w:type="dxa"/>
            <w:vAlign w:val="bottom"/>
            <w:tcBorders>
              <w:bottom w:val="single" w:sz="8" w:color="3E3935"/>
            </w:tcBorders>
          </w:tcPr>
          <w:p>
            <w:pPr>
              <w:spacing w:after="0" w:line="20" w:lineRule="exact"/>
              <w:rPr>
                <w:sz w:val="1"/>
                <w:szCs w:val="1"/>
                <w:color w:val="auto"/>
              </w:rPr>
            </w:pPr>
          </w:p>
        </w:tc>
        <w:tc>
          <w:tcPr>
            <w:tcW w:w="40" w:type="dxa"/>
            <w:vAlign w:val="bottom"/>
            <w:tcBorders>
              <w:bottom w:val="single" w:sz="8" w:color="3E3935"/>
            </w:tcBorders>
          </w:tcPr>
          <w:p>
            <w:pPr>
              <w:spacing w:after="0" w:line="20" w:lineRule="exact"/>
              <w:rPr>
                <w:sz w:val="1"/>
                <w:szCs w:val="1"/>
                <w:color w:val="auto"/>
              </w:rPr>
            </w:pPr>
          </w:p>
        </w:tc>
        <w:tc>
          <w:tcPr>
            <w:tcW w:w="20" w:type="dxa"/>
            <w:vAlign w:val="bottom"/>
            <w:tcBorders>
              <w:bottom w:val="single" w:sz="8" w:color="3E3935"/>
            </w:tcBorders>
          </w:tcPr>
          <w:p>
            <w:pPr>
              <w:spacing w:after="0" w:line="20" w:lineRule="exact"/>
              <w:rPr>
                <w:sz w:val="1"/>
                <w:szCs w:val="1"/>
                <w:color w:val="auto"/>
              </w:rPr>
            </w:pPr>
          </w:p>
        </w:tc>
        <w:tc>
          <w:tcPr>
            <w:tcW w:w="40" w:type="dxa"/>
            <w:vAlign w:val="bottom"/>
            <w:tcBorders>
              <w:bottom w:val="single" w:sz="8" w:color="3E3935"/>
            </w:tcBorders>
          </w:tcPr>
          <w:p>
            <w:pPr>
              <w:spacing w:after="0" w:line="20" w:lineRule="exact"/>
              <w:rPr>
                <w:sz w:val="1"/>
                <w:szCs w:val="1"/>
                <w:color w:val="auto"/>
              </w:rPr>
            </w:pPr>
          </w:p>
        </w:tc>
        <w:tc>
          <w:tcPr>
            <w:tcW w:w="20" w:type="dxa"/>
            <w:vAlign w:val="bottom"/>
            <w:tcBorders>
              <w:bottom w:val="single" w:sz="8" w:color="3E3935"/>
            </w:tcBorders>
          </w:tcPr>
          <w:p>
            <w:pPr>
              <w:spacing w:after="0" w:line="20" w:lineRule="exact"/>
              <w:rPr>
                <w:sz w:val="1"/>
                <w:szCs w:val="1"/>
                <w:color w:val="auto"/>
              </w:rPr>
            </w:pPr>
          </w:p>
        </w:tc>
        <w:tc>
          <w:tcPr>
            <w:tcW w:w="100" w:type="dxa"/>
            <w:vAlign w:val="bottom"/>
            <w:tcBorders>
              <w:bottom w:val="single" w:sz="8" w:color="3E3935"/>
            </w:tcBorders>
          </w:tcPr>
          <w:p>
            <w:pPr>
              <w:spacing w:after="0" w:line="20" w:lineRule="exact"/>
              <w:rPr>
                <w:sz w:val="1"/>
                <w:szCs w:val="1"/>
                <w:color w:val="auto"/>
              </w:rPr>
            </w:pPr>
          </w:p>
        </w:tc>
        <w:tc>
          <w:tcPr>
            <w:tcW w:w="140" w:type="dxa"/>
            <w:vAlign w:val="bottom"/>
            <w:tcBorders>
              <w:bottom w:val="single" w:sz="8" w:color="3E3935"/>
            </w:tcBorders>
          </w:tcPr>
          <w:p>
            <w:pPr>
              <w:spacing w:after="0" w:line="20" w:lineRule="exact"/>
              <w:rPr>
                <w:sz w:val="1"/>
                <w:szCs w:val="1"/>
                <w:color w:val="auto"/>
              </w:rPr>
            </w:pPr>
          </w:p>
        </w:tc>
        <w:tc>
          <w:tcPr>
            <w:tcW w:w="40" w:type="dxa"/>
            <w:vAlign w:val="bottom"/>
            <w:tcBorders>
              <w:bottom w:val="single" w:sz="8" w:color="3E3935"/>
            </w:tcBorders>
          </w:tcPr>
          <w:p>
            <w:pPr>
              <w:spacing w:after="0" w:line="20" w:lineRule="exact"/>
              <w:rPr>
                <w:sz w:val="1"/>
                <w:szCs w:val="1"/>
                <w:color w:val="auto"/>
              </w:rPr>
            </w:pPr>
          </w:p>
        </w:tc>
        <w:tc>
          <w:tcPr>
            <w:tcW w:w="140" w:type="dxa"/>
            <w:vAlign w:val="bottom"/>
            <w:tcBorders>
              <w:bottom w:val="single" w:sz="8" w:color="3E3935"/>
            </w:tcBorders>
          </w:tcPr>
          <w:p>
            <w:pPr>
              <w:spacing w:after="0" w:line="20" w:lineRule="exact"/>
              <w:rPr>
                <w:sz w:val="1"/>
                <w:szCs w:val="1"/>
                <w:color w:val="auto"/>
              </w:rPr>
            </w:pPr>
          </w:p>
        </w:tc>
        <w:tc>
          <w:tcPr>
            <w:tcW w:w="480" w:type="dxa"/>
            <w:vAlign w:val="bottom"/>
            <w:tcBorders>
              <w:bottom w:val="single" w:sz="8" w:color="3E3935"/>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920" w:type="dxa"/>
            <w:vAlign w:val="bottom"/>
            <w:gridSpan w:val="34"/>
          </w:tcPr>
          <w:p>
            <w:pPr>
              <w:spacing w:after="0"/>
              <w:rPr>
                <w:sz w:val="20"/>
                <w:szCs w:val="20"/>
                <w:color w:val="auto"/>
              </w:rPr>
            </w:pPr>
            <w:r>
              <w:rPr>
                <w:rFonts w:ascii="Arial" w:cs="Arial" w:eastAsia="Arial" w:hAnsi="Arial"/>
                <w:sz w:val="18"/>
                <w:szCs w:val="18"/>
                <w:color w:val="0000EE"/>
              </w:rPr>
              <w:t>GENERAL INFORMATION ABOUT THE ANNUAL</w:t>
            </w:r>
          </w:p>
        </w:tc>
        <w:tc>
          <w:tcPr>
            <w:tcW w:w="480" w:type="dxa"/>
            <w:vAlign w:val="bottom"/>
            <w:vMerge w:val="restart"/>
          </w:tcPr>
          <w:p>
            <w:pPr>
              <w:jc w:val="right"/>
              <w:spacing w:after="0"/>
              <w:rPr>
                <w:sz w:val="20"/>
                <w:szCs w:val="20"/>
                <w:color w:val="auto"/>
              </w:rPr>
            </w:pPr>
            <w:r>
              <w:rPr>
                <w:rFonts w:ascii="Arial" w:cs="Arial" w:eastAsia="Arial" w:hAnsi="Arial"/>
                <w:sz w:val="18"/>
                <w:szCs w:val="18"/>
                <w:i w:val="1"/>
                <w:iCs w:val="1"/>
                <w:color w:val="00C1DE"/>
              </w:rPr>
              <w:t>105</w:t>
            </w:r>
          </w:p>
        </w:tc>
        <w:tc>
          <w:tcPr>
            <w:tcW w:w="0" w:type="dxa"/>
            <w:vAlign w:val="bottom"/>
          </w:tcPr>
          <w:p>
            <w:pPr>
              <w:spacing w:after="0"/>
              <w:rPr>
                <w:sz w:val="1"/>
                <w:szCs w:val="1"/>
                <w:color w:val="auto"/>
              </w:rPr>
            </w:pPr>
          </w:p>
        </w:tc>
      </w:tr>
      <w:tr>
        <w:trPr>
          <w:trHeight w:val="183"/>
        </w:trPr>
        <w:tc>
          <w:tcPr>
            <w:tcW w:w="180" w:type="dxa"/>
            <w:vAlign w:val="bottom"/>
            <w:tcBorders>
              <w:top w:val="single" w:sz="8" w:color="0000EE"/>
            </w:tcBorders>
          </w:tcPr>
          <w:p>
            <w:pPr>
              <w:spacing w:after="0"/>
              <w:rPr>
                <w:sz w:val="15"/>
                <w:szCs w:val="15"/>
                <w:color w:val="auto"/>
              </w:rPr>
            </w:pPr>
          </w:p>
        </w:tc>
        <w:tc>
          <w:tcPr>
            <w:tcW w:w="3840" w:type="dxa"/>
            <w:vAlign w:val="bottom"/>
            <w:tcBorders>
              <w:top w:val="single" w:sz="8" w:color="0000EE"/>
            </w:tcBorders>
            <w:gridSpan w:val="21"/>
          </w:tcPr>
          <w:p>
            <w:pPr>
              <w:spacing w:after="0" w:line="182" w:lineRule="exact"/>
              <w:rPr>
                <w:sz w:val="20"/>
                <w:szCs w:val="20"/>
                <w:color w:val="auto"/>
              </w:rPr>
            </w:pPr>
            <w:r>
              <w:rPr>
                <w:rFonts w:ascii="Arial" w:cs="Arial" w:eastAsia="Arial" w:hAnsi="Arial"/>
                <w:sz w:val="18"/>
                <w:szCs w:val="18"/>
                <w:color w:val="0000EE"/>
              </w:rPr>
              <w:t>MEETING</w:t>
            </w:r>
          </w:p>
        </w:tc>
        <w:tc>
          <w:tcPr>
            <w:tcW w:w="160" w:type="dxa"/>
            <w:vAlign w:val="bottom"/>
          </w:tcPr>
          <w:p>
            <w:pPr>
              <w:spacing w:after="0"/>
              <w:rPr>
                <w:sz w:val="15"/>
                <w:szCs w:val="15"/>
                <w:color w:val="auto"/>
              </w:rPr>
            </w:pPr>
          </w:p>
        </w:tc>
        <w:tc>
          <w:tcPr>
            <w:tcW w:w="200" w:type="dxa"/>
            <w:vAlign w:val="bottom"/>
            <w:gridSpan w:val="3"/>
          </w:tcPr>
          <w:p>
            <w:pPr>
              <w:spacing w:after="0"/>
              <w:rPr>
                <w:sz w:val="15"/>
                <w:szCs w:val="15"/>
                <w:color w:val="auto"/>
              </w:rPr>
            </w:pPr>
          </w:p>
        </w:tc>
        <w:tc>
          <w:tcPr>
            <w:tcW w:w="10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gridSpan w:val="4"/>
          </w:tcPr>
          <w:p>
            <w:pPr>
              <w:spacing w:after="0"/>
              <w:rPr>
                <w:sz w:val="15"/>
                <w:szCs w:val="15"/>
                <w:color w:val="auto"/>
              </w:rPr>
            </w:pPr>
          </w:p>
        </w:tc>
        <w:tc>
          <w:tcPr>
            <w:tcW w:w="4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80" w:type="dxa"/>
            <w:vAlign w:val="bottom"/>
            <w:tcBorders>
              <w:bottom w:val="single" w:sz="8" w:color="3E3935"/>
            </w:tcBorders>
          </w:tcPr>
          <w:p>
            <w:pPr>
              <w:spacing w:after="0" w:line="20" w:lineRule="exact"/>
              <w:rPr>
                <w:sz w:val="1"/>
                <w:szCs w:val="1"/>
                <w:color w:val="auto"/>
              </w:rPr>
            </w:pPr>
          </w:p>
        </w:tc>
        <w:tc>
          <w:tcPr>
            <w:tcW w:w="460" w:type="dxa"/>
            <w:vAlign w:val="bottom"/>
            <w:tcBorders>
              <w:top w:val="single" w:sz="8" w:color="0000EE"/>
              <w:bottom w:val="single" w:sz="8" w:color="3E3935"/>
            </w:tcBorders>
          </w:tcPr>
          <w:p>
            <w:pPr>
              <w:spacing w:after="0" w:line="20" w:lineRule="exact"/>
              <w:rPr>
                <w:sz w:val="1"/>
                <w:szCs w:val="1"/>
                <w:color w:val="auto"/>
              </w:rPr>
            </w:pPr>
          </w:p>
        </w:tc>
        <w:tc>
          <w:tcPr>
            <w:tcW w:w="360" w:type="dxa"/>
            <w:vAlign w:val="bottom"/>
            <w:tcBorders>
              <w:top w:val="single" w:sz="8" w:color="0000EE"/>
              <w:bottom w:val="single" w:sz="8" w:color="3E3935"/>
            </w:tcBorders>
          </w:tcPr>
          <w:p>
            <w:pPr>
              <w:spacing w:after="0" w:line="20" w:lineRule="exact"/>
              <w:rPr>
                <w:sz w:val="1"/>
                <w:szCs w:val="1"/>
                <w:color w:val="auto"/>
              </w:rPr>
            </w:pPr>
          </w:p>
        </w:tc>
        <w:tc>
          <w:tcPr>
            <w:tcW w:w="40" w:type="dxa"/>
            <w:vAlign w:val="bottom"/>
            <w:tcBorders>
              <w:bottom w:val="single" w:sz="8" w:color="3E3935"/>
            </w:tcBorders>
          </w:tcPr>
          <w:p>
            <w:pPr>
              <w:spacing w:after="0" w:line="20" w:lineRule="exact"/>
              <w:rPr>
                <w:sz w:val="1"/>
                <w:szCs w:val="1"/>
                <w:color w:val="auto"/>
              </w:rPr>
            </w:pPr>
          </w:p>
        </w:tc>
        <w:tc>
          <w:tcPr>
            <w:tcW w:w="180" w:type="dxa"/>
            <w:vAlign w:val="bottom"/>
            <w:tcBorders>
              <w:bottom w:val="single" w:sz="8" w:color="3E3935"/>
            </w:tcBorders>
          </w:tcPr>
          <w:p>
            <w:pPr>
              <w:spacing w:after="0" w:line="20" w:lineRule="exact"/>
              <w:rPr>
                <w:sz w:val="1"/>
                <w:szCs w:val="1"/>
                <w:color w:val="auto"/>
              </w:rPr>
            </w:pPr>
          </w:p>
        </w:tc>
        <w:tc>
          <w:tcPr>
            <w:tcW w:w="120" w:type="dxa"/>
            <w:vAlign w:val="bottom"/>
            <w:tcBorders>
              <w:bottom w:val="single" w:sz="8" w:color="3E3935"/>
            </w:tcBorders>
          </w:tcPr>
          <w:p>
            <w:pPr>
              <w:spacing w:after="0" w:line="20" w:lineRule="exact"/>
              <w:rPr>
                <w:sz w:val="1"/>
                <w:szCs w:val="1"/>
                <w:color w:val="auto"/>
              </w:rPr>
            </w:pPr>
          </w:p>
        </w:tc>
        <w:tc>
          <w:tcPr>
            <w:tcW w:w="640" w:type="dxa"/>
            <w:vAlign w:val="bottom"/>
            <w:tcBorders>
              <w:bottom w:val="single" w:sz="8" w:color="3E3935"/>
            </w:tcBorders>
          </w:tcPr>
          <w:p>
            <w:pPr>
              <w:spacing w:after="0" w:line="20" w:lineRule="exact"/>
              <w:rPr>
                <w:sz w:val="1"/>
                <w:szCs w:val="1"/>
                <w:color w:val="auto"/>
              </w:rPr>
            </w:pPr>
          </w:p>
        </w:tc>
        <w:tc>
          <w:tcPr>
            <w:tcW w:w="380" w:type="dxa"/>
            <w:vAlign w:val="bottom"/>
            <w:tcBorders>
              <w:bottom w:val="single" w:sz="8" w:color="3E3935"/>
            </w:tcBorders>
          </w:tcPr>
          <w:p>
            <w:pPr>
              <w:spacing w:after="0" w:line="20" w:lineRule="exact"/>
              <w:rPr>
                <w:sz w:val="1"/>
                <w:szCs w:val="1"/>
                <w:color w:val="auto"/>
              </w:rPr>
            </w:pPr>
          </w:p>
        </w:tc>
        <w:tc>
          <w:tcPr>
            <w:tcW w:w="100" w:type="dxa"/>
            <w:vAlign w:val="bottom"/>
            <w:tcBorders>
              <w:bottom w:val="single" w:sz="8" w:color="3E3935"/>
            </w:tcBorders>
          </w:tcPr>
          <w:p>
            <w:pPr>
              <w:spacing w:after="0" w:line="20" w:lineRule="exact"/>
              <w:rPr>
                <w:sz w:val="1"/>
                <w:szCs w:val="1"/>
                <w:color w:val="auto"/>
              </w:rPr>
            </w:pPr>
          </w:p>
        </w:tc>
        <w:tc>
          <w:tcPr>
            <w:tcW w:w="340" w:type="dxa"/>
            <w:vAlign w:val="bottom"/>
            <w:tcBorders>
              <w:bottom w:val="single" w:sz="8" w:color="3E3935"/>
            </w:tcBorders>
          </w:tcPr>
          <w:p>
            <w:pPr>
              <w:spacing w:after="0" w:line="20" w:lineRule="exact"/>
              <w:rPr>
                <w:sz w:val="1"/>
                <w:szCs w:val="1"/>
                <w:color w:val="auto"/>
              </w:rPr>
            </w:pPr>
          </w:p>
        </w:tc>
        <w:tc>
          <w:tcPr>
            <w:tcW w:w="60" w:type="dxa"/>
            <w:vAlign w:val="bottom"/>
            <w:tcBorders>
              <w:bottom w:val="single" w:sz="8" w:color="3E3935"/>
            </w:tcBorders>
          </w:tcPr>
          <w:p>
            <w:pPr>
              <w:spacing w:after="0" w:line="20" w:lineRule="exact"/>
              <w:rPr>
                <w:sz w:val="1"/>
                <w:szCs w:val="1"/>
                <w:color w:val="auto"/>
              </w:rPr>
            </w:pPr>
          </w:p>
        </w:tc>
        <w:tc>
          <w:tcPr>
            <w:tcW w:w="140" w:type="dxa"/>
            <w:vAlign w:val="bottom"/>
            <w:tcBorders>
              <w:bottom w:val="single" w:sz="8" w:color="3E3935"/>
            </w:tcBorders>
          </w:tcPr>
          <w:p>
            <w:pPr>
              <w:spacing w:after="0" w:line="20" w:lineRule="exact"/>
              <w:rPr>
                <w:sz w:val="1"/>
                <w:szCs w:val="1"/>
                <w:color w:val="auto"/>
              </w:rPr>
            </w:pPr>
          </w:p>
        </w:tc>
        <w:tc>
          <w:tcPr>
            <w:tcW w:w="60" w:type="dxa"/>
            <w:vAlign w:val="bottom"/>
            <w:tcBorders>
              <w:bottom w:val="single" w:sz="8" w:color="3E3935"/>
            </w:tcBorders>
          </w:tcPr>
          <w:p>
            <w:pPr>
              <w:spacing w:after="0" w:line="20" w:lineRule="exact"/>
              <w:rPr>
                <w:sz w:val="1"/>
                <w:szCs w:val="1"/>
                <w:color w:val="auto"/>
              </w:rPr>
            </w:pPr>
          </w:p>
        </w:tc>
        <w:tc>
          <w:tcPr>
            <w:tcW w:w="180" w:type="dxa"/>
            <w:vAlign w:val="bottom"/>
            <w:tcBorders>
              <w:bottom w:val="single" w:sz="8" w:color="3E3935"/>
            </w:tcBorders>
          </w:tcPr>
          <w:p>
            <w:pPr>
              <w:spacing w:after="0" w:line="20" w:lineRule="exact"/>
              <w:rPr>
                <w:sz w:val="1"/>
                <w:szCs w:val="1"/>
                <w:color w:val="auto"/>
              </w:rPr>
            </w:pPr>
          </w:p>
        </w:tc>
        <w:tc>
          <w:tcPr>
            <w:tcW w:w="40" w:type="dxa"/>
            <w:vAlign w:val="bottom"/>
            <w:tcBorders>
              <w:bottom w:val="single" w:sz="8" w:color="3E3935"/>
            </w:tcBorders>
          </w:tcPr>
          <w:p>
            <w:pPr>
              <w:spacing w:after="0" w:line="20" w:lineRule="exact"/>
              <w:rPr>
                <w:sz w:val="1"/>
                <w:szCs w:val="1"/>
                <w:color w:val="auto"/>
              </w:rPr>
            </w:pPr>
          </w:p>
        </w:tc>
        <w:tc>
          <w:tcPr>
            <w:tcW w:w="60" w:type="dxa"/>
            <w:vAlign w:val="bottom"/>
            <w:tcBorders>
              <w:bottom w:val="single" w:sz="8" w:color="3E3935"/>
            </w:tcBorders>
          </w:tcPr>
          <w:p>
            <w:pPr>
              <w:spacing w:after="0" w:line="20" w:lineRule="exact"/>
              <w:rPr>
                <w:sz w:val="1"/>
                <w:szCs w:val="1"/>
                <w:color w:val="auto"/>
              </w:rPr>
            </w:pPr>
          </w:p>
        </w:tc>
        <w:tc>
          <w:tcPr>
            <w:tcW w:w="20" w:type="dxa"/>
            <w:vAlign w:val="bottom"/>
            <w:tcBorders>
              <w:bottom w:val="single" w:sz="8" w:color="3E3935"/>
            </w:tcBorders>
          </w:tcPr>
          <w:p>
            <w:pPr>
              <w:spacing w:after="0" w:line="20" w:lineRule="exact"/>
              <w:rPr>
                <w:sz w:val="1"/>
                <w:szCs w:val="1"/>
                <w:color w:val="auto"/>
              </w:rPr>
            </w:pPr>
          </w:p>
        </w:tc>
        <w:tc>
          <w:tcPr>
            <w:tcW w:w="40" w:type="dxa"/>
            <w:vAlign w:val="bottom"/>
            <w:tcBorders>
              <w:bottom w:val="single" w:sz="8" w:color="3E3935"/>
            </w:tcBorders>
          </w:tcPr>
          <w:p>
            <w:pPr>
              <w:spacing w:after="0" w:line="20" w:lineRule="exact"/>
              <w:rPr>
                <w:sz w:val="1"/>
                <w:szCs w:val="1"/>
                <w:color w:val="auto"/>
              </w:rPr>
            </w:pPr>
          </w:p>
        </w:tc>
        <w:tc>
          <w:tcPr>
            <w:tcW w:w="200" w:type="dxa"/>
            <w:vAlign w:val="bottom"/>
            <w:tcBorders>
              <w:bottom w:val="single" w:sz="8" w:color="3E3935"/>
            </w:tcBorders>
          </w:tcPr>
          <w:p>
            <w:pPr>
              <w:spacing w:after="0" w:line="20" w:lineRule="exact"/>
              <w:rPr>
                <w:sz w:val="1"/>
                <w:szCs w:val="1"/>
                <w:color w:val="auto"/>
              </w:rPr>
            </w:pPr>
          </w:p>
        </w:tc>
        <w:tc>
          <w:tcPr>
            <w:tcW w:w="80" w:type="dxa"/>
            <w:vAlign w:val="bottom"/>
            <w:tcBorders>
              <w:bottom w:val="single" w:sz="8" w:color="3E3935"/>
            </w:tcBorders>
          </w:tcPr>
          <w:p>
            <w:pPr>
              <w:spacing w:after="0" w:line="20" w:lineRule="exact"/>
              <w:rPr>
                <w:sz w:val="1"/>
                <w:szCs w:val="1"/>
                <w:color w:val="auto"/>
              </w:rPr>
            </w:pPr>
          </w:p>
        </w:tc>
        <w:tc>
          <w:tcPr>
            <w:tcW w:w="260" w:type="dxa"/>
            <w:vAlign w:val="bottom"/>
            <w:tcBorders>
              <w:bottom w:val="single" w:sz="8" w:color="3E3935"/>
            </w:tcBorders>
          </w:tcPr>
          <w:p>
            <w:pPr>
              <w:spacing w:after="0" w:line="20" w:lineRule="exact"/>
              <w:rPr>
                <w:sz w:val="1"/>
                <w:szCs w:val="1"/>
                <w:color w:val="auto"/>
              </w:rPr>
            </w:pPr>
          </w:p>
        </w:tc>
        <w:tc>
          <w:tcPr>
            <w:tcW w:w="80" w:type="dxa"/>
            <w:vAlign w:val="bottom"/>
            <w:tcBorders>
              <w:bottom w:val="single" w:sz="8" w:color="3E3935"/>
            </w:tcBorders>
          </w:tcPr>
          <w:p>
            <w:pPr>
              <w:spacing w:after="0" w:line="20" w:lineRule="exact"/>
              <w:rPr>
                <w:sz w:val="1"/>
                <w:szCs w:val="1"/>
                <w:color w:val="auto"/>
              </w:rPr>
            </w:pPr>
          </w:p>
        </w:tc>
        <w:tc>
          <w:tcPr>
            <w:tcW w:w="160" w:type="dxa"/>
            <w:vAlign w:val="bottom"/>
            <w:tcBorders>
              <w:bottom w:val="single" w:sz="8" w:color="3E3935"/>
            </w:tcBorders>
          </w:tcPr>
          <w:p>
            <w:pPr>
              <w:spacing w:after="0" w:line="20" w:lineRule="exact"/>
              <w:rPr>
                <w:sz w:val="1"/>
                <w:szCs w:val="1"/>
                <w:color w:val="auto"/>
              </w:rPr>
            </w:pPr>
          </w:p>
        </w:tc>
        <w:tc>
          <w:tcPr>
            <w:tcW w:w="20" w:type="dxa"/>
            <w:vAlign w:val="bottom"/>
            <w:tcBorders>
              <w:bottom w:val="single" w:sz="8" w:color="3E3935"/>
            </w:tcBorders>
          </w:tcPr>
          <w:p>
            <w:pPr>
              <w:spacing w:after="0" w:line="20" w:lineRule="exact"/>
              <w:rPr>
                <w:sz w:val="1"/>
                <w:szCs w:val="1"/>
                <w:color w:val="auto"/>
              </w:rPr>
            </w:pPr>
          </w:p>
        </w:tc>
        <w:tc>
          <w:tcPr>
            <w:tcW w:w="40" w:type="dxa"/>
            <w:vAlign w:val="bottom"/>
            <w:tcBorders>
              <w:bottom w:val="single" w:sz="8" w:color="3E3935"/>
            </w:tcBorders>
          </w:tcPr>
          <w:p>
            <w:pPr>
              <w:spacing w:after="0" w:line="20" w:lineRule="exact"/>
              <w:rPr>
                <w:sz w:val="1"/>
                <w:szCs w:val="1"/>
                <w:color w:val="auto"/>
              </w:rPr>
            </w:pPr>
          </w:p>
        </w:tc>
        <w:tc>
          <w:tcPr>
            <w:tcW w:w="140" w:type="dxa"/>
            <w:vAlign w:val="bottom"/>
            <w:tcBorders>
              <w:bottom w:val="single" w:sz="8" w:color="3E3935"/>
            </w:tcBorders>
          </w:tcPr>
          <w:p>
            <w:pPr>
              <w:spacing w:after="0" w:line="20" w:lineRule="exact"/>
              <w:rPr>
                <w:sz w:val="1"/>
                <w:szCs w:val="1"/>
                <w:color w:val="auto"/>
              </w:rPr>
            </w:pPr>
          </w:p>
        </w:tc>
        <w:tc>
          <w:tcPr>
            <w:tcW w:w="40" w:type="dxa"/>
            <w:vAlign w:val="bottom"/>
            <w:tcBorders>
              <w:bottom w:val="single" w:sz="8" w:color="3E3935"/>
            </w:tcBorders>
          </w:tcPr>
          <w:p>
            <w:pPr>
              <w:spacing w:after="0" w:line="20" w:lineRule="exact"/>
              <w:rPr>
                <w:sz w:val="1"/>
                <w:szCs w:val="1"/>
                <w:color w:val="auto"/>
              </w:rPr>
            </w:pPr>
          </w:p>
        </w:tc>
        <w:tc>
          <w:tcPr>
            <w:tcW w:w="20" w:type="dxa"/>
            <w:vAlign w:val="bottom"/>
            <w:tcBorders>
              <w:bottom w:val="single" w:sz="8" w:color="3E3935"/>
            </w:tcBorders>
          </w:tcPr>
          <w:p>
            <w:pPr>
              <w:spacing w:after="0" w:line="20" w:lineRule="exact"/>
              <w:rPr>
                <w:sz w:val="1"/>
                <w:szCs w:val="1"/>
                <w:color w:val="auto"/>
              </w:rPr>
            </w:pPr>
          </w:p>
        </w:tc>
        <w:tc>
          <w:tcPr>
            <w:tcW w:w="40" w:type="dxa"/>
            <w:vAlign w:val="bottom"/>
            <w:tcBorders>
              <w:bottom w:val="single" w:sz="8" w:color="3E3935"/>
            </w:tcBorders>
          </w:tcPr>
          <w:p>
            <w:pPr>
              <w:spacing w:after="0" w:line="20" w:lineRule="exact"/>
              <w:rPr>
                <w:sz w:val="1"/>
                <w:szCs w:val="1"/>
                <w:color w:val="auto"/>
              </w:rPr>
            </w:pPr>
          </w:p>
        </w:tc>
        <w:tc>
          <w:tcPr>
            <w:tcW w:w="20" w:type="dxa"/>
            <w:vAlign w:val="bottom"/>
            <w:tcBorders>
              <w:bottom w:val="single" w:sz="8" w:color="3E3935"/>
            </w:tcBorders>
          </w:tcPr>
          <w:p>
            <w:pPr>
              <w:spacing w:after="0" w:line="20" w:lineRule="exact"/>
              <w:rPr>
                <w:sz w:val="1"/>
                <w:szCs w:val="1"/>
                <w:color w:val="auto"/>
              </w:rPr>
            </w:pPr>
          </w:p>
        </w:tc>
        <w:tc>
          <w:tcPr>
            <w:tcW w:w="100" w:type="dxa"/>
            <w:vAlign w:val="bottom"/>
            <w:tcBorders>
              <w:bottom w:val="single" w:sz="8" w:color="3E3935"/>
            </w:tcBorders>
          </w:tcPr>
          <w:p>
            <w:pPr>
              <w:spacing w:after="0" w:line="20" w:lineRule="exact"/>
              <w:rPr>
                <w:sz w:val="1"/>
                <w:szCs w:val="1"/>
                <w:color w:val="auto"/>
              </w:rPr>
            </w:pPr>
          </w:p>
        </w:tc>
        <w:tc>
          <w:tcPr>
            <w:tcW w:w="140" w:type="dxa"/>
            <w:vAlign w:val="bottom"/>
            <w:tcBorders>
              <w:bottom w:val="single" w:sz="8" w:color="3E3935"/>
            </w:tcBorders>
          </w:tcPr>
          <w:p>
            <w:pPr>
              <w:spacing w:after="0" w:line="20" w:lineRule="exact"/>
              <w:rPr>
                <w:sz w:val="1"/>
                <w:szCs w:val="1"/>
                <w:color w:val="auto"/>
              </w:rPr>
            </w:pPr>
          </w:p>
        </w:tc>
        <w:tc>
          <w:tcPr>
            <w:tcW w:w="40" w:type="dxa"/>
            <w:vAlign w:val="bottom"/>
            <w:tcBorders>
              <w:bottom w:val="single" w:sz="8" w:color="3E3935"/>
            </w:tcBorders>
          </w:tcPr>
          <w:p>
            <w:pPr>
              <w:spacing w:after="0" w:line="20" w:lineRule="exact"/>
              <w:rPr>
                <w:sz w:val="1"/>
                <w:szCs w:val="1"/>
                <w:color w:val="auto"/>
              </w:rPr>
            </w:pPr>
          </w:p>
        </w:tc>
        <w:tc>
          <w:tcPr>
            <w:tcW w:w="140" w:type="dxa"/>
            <w:vAlign w:val="bottom"/>
            <w:tcBorders>
              <w:bottom w:val="single" w:sz="8" w:color="3E3935"/>
            </w:tcBorders>
          </w:tcPr>
          <w:p>
            <w:pPr>
              <w:spacing w:after="0" w:line="20" w:lineRule="exact"/>
              <w:rPr>
                <w:sz w:val="1"/>
                <w:szCs w:val="1"/>
                <w:color w:val="auto"/>
              </w:rPr>
            </w:pPr>
          </w:p>
        </w:tc>
        <w:tc>
          <w:tcPr>
            <w:tcW w:w="480" w:type="dxa"/>
            <w:vAlign w:val="bottom"/>
            <w:tcBorders>
              <w:bottom w:val="single" w:sz="8" w:color="3E3935"/>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920" w:type="dxa"/>
            <w:vAlign w:val="bottom"/>
            <w:gridSpan w:val="34"/>
          </w:tcPr>
          <w:p>
            <w:pPr>
              <w:spacing w:after="0"/>
              <w:rPr>
                <w:sz w:val="20"/>
                <w:szCs w:val="20"/>
                <w:color w:val="auto"/>
              </w:rPr>
            </w:pPr>
            <w:r>
              <w:rPr>
                <w:rFonts w:ascii="Arial" w:cs="Arial" w:eastAsia="Arial" w:hAnsi="Arial"/>
                <w:sz w:val="18"/>
                <w:szCs w:val="18"/>
                <w:color w:val="0000EE"/>
              </w:rPr>
              <w:t>HELPFUL RESOURCES AND DEFINED TERMS AND</w:t>
            </w:r>
          </w:p>
        </w:tc>
        <w:tc>
          <w:tcPr>
            <w:tcW w:w="480" w:type="dxa"/>
            <w:vAlign w:val="bottom"/>
            <w:vMerge w:val="restart"/>
          </w:tcPr>
          <w:p>
            <w:pPr>
              <w:jc w:val="right"/>
              <w:spacing w:after="0"/>
              <w:rPr>
                <w:sz w:val="20"/>
                <w:szCs w:val="20"/>
                <w:color w:val="auto"/>
              </w:rPr>
            </w:pPr>
            <w:r>
              <w:rPr>
                <w:rFonts w:ascii="Arial" w:cs="Arial" w:eastAsia="Arial" w:hAnsi="Arial"/>
                <w:sz w:val="18"/>
                <w:szCs w:val="18"/>
                <w:i w:val="1"/>
                <w:iCs w:val="1"/>
                <w:color w:val="00C1DE"/>
              </w:rPr>
              <w:t>111</w:t>
            </w:r>
          </w:p>
        </w:tc>
        <w:tc>
          <w:tcPr>
            <w:tcW w:w="0" w:type="dxa"/>
            <w:vAlign w:val="bottom"/>
          </w:tcPr>
          <w:p>
            <w:pPr>
              <w:spacing w:after="0"/>
              <w:rPr>
                <w:sz w:val="1"/>
                <w:szCs w:val="1"/>
                <w:color w:val="auto"/>
              </w:rPr>
            </w:pPr>
          </w:p>
        </w:tc>
      </w:tr>
      <w:tr>
        <w:trPr>
          <w:trHeight w:val="183"/>
        </w:trPr>
        <w:tc>
          <w:tcPr>
            <w:tcW w:w="180" w:type="dxa"/>
            <w:vAlign w:val="bottom"/>
            <w:tcBorders>
              <w:top w:val="single" w:sz="8" w:color="0000EE"/>
            </w:tcBorders>
          </w:tcPr>
          <w:p>
            <w:pPr>
              <w:spacing w:after="0"/>
              <w:rPr>
                <w:sz w:val="15"/>
                <w:szCs w:val="15"/>
                <w:color w:val="auto"/>
              </w:rPr>
            </w:pPr>
          </w:p>
        </w:tc>
        <w:tc>
          <w:tcPr>
            <w:tcW w:w="4200" w:type="dxa"/>
            <w:vAlign w:val="bottom"/>
            <w:tcBorders>
              <w:top w:val="single" w:sz="8" w:color="0000EE"/>
            </w:tcBorders>
            <w:gridSpan w:val="25"/>
          </w:tcPr>
          <w:p>
            <w:pPr>
              <w:spacing w:after="0" w:line="182" w:lineRule="exact"/>
              <w:rPr>
                <w:sz w:val="20"/>
                <w:szCs w:val="20"/>
                <w:color w:val="auto"/>
              </w:rPr>
            </w:pPr>
            <w:r>
              <w:rPr>
                <w:rFonts w:ascii="Arial" w:cs="Arial" w:eastAsia="Arial" w:hAnsi="Arial"/>
                <w:sz w:val="18"/>
                <w:szCs w:val="18"/>
                <w:color w:val="0000EE"/>
              </w:rPr>
              <w:t>COMMONLY USED ACRONYMS</w:t>
            </w:r>
          </w:p>
        </w:tc>
        <w:tc>
          <w:tcPr>
            <w:tcW w:w="10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gridSpan w:val="4"/>
          </w:tcPr>
          <w:p>
            <w:pPr>
              <w:spacing w:after="0"/>
              <w:rPr>
                <w:sz w:val="15"/>
                <w:szCs w:val="15"/>
                <w:color w:val="auto"/>
              </w:rPr>
            </w:pPr>
          </w:p>
        </w:tc>
        <w:tc>
          <w:tcPr>
            <w:tcW w:w="4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80" w:type="dxa"/>
            <w:vAlign w:val="bottom"/>
            <w:tcBorders>
              <w:bottom w:val="single" w:sz="8" w:color="3E3935"/>
            </w:tcBorders>
          </w:tcPr>
          <w:p>
            <w:pPr>
              <w:spacing w:after="0" w:line="20" w:lineRule="exact"/>
              <w:rPr>
                <w:sz w:val="1"/>
                <w:szCs w:val="1"/>
                <w:color w:val="auto"/>
              </w:rPr>
            </w:pPr>
          </w:p>
        </w:tc>
        <w:tc>
          <w:tcPr>
            <w:tcW w:w="460" w:type="dxa"/>
            <w:vAlign w:val="bottom"/>
            <w:tcBorders>
              <w:top w:val="single" w:sz="8" w:color="0000EE"/>
              <w:bottom w:val="single" w:sz="8" w:color="3E3935"/>
            </w:tcBorders>
          </w:tcPr>
          <w:p>
            <w:pPr>
              <w:spacing w:after="0" w:line="20" w:lineRule="exact"/>
              <w:rPr>
                <w:sz w:val="1"/>
                <w:szCs w:val="1"/>
                <w:color w:val="auto"/>
              </w:rPr>
            </w:pPr>
          </w:p>
        </w:tc>
        <w:tc>
          <w:tcPr>
            <w:tcW w:w="360" w:type="dxa"/>
            <w:vAlign w:val="bottom"/>
            <w:tcBorders>
              <w:top w:val="single" w:sz="8" w:color="0000EE"/>
              <w:bottom w:val="single" w:sz="8" w:color="3E3935"/>
            </w:tcBorders>
          </w:tcPr>
          <w:p>
            <w:pPr>
              <w:spacing w:after="0" w:line="20" w:lineRule="exact"/>
              <w:rPr>
                <w:sz w:val="1"/>
                <w:szCs w:val="1"/>
                <w:color w:val="auto"/>
              </w:rPr>
            </w:pPr>
          </w:p>
        </w:tc>
        <w:tc>
          <w:tcPr>
            <w:tcW w:w="40" w:type="dxa"/>
            <w:vAlign w:val="bottom"/>
            <w:tcBorders>
              <w:top w:val="single" w:sz="8" w:color="0000EE"/>
              <w:bottom w:val="single" w:sz="8" w:color="3E3935"/>
            </w:tcBorders>
          </w:tcPr>
          <w:p>
            <w:pPr>
              <w:spacing w:after="0" w:line="20" w:lineRule="exact"/>
              <w:rPr>
                <w:sz w:val="1"/>
                <w:szCs w:val="1"/>
                <w:color w:val="auto"/>
              </w:rPr>
            </w:pPr>
          </w:p>
        </w:tc>
        <w:tc>
          <w:tcPr>
            <w:tcW w:w="180" w:type="dxa"/>
            <w:vAlign w:val="bottom"/>
            <w:tcBorders>
              <w:top w:val="single" w:sz="8" w:color="0000EE"/>
              <w:bottom w:val="single" w:sz="8" w:color="3E3935"/>
            </w:tcBorders>
          </w:tcPr>
          <w:p>
            <w:pPr>
              <w:spacing w:after="0" w:line="20" w:lineRule="exact"/>
              <w:rPr>
                <w:sz w:val="1"/>
                <w:szCs w:val="1"/>
                <w:color w:val="auto"/>
              </w:rPr>
            </w:pPr>
          </w:p>
        </w:tc>
        <w:tc>
          <w:tcPr>
            <w:tcW w:w="120" w:type="dxa"/>
            <w:vAlign w:val="bottom"/>
            <w:tcBorders>
              <w:top w:val="single" w:sz="8" w:color="0000EE"/>
              <w:bottom w:val="single" w:sz="8" w:color="3E3935"/>
            </w:tcBorders>
          </w:tcPr>
          <w:p>
            <w:pPr>
              <w:spacing w:after="0" w:line="20" w:lineRule="exact"/>
              <w:rPr>
                <w:sz w:val="1"/>
                <w:szCs w:val="1"/>
                <w:color w:val="auto"/>
              </w:rPr>
            </w:pPr>
          </w:p>
        </w:tc>
        <w:tc>
          <w:tcPr>
            <w:tcW w:w="640" w:type="dxa"/>
            <w:vAlign w:val="bottom"/>
            <w:tcBorders>
              <w:top w:val="single" w:sz="8" w:color="0000EE"/>
              <w:bottom w:val="single" w:sz="8" w:color="3E3935"/>
            </w:tcBorders>
          </w:tcPr>
          <w:p>
            <w:pPr>
              <w:spacing w:after="0" w:line="20" w:lineRule="exact"/>
              <w:rPr>
                <w:sz w:val="1"/>
                <w:szCs w:val="1"/>
                <w:color w:val="auto"/>
              </w:rPr>
            </w:pPr>
          </w:p>
        </w:tc>
        <w:tc>
          <w:tcPr>
            <w:tcW w:w="380" w:type="dxa"/>
            <w:vAlign w:val="bottom"/>
            <w:tcBorders>
              <w:top w:val="single" w:sz="8" w:color="0000EE"/>
              <w:bottom w:val="single" w:sz="8" w:color="3E3935"/>
            </w:tcBorders>
          </w:tcPr>
          <w:p>
            <w:pPr>
              <w:spacing w:after="0" w:line="20" w:lineRule="exact"/>
              <w:rPr>
                <w:sz w:val="1"/>
                <w:szCs w:val="1"/>
                <w:color w:val="auto"/>
              </w:rPr>
            </w:pPr>
          </w:p>
        </w:tc>
        <w:tc>
          <w:tcPr>
            <w:tcW w:w="100" w:type="dxa"/>
            <w:vAlign w:val="bottom"/>
            <w:tcBorders>
              <w:top w:val="single" w:sz="8" w:color="0000EE"/>
              <w:bottom w:val="single" w:sz="8" w:color="3E3935"/>
            </w:tcBorders>
          </w:tcPr>
          <w:p>
            <w:pPr>
              <w:spacing w:after="0" w:line="20" w:lineRule="exact"/>
              <w:rPr>
                <w:sz w:val="1"/>
                <w:szCs w:val="1"/>
                <w:color w:val="auto"/>
              </w:rPr>
            </w:pPr>
          </w:p>
        </w:tc>
        <w:tc>
          <w:tcPr>
            <w:tcW w:w="340" w:type="dxa"/>
            <w:vAlign w:val="bottom"/>
            <w:tcBorders>
              <w:top w:val="single" w:sz="8" w:color="0000EE"/>
              <w:bottom w:val="single" w:sz="8" w:color="3E3935"/>
            </w:tcBorders>
          </w:tcPr>
          <w:p>
            <w:pPr>
              <w:spacing w:after="0" w:line="20" w:lineRule="exact"/>
              <w:rPr>
                <w:sz w:val="1"/>
                <w:szCs w:val="1"/>
                <w:color w:val="auto"/>
              </w:rPr>
            </w:pPr>
          </w:p>
        </w:tc>
        <w:tc>
          <w:tcPr>
            <w:tcW w:w="60" w:type="dxa"/>
            <w:vAlign w:val="bottom"/>
            <w:tcBorders>
              <w:top w:val="single" w:sz="8" w:color="0000EE"/>
              <w:bottom w:val="single" w:sz="8" w:color="3E3935"/>
            </w:tcBorders>
          </w:tcPr>
          <w:p>
            <w:pPr>
              <w:spacing w:after="0" w:line="20" w:lineRule="exact"/>
              <w:rPr>
                <w:sz w:val="1"/>
                <w:szCs w:val="1"/>
                <w:color w:val="auto"/>
              </w:rPr>
            </w:pPr>
          </w:p>
        </w:tc>
        <w:tc>
          <w:tcPr>
            <w:tcW w:w="140" w:type="dxa"/>
            <w:vAlign w:val="bottom"/>
            <w:tcBorders>
              <w:bottom w:val="single" w:sz="8" w:color="3E3935"/>
            </w:tcBorders>
          </w:tcPr>
          <w:p>
            <w:pPr>
              <w:spacing w:after="0" w:line="20" w:lineRule="exact"/>
              <w:rPr>
                <w:sz w:val="1"/>
                <w:szCs w:val="1"/>
                <w:color w:val="auto"/>
              </w:rPr>
            </w:pPr>
          </w:p>
        </w:tc>
        <w:tc>
          <w:tcPr>
            <w:tcW w:w="60" w:type="dxa"/>
            <w:vAlign w:val="bottom"/>
            <w:tcBorders>
              <w:bottom w:val="single" w:sz="8" w:color="3E3935"/>
            </w:tcBorders>
          </w:tcPr>
          <w:p>
            <w:pPr>
              <w:spacing w:after="0" w:line="20" w:lineRule="exact"/>
              <w:rPr>
                <w:sz w:val="1"/>
                <w:szCs w:val="1"/>
                <w:color w:val="auto"/>
              </w:rPr>
            </w:pPr>
          </w:p>
        </w:tc>
        <w:tc>
          <w:tcPr>
            <w:tcW w:w="180" w:type="dxa"/>
            <w:vAlign w:val="bottom"/>
            <w:tcBorders>
              <w:bottom w:val="single" w:sz="8" w:color="3E3935"/>
            </w:tcBorders>
          </w:tcPr>
          <w:p>
            <w:pPr>
              <w:spacing w:after="0" w:line="20" w:lineRule="exact"/>
              <w:rPr>
                <w:sz w:val="1"/>
                <w:szCs w:val="1"/>
                <w:color w:val="auto"/>
              </w:rPr>
            </w:pPr>
          </w:p>
        </w:tc>
        <w:tc>
          <w:tcPr>
            <w:tcW w:w="40" w:type="dxa"/>
            <w:vAlign w:val="bottom"/>
            <w:tcBorders>
              <w:bottom w:val="single" w:sz="8" w:color="3E3935"/>
            </w:tcBorders>
          </w:tcPr>
          <w:p>
            <w:pPr>
              <w:spacing w:after="0" w:line="20" w:lineRule="exact"/>
              <w:rPr>
                <w:sz w:val="1"/>
                <w:szCs w:val="1"/>
                <w:color w:val="auto"/>
              </w:rPr>
            </w:pPr>
          </w:p>
        </w:tc>
        <w:tc>
          <w:tcPr>
            <w:tcW w:w="60" w:type="dxa"/>
            <w:vAlign w:val="bottom"/>
            <w:tcBorders>
              <w:bottom w:val="single" w:sz="8" w:color="3E3935"/>
            </w:tcBorders>
          </w:tcPr>
          <w:p>
            <w:pPr>
              <w:spacing w:after="0" w:line="20" w:lineRule="exact"/>
              <w:rPr>
                <w:sz w:val="1"/>
                <w:szCs w:val="1"/>
                <w:color w:val="auto"/>
              </w:rPr>
            </w:pPr>
          </w:p>
        </w:tc>
        <w:tc>
          <w:tcPr>
            <w:tcW w:w="20" w:type="dxa"/>
            <w:vAlign w:val="bottom"/>
            <w:tcBorders>
              <w:bottom w:val="single" w:sz="8" w:color="3E3935"/>
            </w:tcBorders>
          </w:tcPr>
          <w:p>
            <w:pPr>
              <w:spacing w:after="0" w:line="20" w:lineRule="exact"/>
              <w:rPr>
                <w:sz w:val="1"/>
                <w:szCs w:val="1"/>
                <w:color w:val="auto"/>
              </w:rPr>
            </w:pPr>
          </w:p>
        </w:tc>
        <w:tc>
          <w:tcPr>
            <w:tcW w:w="40" w:type="dxa"/>
            <w:vAlign w:val="bottom"/>
            <w:tcBorders>
              <w:bottom w:val="single" w:sz="8" w:color="3E3935"/>
            </w:tcBorders>
          </w:tcPr>
          <w:p>
            <w:pPr>
              <w:spacing w:after="0" w:line="20" w:lineRule="exact"/>
              <w:rPr>
                <w:sz w:val="1"/>
                <w:szCs w:val="1"/>
                <w:color w:val="auto"/>
              </w:rPr>
            </w:pPr>
          </w:p>
        </w:tc>
        <w:tc>
          <w:tcPr>
            <w:tcW w:w="200" w:type="dxa"/>
            <w:vAlign w:val="bottom"/>
            <w:tcBorders>
              <w:bottom w:val="single" w:sz="8" w:color="3E3935"/>
            </w:tcBorders>
          </w:tcPr>
          <w:p>
            <w:pPr>
              <w:spacing w:after="0" w:line="20" w:lineRule="exact"/>
              <w:rPr>
                <w:sz w:val="1"/>
                <w:szCs w:val="1"/>
                <w:color w:val="auto"/>
              </w:rPr>
            </w:pPr>
          </w:p>
        </w:tc>
        <w:tc>
          <w:tcPr>
            <w:tcW w:w="80" w:type="dxa"/>
            <w:vAlign w:val="bottom"/>
            <w:tcBorders>
              <w:bottom w:val="single" w:sz="8" w:color="3E3935"/>
            </w:tcBorders>
          </w:tcPr>
          <w:p>
            <w:pPr>
              <w:spacing w:after="0" w:line="20" w:lineRule="exact"/>
              <w:rPr>
                <w:sz w:val="1"/>
                <w:szCs w:val="1"/>
                <w:color w:val="auto"/>
              </w:rPr>
            </w:pPr>
          </w:p>
        </w:tc>
        <w:tc>
          <w:tcPr>
            <w:tcW w:w="260" w:type="dxa"/>
            <w:vAlign w:val="bottom"/>
            <w:tcBorders>
              <w:bottom w:val="single" w:sz="8" w:color="3E3935"/>
            </w:tcBorders>
          </w:tcPr>
          <w:p>
            <w:pPr>
              <w:spacing w:after="0" w:line="20" w:lineRule="exact"/>
              <w:rPr>
                <w:sz w:val="1"/>
                <w:szCs w:val="1"/>
                <w:color w:val="auto"/>
              </w:rPr>
            </w:pPr>
          </w:p>
        </w:tc>
        <w:tc>
          <w:tcPr>
            <w:tcW w:w="80" w:type="dxa"/>
            <w:vAlign w:val="bottom"/>
            <w:tcBorders>
              <w:bottom w:val="single" w:sz="8" w:color="3E3935"/>
            </w:tcBorders>
          </w:tcPr>
          <w:p>
            <w:pPr>
              <w:spacing w:after="0" w:line="20" w:lineRule="exact"/>
              <w:rPr>
                <w:sz w:val="1"/>
                <w:szCs w:val="1"/>
                <w:color w:val="auto"/>
              </w:rPr>
            </w:pPr>
          </w:p>
        </w:tc>
        <w:tc>
          <w:tcPr>
            <w:tcW w:w="160" w:type="dxa"/>
            <w:vAlign w:val="bottom"/>
            <w:tcBorders>
              <w:bottom w:val="single" w:sz="8" w:color="3E3935"/>
            </w:tcBorders>
          </w:tcPr>
          <w:p>
            <w:pPr>
              <w:spacing w:after="0" w:line="20" w:lineRule="exact"/>
              <w:rPr>
                <w:sz w:val="1"/>
                <w:szCs w:val="1"/>
                <w:color w:val="auto"/>
              </w:rPr>
            </w:pPr>
          </w:p>
        </w:tc>
        <w:tc>
          <w:tcPr>
            <w:tcW w:w="20" w:type="dxa"/>
            <w:vAlign w:val="bottom"/>
            <w:tcBorders>
              <w:bottom w:val="single" w:sz="8" w:color="3E3935"/>
            </w:tcBorders>
          </w:tcPr>
          <w:p>
            <w:pPr>
              <w:spacing w:after="0" w:line="20" w:lineRule="exact"/>
              <w:rPr>
                <w:sz w:val="1"/>
                <w:szCs w:val="1"/>
                <w:color w:val="auto"/>
              </w:rPr>
            </w:pPr>
          </w:p>
        </w:tc>
        <w:tc>
          <w:tcPr>
            <w:tcW w:w="40" w:type="dxa"/>
            <w:vAlign w:val="bottom"/>
            <w:tcBorders>
              <w:bottom w:val="single" w:sz="8" w:color="3E3935"/>
            </w:tcBorders>
          </w:tcPr>
          <w:p>
            <w:pPr>
              <w:spacing w:after="0" w:line="20" w:lineRule="exact"/>
              <w:rPr>
                <w:sz w:val="1"/>
                <w:szCs w:val="1"/>
                <w:color w:val="auto"/>
              </w:rPr>
            </w:pPr>
          </w:p>
        </w:tc>
        <w:tc>
          <w:tcPr>
            <w:tcW w:w="140" w:type="dxa"/>
            <w:vAlign w:val="bottom"/>
            <w:tcBorders>
              <w:bottom w:val="single" w:sz="8" w:color="3E3935"/>
            </w:tcBorders>
          </w:tcPr>
          <w:p>
            <w:pPr>
              <w:spacing w:after="0" w:line="20" w:lineRule="exact"/>
              <w:rPr>
                <w:sz w:val="1"/>
                <w:szCs w:val="1"/>
                <w:color w:val="auto"/>
              </w:rPr>
            </w:pPr>
          </w:p>
        </w:tc>
        <w:tc>
          <w:tcPr>
            <w:tcW w:w="40" w:type="dxa"/>
            <w:vAlign w:val="bottom"/>
            <w:tcBorders>
              <w:bottom w:val="single" w:sz="8" w:color="3E3935"/>
            </w:tcBorders>
          </w:tcPr>
          <w:p>
            <w:pPr>
              <w:spacing w:after="0" w:line="20" w:lineRule="exact"/>
              <w:rPr>
                <w:sz w:val="1"/>
                <w:szCs w:val="1"/>
                <w:color w:val="auto"/>
              </w:rPr>
            </w:pPr>
          </w:p>
        </w:tc>
        <w:tc>
          <w:tcPr>
            <w:tcW w:w="20" w:type="dxa"/>
            <w:vAlign w:val="bottom"/>
            <w:tcBorders>
              <w:bottom w:val="single" w:sz="8" w:color="3E3935"/>
            </w:tcBorders>
          </w:tcPr>
          <w:p>
            <w:pPr>
              <w:spacing w:after="0" w:line="20" w:lineRule="exact"/>
              <w:rPr>
                <w:sz w:val="1"/>
                <w:szCs w:val="1"/>
                <w:color w:val="auto"/>
              </w:rPr>
            </w:pPr>
          </w:p>
        </w:tc>
        <w:tc>
          <w:tcPr>
            <w:tcW w:w="40" w:type="dxa"/>
            <w:vAlign w:val="bottom"/>
            <w:tcBorders>
              <w:bottom w:val="single" w:sz="8" w:color="3E3935"/>
            </w:tcBorders>
          </w:tcPr>
          <w:p>
            <w:pPr>
              <w:spacing w:after="0" w:line="20" w:lineRule="exact"/>
              <w:rPr>
                <w:sz w:val="1"/>
                <w:szCs w:val="1"/>
                <w:color w:val="auto"/>
              </w:rPr>
            </w:pPr>
          </w:p>
        </w:tc>
        <w:tc>
          <w:tcPr>
            <w:tcW w:w="20" w:type="dxa"/>
            <w:vAlign w:val="bottom"/>
            <w:tcBorders>
              <w:bottom w:val="single" w:sz="8" w:color="3E3935"/>
            </w:tcBorders>
          </w:tcPr>
          <w:p>
            <w:pPr>
              <w:spacing w:after="0" w:line="20" w:lineRule="exact"/>
              <w:rPr>
                <w:sz w:val="1"/>
                <w:szCs w:val="1"/>
                <w:color w:val="auto"/>
              </w:rPr>
            </w:pPr>
          </w:p>
        </w:tc>
        <w:tc>
          <w:tcPr>
            <w:tcW w:w="100" w:type="dxa"/>
            <w:vAlign w:val="bottom"/>
            <w:tcBorders>
              <w:bottom w:val="single" w:sz="8" w:color="3E3935"/>
            </w:tcBorders>
          </w:tcPr>
          <w:p>
            <w:pPr>
              <w:spacing w:after="0" w:line="20" w:lineRule="exact"/>
              <w:rPr>
                <w:sz w:val="1"/>
                <w:szCs w:val="1"/>
                <w:color w:val="auto"/>
              </w:rPr>
            </w:pPr>
          </w:p>
        </w:tc>
        <w:tc>
          <w:tcPr>
            <w:tcW w:w="140" w:type="dxa"/>
            <w:vAlign w:val="bottom"/>
            <w:tcBorders>
              <w:bottom w:val="single" w:sz="8" w:color="3E3935"/>
            </w:tcBorders>
          </w:tcPr>
          <w:p>
            <w:pPr>
              <w:spacing w:after="0" w:line="20" w:lineRule="exact"/>
              <w:rPr>
                <w:sz w:val="1"/>
                <w:szCs w:val="1"/>
                <w:color w:val="auto"/>
              </w:rPr>
            </w:pPr>
          </w:p>
        </w:tc>
        <w:tc>
          <w:tcPr>
            <w:tcW w:w="40" w:type="dxa"/>
            <w:vAlign w:val="bottom"/>
            <w:tcBorders>
              <w:bottom w:val="single" w:sz="8" w:color="3E3935"/>
            </w:tcBorders>
          </w:tcPr>
          <w:p>
            <w:pPr>
              <w:spacing w:after="0" w:line="20" w:lineRule="exact"/>
              <w:rPr>
                <w:sz w:val="1"/>
                <w:szCs w:val="1"/>
                <w:color w:val="auto"/>
              </w:rPr>
            </w:pPr>
          </w:p>
        </w:tc>
        <w:tc>
          <w:tcPr>
            <w:tcW w:w="140" w:type="dxa"/>
            <w:vAlign w:val="bottom"/>
            <w:tcBorders>
              <w:bottom w:val="single" w:sz="8" w:color="3E3935"/>
            </w:tcBorders>
          </w:tcPr>
          <w:p>
            <w:pPr>
              <w:spacing w:after="0" w:line="20" w:lineRule="exact"/>
              <w:rPr>
                <w:sz w:val="1"/>
                <w:szCs w:val="1"/>
                <w:color w:val="auto"/>
              </w:rPr>
            </w:pPr>
          </w:p>
        </w:tc>
        <w:tc>
          <w:tcPr>
            <w:tcW w:w="480" w:type="dxa"/>
            <w:vAlign w:val="bottom"/>
            <w:tcBorders>
              <w:bottom w:val="single" w:sz="8" w:color="3E3935"/>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920" w:type="dxa"/>
            <w:vAlign w:val="bottom"/>
            <w:gridSpan w:val="34"/>
          </w:tcPr>
          <w:p>
            <w:pPr>
              <w:spacing w:after="0"/>
              <w:rPr>
                <w:sz w:val="20"/>
                <w:szCs w:val="20"/>
                <w:color w:val="auto"/>
              </w:rPr>
            </w:pPr>
            <w:r>
              <w:rPr>
                <w:rFonts w:ascii="Arial" w:cs="Arial" w:eastAsia="Arial" w:hAnsi="Arial"/>
                <w:sz w:val="18"/>
                <w:szCs w:val="18"/>
                <w:color w:val="0000EE"/>
              </w:rPr>
              <w:t>APPENDIX A: NON-GAAP FINANCIAL MEASURES</w:t>
            </w:r>
          </w:p>
        </w:tc>
        <w:tc>
          <w:tcPr>
            <w:tcW w:w="480" w:type="dxa"/>
            <w:vAlign w:val="bottom"/>
          </w:tcPr>
          <w:p>
            <w:pPr>
              <w:jc w:val="right"/>
              <w:spacing w:after="0"/>
              <w:rPr>
                <w:sz w:val="20"/>
                <w:szCs w:val="20"/>
                <w:color w:val="auto"/>
              </w:rPr>
            </w:pPr>
            <w:r>
              <w:rPr>
                <w:rFonts w:ascii="Arial" w:cs="Arial" w:eastAsia="Arial" w:hAnsi="Arial"/>
                <w:sz w:val="18"/>
                <w:szCs w:val="18"/>
                <w:i w:val="1"/>
                <w:iCs w:val="1"/>
                <w:color w:val="00C1DE"/>
              </w:rPr>
              <w:t>A-1</w:t>
            </w:r>
          </w:p>
        </w:tc>
        <w:tc>
          <w:tcPr>
            <w:tcW w:w="0" w:type="dxa"/>
            <w:vAlign w:val="bottom"/>
          </w:tcPr>
          <w:p>
            <w:pPr>
              <w:spacing w:after="0"/>
              <w:rPr>
                <w:sz w:val="1"/>
                <w:szCs w:val="1"/>
                <w:color w:val="auto"/>
              </w:rPr>
            </w:pPr>
          </w:p>
        </w:tc>
      </w:tr>
      <w:tr>
        <w:trPr>
          <w:trHeight w:val="20"/>
        </w:trPr>
        <w:tc>
          <w:tcPr>
            <w:tcW w:w="180" w:type="dxa"/>
            <w:vAlign w:val="bottom"/>
            <w:tcBorders>
              <w:top w:val="single" w:sz="8" w:color="0000EE"/>
              <w:bottom w:val="single" w:sz="8" w:color="3E3935"/>
            </w:tcBorders>
          </w:tcPr>
          <w:p>
            <w:pPr>
              <w:spacing w:after="0" w:line="20" w:lineRule="exact"/>
              <w:rPr>
                <w:sz w:val="1"/>
                <w:szCs w:val="1"/>
                <w:color w:val="auto"/>
              </w:rPr>
            </w:pPr>
          </w:p>
        </w:tc>
        <w:tc>
          <w:tcPr>
            <w:tcW w:w="460" w:type="dxa"/>
            <w:vAlign w:val="bottom"/>
            <w:tcBorders>
              <w:top w:val="single" w:sz="8" w:color="0000EE"/>
              <w:bottom w:val="single" w:sz="8" w:color="3E3935"/>
            </w:tcBorders>
          </w:tcPr>
          <w:p>
            <w:pPr>
              <w:spacing w:after="0" w:line="20" w:lineRule="exact"/>
              <w:rPr>
                <w:sz w:val="1"/>
                <w:szCs w:val="1"/>
                <w:color w:val="auto"/>
              </w:rPr>
            </w:pPr>
          </w:p>
        </w:tc>
        <w:tc>
          <w:tcPr>
            <w:tcW w:w="360" w:type="dxa"/>
            <w:vAlign w:val="bottom"/>
            <w:tcBorders>
              <w:top w:val="single" w:sz="8" w:color="0000EE"/>
              <w:bottom w:val="single" w:sz="8" w:color="3E3935"/>
            </w:tcBorders>
          </w:tcPr>
          <w:p>
            <w:pPr>
              <w:spacing w:after="0" w:line="20" w:lineRule="exact"/>
              <w:rPr>
                <w:sz w:val="1"/>
                <w:szCs w:val="1"/>
                <w:color w:val="auto"/>
              </w:rPr>
            </w:pPr>
          </w:p>
        </w:tc>
        <w:tc>
          <w:tcPr>
            <w:tcW w:w="40" w:type="dxa"/>
            <w:vAlign w:val="bottom"/>
            <w:tcBorders>
              <w:top w:val="single" w:sz="8" w:color="0000EE"/>
              <w:bottom w:val="single" w:sz="8" w:color="3E3935"/>
            </w:tcBorders>
          </w:tcPr>
          <w:p>
            <w:pPr>
              <w:spacing w:after="0" w:line="20" w:lineRule="exact"/>
              <w:rPr>
                <w:sz w:val="1"/>
                <w:szCs w:val="1"/>
                <w:color w:val="auto"/>
              </w:rPr>
            </w:pPr>
          </w:p>
        </w:tc>
        <w:tc>
          <w:tcPr>
            <w:tcW w:w="180" w:type="dxa"/>
            <w:vAlign w:val="bottom"/>
            <w:tcBorders>
              <w:top w:val="single" w:sz="8" w:color="0000EE"/>
              <w:bottom w:val="single" w:sz="8" w:color="3E3935"/>
            </w:tcBorders>
          </w:tcPr>
          <w:p>
            <w:pPr>
              <w:spacing w:after="0" w:line="20" w:lineRule="exact"/>
              <w:rPr>
                <w:sz w:val="1"/>
                <w:szCs w:val="1"/>
                <w:color w:val="auto"/>
              </w:rPr>
            </w:pPr>
          </w:p>
        </w:tc>
        <w:tc>
          <w:tcPr>
            <w:tcW w:w="120" w:type="dxa"/>
            <w:vAlign w:val="bottom"/>
            <w:tcBorders>
              <w:top w:val="single" w:sz="8" w:color="0000EE"/>
              <w:bottom w:val="single" w:sz="8" w:color="3E3935"/>
            </w:tcBorders>
          </w:tcPr>
          <w:p>
            <w:pPr>
              <w:spacing w:after="0" w:line="20" w:lineRule="exact"/>
              <w:rPr>
                <w:sz w:val="1"/>
                <w:szCs w:val="1"/>
                <w:color w:val="auto"/>
              </w:rPr>
            </w:pPr>
          </w:p>
        </w:tc>
        <w:tc>
          <w:tcPr>
            <w:tcW w:w="640" w:type="dxa"/>
            <w:vAlign w:val="bottom"/>
            <w:tcBorders>
              <w:top w:val="single" w:sz="8" w:color="0000EE"/>
              <w:bottom w:val="single" w:sz="8" w:color="3E3935"/>
            </w:tcBorders>
          </w:tcPr>
          <w:p>
            <w:pPr>
              <w:spacing w:after="0" w:line="20" w:lineRule="exact"/>
              <w:rPr>
                <w:sz w:val="1"/>
                <w:szCs w:val="1"/>
                <w:color w:val="auto"/>
              </w:rPr>
            </w:pPr>
          </w:p>
        </w:tc>
        <w:tc>
          <w:tcPr>
            <w:tcW w:w="380" w:type="dxa"/>
            <w:vAlign w:val="bottom"/>
            <w:tcBorders>
              <w:top w:val="single" w:sz="8" w:color="0000EE"/>
              <w:bottom w:val="single" w:sz="8" w:color="3E3935"/>
            </w:tcBorders>
          </w:tcPr>
          <w:p>
            <w:pPr>
              <w:spacing w:after="0" w:line="20" w:lineRule="exact"/>
              <w:rPr>
                <w:sz w:val="1"/>
                <w:szCs w:val="1"/>
                <w:color w:val="auto"/>
              </w:rPr>
            </w:pPr>
          </w:p>
        </w:tc>
        <w:tc>
          <w:tcPr>
            <w:tcW w:w="100" w:type="dxa"/>
            <w:vAlign w:val="bottom"/>
            <w:tcBorders>
              <w:top w:val="single" w:sz="8" w:color="0000EE"/>
              <w:bottom w:val="single" w:sz="8" w:color="3E3935"/>
            </w:tcBorders>
          </w:tcPr>
          <w:p>
            <w:pPr>
              <w:spacing w:after="0" w:line="20" w:lineRule="exact"/>
              <w:rPr>
                <w:sz w:val="1"/>
                <w:szCs w:val="1"/>
                <w:color w:val="auto"/>
              </w:rPr>
            </w:pPr>
          </w:p>
        </w:tc>
        <w:tc>
          <w:tcPr>
            <w:tcW w:w="340" w:type="dxa"/>
            <w:vAlign w:val="bottom"/>
            <w:tcBorders>
              <w:top w:val="single" w:sz="8" w:color="0000EE"/>
              <w:bottom w:val="single" w:sz="8" w:color="3E3935"/>
            </w:tcBorders>
          </w:tcPr>
          <w:p>
            <w:pPr>
              <w:spacing w:after="0" w:line="20" w:lineRule="exact"/>
              <w:rPr>
                <w:sz w:val="1"/>
                <w:szCs w:val="1"/>
                <w:color w:val="auto"/>
              </w:rPr>
            </w:pPr>
          </w:p>
        </w:tc>
        <w:tc>
          <w:tcPr>
            <w:tcW w:w="60" w:type="dxa"/>
            <w:vAlign w:val="bottom"/>
            <w:tcBorders>
              <w:top w:val="single" w:sz="8" w:color="0000EE"/>
              <w:bottom w:val="single" w:sz="8" w:color="3E3935"/>
            </w:tcBorders>
          </w:tcPr>
          <w:p>
            <w:pPr>
              <w:spacing w:after="0" w:line="20" w:lineRule="exact"/>
              <w:rPr>
                <w:sz w:val="1"/>
                <w:szCs w:val="1"/>
                <w:color w:val="auto"/>
              </w:rPr>
            </w:pPr>
          </w:p>
        </w:tc>
        <w:tc>
          <w:tcPr>
            <w:tcW w:w="140" w:type="dxa"/>
            <w:vAlign w:val="bottom"/>
            <w:tcBorders>
              <w:top w:val="single" w:sz="8" w:color="0000EE"/>
              <w:bottom w:val="single" w:sz="8" w:color="3E3935"/>
            </w:tcBorders>
          </w:tcPr>
          <w:p>
            <w:pPr>
              <w:spacing w:after="0" w:line="20" w:lineRule="exact"/>
              <w:rPr>
                <w:sz w:val="1"/>
                <w:szCs w:val="1"/>
                <w:color w:val="auto"/>
              </w:rPr>
            </w:pPr>
          </w:p>
        </w:tc>
        <w:tc>
          <w:tcPr>
            <w:tcW w:w="60" w:type="dxa"/>
            <w:vAlign w:val="bottom"/>
            <w:tcBorders>
              <w:top w:val="single" w:sz="8" w:color="0000EE"/>
              <w:bottom w:val="single" w:sz="8" w:color="3E3935"/>
            </w:tcBorders>
          </w:tcPr>
          <w:p>
            <w:pPr>
              <w:spacing w:after="0" w:line="20" w:lineRule="exact"/>
              <w:rPr>
                <w:sz w:val="1"/>
                <w:szCs w:val="1"/>
                <w:color w:val="auto"/>
              </w:rPr>
            </w:pPr>
          </w:p>
        </w:tc>
        <w:tc>
          <w:tcPr>
            <w:tcW w:w="180" w:type="dxa"/>
            <w:vAlign w:val="bottom"/>
            <w:tcBorders>
              <w:top w:val="single" w:sz="8" w:color="0000EE"/>
              <w:bottom w:val="single" w:sz="8" w:color="3E3935"/>
            </w:tcBorders>
          </w:tcPr>
          <w:p>
            <w:pPr>
              <w:spacing w:after="0" w:line="20" w:lineRule="exact"/>
              <w:rPr>
                <w:sz w:val="1"/>
                <w:szCs w:val="1"/>
                <w:color w:val="auto"/>
              </w:rPr>
            </w:pPr>
          </w:p>
        </w:tc>
        <w:tc>
          <w:tcPr>
            <w:tcW w:w="40" w:type="dxa"/>
            <w:vAlign w:val="bottom"/>
            <w:tcBorders>
              <w:top w:val="single" w:sz="8" w:color="0000EE"/>
              <w:bottom w:val="single" w:sz="8" w:color="3E3935"/>
            </w:tcBorders>
          </w:tcPr>
          <w:p>
            <w:pPr>
              <w:spacing w:after="0" w:line="20" w:lineRule="exact"/>
              <w:rPr>
                <w:sz w:val="1"/>
                <w:szCs w:val="1"/>
                <w:color w:val="auto"/>
              </w:rPr>
            </w:pPr>
          </w:p>
        </w:tc>
        <w:tc>
          <w:tcPr>
            <w:tcW w:w="60" w:type="dxa"/>
            <w:vAlign w:val="bottom"/>
            <w:tcBorders>
              <w:top w:val="single" w:sz="8" w:color="0000EE"/>
              <w:bottom w:val="single" w:sz="8" w:color="3E3935"/>
            </w:tcBorders>
          </w:tcPr>
          <w:p>
            <w:pPr>
              <w:spacing w:after="0" w:line="20" w:lineRule="exact"/>
              <w:rPr>
                <w:sz w:val="1"/>
                <w:szCs w:val="1"/>
                <w:color w:val="auto"/>
              </w:rPr>
            </w:pPr>
          </w:p>
        </w:tc>
        <w:tc>
          <w:tcPr>
            <w:tcW w:w="20" w:type="dxa"/>
            <w:vAlign w:val="bottom"/>
            <w:tcBorders>
              <w:top w:val="single" w:sz="8" w:color="0000EE"/>
              <w:bottom w:val="single" w:sz="8" w:color="3E3935"/>
            </w:tcBorders>
          </w:tcPr>
          <w:p>
            <w:pPr>
              <w:spacing w:after="0" w:line="20" w:lineRule="exact"/>
              <w:rPr>
                <w:sz w:val="1"/>
                <w:szCs w:val="1"/>
                <w:color w:val="auto"/>
              </w:rPr>
            </w:pPr>
          </w:p>
        </w:tc>
        <w:tc>
          <w:tcPr>
            <w:tcW w:w="40" w:type="dxa"/>
            <w:vAlign w:val="bottom"/>
            <w:tcBorders>
              <w:top w:val="single" w:sz="8" w:color="0000EE"/>
              <w:bottom w:val="single" w:sz="8" w:color="3E3935"/>
            </w:tcBorders>
          </w:tcPr>
          <w:p>
            <w:pPr>
              <w:spacing w:after="0" w:line="20" w:lineRule="exact"/>
              <w:rPr>
                <w:sz w:val="1"/>
                <w:szCs w:val="1"/>
                <w:color w:val="auto"/>
              </w:rPr>
            </w:pPr>
          </w:p>
        </w:tc>
        <w:tc>
          <w:tcPr>
            <w:tcW w:w="200" w:type="dxa"/>
            <w:vAlign w:val="bottom"/>
            <w:tcBorders>
              <w:top w:val="single" w:sz="8" w:color="0000EE"/>
              <w:bottom w:val="single" w:sz="8" w:color="3E3935"/>
            </w:tcBorders>
          </w:tcPr>
          <w:p>
            <w:pPr>
              <w:spacing w:after="0" w:line="20" w:lineRule="exact"/>
              <w:rPr>
                <w:sz w:val="1"/>
                <w:szCs w:val="1"/>
                <w:color w:val="auto"/>
              </w:rPr>
            </w:pPr>
          </w:p>
        </w:tc>
        <w:tc>
          <w:tcPr>
            <w:tcW w:w="80" w:type="dxa"/>
            <w:vAlign w:val="bottom"/>
            <w:tcBorders>
              <w:top w:val="single" w:sz="8" w:color="0000EE"/>
              <w:bottom w:val="single" w:sz="8" w:color="3E3935"/>
            </w:tcBorders>
          </w:tcPr>
          <w:p>
            <w:pPr>
              <w:spacing w:after="0" w:line="20" w:lineRule="exact"/>
              <w:rPr>
                <w:sz w:val="1"/>
                <w:szCs w:val="1"/>
                <w:color w:val="auto"/>
              </w:rPr>
            </w:pPr>
          </w:p>
        </w:tc>
        <w:tc>
          <w:tcPr>
            <w:tcW w:w="260" w:type="dxa"/>
            <w:vAlign w:val="bottom"/>
            <w:tcBorders>
              <w:top w:val="single" w:sz="8" w:color="0000EE"/>
              <w:bottom w:val="single" w:sz="8" w:color="3E3935"/>
            </w:tcBorders>
          </w:tcPr>
          <w:p>
            <w:pPr>
              <w:spacing w:after="0" w:line="20" w:lineRule="exact"/>
              <w:rPr>
                <w:sz w:val="1"/>
                <w:szCs w:val="1"/>
                <w:color w:val="auto"/>
              </w:rPr>
            </w:pPr>
          </w:p>
        </w:tc>
        <w:tc>
          <w:tcPr>
            <w:tcW w:w="80" w:type="dxa"/>
            <w:vAlign w:val="bottom"/>
            <w:tcBorders>
              <w:top w:val="single" w:sz="8" w:color="0000EE"/>
              <w:bottom w:val="single" w:sz="8" w:color="3E3935"/>
            </w:tcBorders>
          </w:tcPr>
          <w:p>
            <w:pPr>
              <w:spacing w:after="0" w:line="20" w:lineRule="exact"/>
              <w:rPr>
                <w:sz w:val="1"/>
                <w:szCs w:val="1"/>
                <w:color w:val="auto"/>
              </w:rPr>
            </w:pPr>
          </w:p>
        </w:tc>
        <w:tc>
          <w:tcPr>
            <w:tcW w:w="160" w:type="dxa"/>
            <w:vAlign w:val="bottom"/>
            <w:tcBorders>
              <w:top w:val="single" w:sz="8" w:color="0000EE"/>
              <w:bottom w:val="single" w:sz="8" w:color="3E3935"/>
            </w:tcBorders>
          </w:tcPr>
          <w:p>
            <w:pPr>
              <w:spacing w:after="0" w:line="20" w:lineRule="exact"/>
              <w:rPr>
                <w:sz w:val="1"/>
                <w:szCs w:val="1"/>
                <w:color w:val="auto"/>
              </w:rPr>
            </w:pPr>
          </w:p>
        </w:tc>
        <w:tc>
          <w:tcPr>
            <w:tcW w:w="20" w:type="dxa"/>
            <w:vAlign w:val="bottom"/>
            <w:tcBorders>
              <w:bottom w:val="single" w:sz="8" w:color="3E3935"/>
            </w:tcBorders>
          </w:tcPr>
          <w:p>
            <w:pPr>
              <w:spacing w:after="0" w:line="20" w:lineRule="exact"/>
              <w:rPr>
                <w:sz w:val="1"/>
                <w:szCs w:val="1"/>
                <w:color w:val="auto"/>
              </w:rPr>
            </w:pPr>
          </w:p>
        </w:tc>
        <w:tc>
          <w:tcPr>
            <w:tcW w:w="40" w:type="dxa"/>
            <w:vAlign w:val="bottom"/>
            <w:tcBorders>
              <w:bottom w:val="single" w:sz="8" w:color="3E3935"/>
            </w:tcBorders>
          </w:tcPr>
          <w:p>
            <w:pPr>
              <w:spacing w:after="0" w:line="20" w:lineRule="exact"/>
              <w:rPr>
                <w:sz w:val="1"/>
                <w:szCs w:val="1"/>
                <w:color w:val="auto"/>
              </w:rPr>
            </w:pPr>
          </w:p>
        </w:tc>
        <w:tc>
          <w:tcPr>
            <w:tcW w:w="140" w:type="dxa"/>
            <w:vAlign w:val="bottom"/>
            <w:tcBorders>
              <w:bottom w:val="single" w:sz="8" w:color="3E3935"/>
            </w:tcBorders>
          </w:tcPr>
          <w:p>
            <w:pPr>
              <w:spacing w:after="0" w:line="20" w:lineRule="exact"/>
              <w:rPr>
                <w:sz w:val="1"/>
                <w:szCs w:val="1"/>
                <w:color w:val="auto"/>
              </w:rPr>
            </w:pPr>
          </w:p>
        </w:tc>
        <w:tc>
          <w:tcPr>
            <w:tcW w:w="40" w:type="dxa"/>
            <w:vAlign w:val="bottom"/>
            <w:tcBorders>
              <w:bottom w:val="single" w:sz="8" w:color="3E3935"/>
            </w:tcBorders>
          </w:tcPr>
          <w:p>
            <w:pPr>
              <w:spacing w:after="0" w:line="20" w:lineRule="exact"/>
              <w:rPr>
                <w:sz w:val="1"/>
                <w:szCs w:val="1"/>
                <w:color w:val="auto"/>
              </w:rPr>
            </w:pPr>
          </w:p>
        </w:tc>
        <w:tc>
          <w:tcPr>
            <w:tcW w:w="20" w:type="dxa"/>
            <w:vAlign w:val="bottom"/>
            <w:tcBorders>
              <w:bottom w:val="single" w:sz="8" w:color="3E3935"/>
            </w:tcBorders>
          </w:tcPr>
          <w:p>
            <w:pPr>
              <w:spacing w:after="0" w:line="20" w:lineRule="exact"/>
              <w:rPr>
                <w:sz w:val="1"/>
                <w:szCs w:val="1"/>
                <w:color w:val="auto"/>
              </w:rPr>
            </w:pPr>
          </w:p>
        </w:tc>
        <w:tc>
          <w:tcPr>
            <w:tcW w:w="40" w:type="dxa"/>
            <w:vAlign w:val="bottom"/>
            <w:tcBorders>
              <w:bottom w:val="single" w:sz="8" w:color="3E3935"/>
            </w:tcBorders>
          </w:tcPr>
          <w:p>
            <w:pPr>
              <w:spacing w:after="0" w:line="20" w:lineRule="exact"/>
              <w:rPr>
                <w:sz w:val="1"/>
                <w:szCs w:val="1"/>
                <w:color w:val="auto"/>
              </w:rPr>
            </w:pPr>
          </w:p>
        </w:tc>
        <w:tc>
          <w:tcPr>
            <w:tcW w:w="20" w:type="dxa"/>
            <w:vAlign w:val="bottom"/>
            <w:tcBorders>
              <w:bottom w:val="single" w:sz="8" w:color="3E3935"/>
            </w:tcBorders>
          </w:tcPr>
          <w:p>
            <w:pPr>
              <w:spacing w:after="0" w:line="20" w:lineRule="exact"/>
              <w:rPr>
                <w:sz w:val="1"/>
                <w:szCs w:val="1"/>
                <w:color w:val="auto"/>
              </w:rPr>
            </w:pPr>
          </w:p>
        </w:tc>
        <w:tc>
          <w:tcPr>
            <w:tcW w:w="100" w:type="dxa"/>
            <w:vAlign w:val="bottom"/>
            <w:tcBorders>
              <w:bottom w:val="single" w:sz="8" w:color="3E3935"/>
            </w:tcBorders>
          </w:tcPr>
          <w:p>
            <w:pPr>
              <w:spacing w:after="0" w:line="20" w:lineRule="exact"/>
              <w:rPr>
                <w:sz w:val="1"/>
                <w:szCs w:val="1"/>
                <w:color w:val="auto"/>
              </w:rPr>
            </w:pPr>
          </w:p>
        </w:tc>
        <w:tc>
          <w:tcPr>
            <w:tcW w:w="140" w:type="dxa"/>
            <w:vAlign w:val="bottom"/>
            <w:tcBorders>
              <w:bottom w:val="single" w:sz="8" w:color="3E3935"/>
            </w:tcBorders>
          </w:tcPr>
          <w:p>
            <w:pPr>
              <w:spacing w:after="0" w:line="20" w:lineRule="exact"/>
              <w:rPr>
                <w:sz w:val="1"/>
                <w:szCs w:val="1"/>
                <w:color w:val="auto"/>
              </w:rPr>
            </w:pPr>
          </w:p>
        </w:tc>
        <w:tc>
          <w:tcPr>
            <w:tcW w:w="40" w:type="dxa"/>
            <w:vAlign w:val="bottom"/>
            <w:tcBorders>
              <w:bottom w:val="single" w:sz="8" w:color="3E3935"/>
            </w:tcBorders>
          </w:tcPr>
          <w:p>
            <w:pPr>
              <w:spacing w:after="0" w:line="20" w:lineRule="exact"/>
              <w:rPr>
                <w:sz w:val="1"/>
                <w:szCs w:val="1"/>
                <w:color w:val="auto"/>
              </w:rPr>
            </w:pPr>
          </w:p>
        </w:tc>
        <w:tc>
          <w:tcPr>
            <w:tcW w:w="140" w:type="dxa"/>
            <w:vAlign w:val="bottom"/>
            <w:tcBorders>
              <w:bottom w:val="single" w:sz="8" w:color="3E3935"/>
            </w:tcBorders>
          </w:tcPr>
          <w:p>
            <w:pPr>
              <w:spacing w:after="0" w:line="20" w:lineRule="exact"/>
              <w:rPr>
                <w:sz w:val="1"/>
                <w:szCs w:val="1"/>
                <w:color w:val="auto"/>
              </w:rPr>
            </w:pPr>
          </w:p>
        </w:tc>
        <w:tc>
          <w:tcPr>
            <w:tcW w:w="480" w:type="dxa"/>
            <w:vAlign w:val="bottom"/>
            <w:tcBorders>
              <w:bottom w:val="single" w:sz="8" w:color="3E3935"/>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920" w:type="dxa"/>
            <w:vAlign w:val="bottom"/>
            <w:gridSpan w:val="34"/>
          </w:tcPr>
          <w:p>
            <w:pPr>
              <w:spacing w:after="0"/>
              <w:rPr>
                <w:sz w:val="20"/>
                <w:szCs w:val="20"/>
                <w:color w:val="auto"/>
              </w:rPr>
            </w:pPr>
            <w:r>
              <w:rPr>
                <w:rFonts w:ascii="Arial" w:cs="Arial" w:eastAsia="Arial" w:hAnsi="Arial"/>
                <w:sz w:val="18"/>
                <w:szCs w:val="18"/>
                <w:color w:val="0000EE"/>
              </w:rPr>
              <w:t>APPENDIX B: AMENDMENT NO. 1 TO THE GENERAL</w:t>
            </w: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180" w:type="dxa"/>
            <w:vAlign w:val="bottom"/>
            <w:tcBorders>
              <w:top w:val="single" w:sz="8" w:color="0000EE"/>
            </w:tcBorders>
          </w:tcPr>
          <w:p>
            <w:pPr>
              <w:spacing w:after="0"/>
              <w:rPr>
                <w:sz w:val="15"/>
                <w:szCs w:val="15"/>
                <w:color w:val="auto"/>
              </w:rPr>
            </w:pPr>
          </w:p>
        </w:tc>
        <w:tc>
          <w:tcPr>
            <w:tcW w:w="4300" w:type="dxa"/>
            <w:vAlign w:val="bottom"/>
            <w:tcBorders>
              <w:top w:val="single" w:sz="8" w:color="0000EE"/>
              <w:bottom w:val="single" w:sz="8" w:color="0000EE"/>
            </w:tcBorders>
            <w:gridSpan w:val="28"/>
          </w:tcPr>
          <w:p>
            <w:pPr>
              <w:spacing w:after="0" w:line="182" w:lineRule="exact"/>
              <w:rPr>
                <w:sz w:val="20"/>
                <w:szCs w:val="20"/>
                <w:color w:val="auto"/>
              </w:rPr>
            </w:pPr>
            <w:r>
              <w:rPr>
                <w:rFonts w:ascii="Arial" w:cs="Arial" w:eastAsia="Arial" w:hAnsi="Arial"/>
                <w:sz w:val="18"/>
                <w:szCs w:val="18"/>
                <w:color w:val="0000EE"/>
                <w:w w:val="98"/>
              </w:rPr>
              <w:t>MOTORS COMPANY 2020 LONG-TERM INCENTIVE</w:t>
            </w:r>
          </w:p>
        </w:tc>
        <w:tc>
          <w:tcPr>
            <w:tcW w:w="20" w:type="dxa"/>
            <w:vAlign w:val="bottom"/>
            <w:tcBorders>
              <w:bottom w:val="single" w:sz="8" w:color="0000EE"/>
            </w:tcBorders>
          </w:tcPr>
          <w:p>
            <w:pPr>
              <w:spacing w:after="0"/>
              <w:rPr>
                <w:sz w:val="15"/>
                <w:szCs w:val="15"/>
                <w:color w:val="auto"/>
              </w:rPr>
            </w:pPr>
          </w:p>
        </w:tc>
        <w:tc>
          <w:tcPr>
            <w:tcW w:w="420" w:type="dxa"/>
            <w:vAlign w:val="bottom"/>
            <w:gridSpan w:val="4"/>
          </w:tcPr>
          <w:p>
            <w:pPr>
              <w:spacing w:after="0"/>
              <w:rPr>
                <w:sz w:val="15"/>
                <w:szCs w:val="15"/>
                <w:color w:val="auto"/>
              </w:rPr>
            </w:pPr>
          </w:p>
        </w:tc>
        <w:tc>
          <w:tcPr>
            <w:tcW w:w="480" w:type="dxa"/>
            <w:vAlign w:val="bottom"/>
            <w:vMerge w:val="restart"/>
          </w:tcPr>
          <w:p>
            <w:pPr>
              <w:jc w:val="right"/>
              <w:spacing w:after="0"/>
              <w:rPr>
                <w:sz w:val="20"/>
                <w:szCs w:val="20"/>
                <w:color w:val="auto"/>
              </w:rPr>
            </w:pPr>
            <w:r>
              <w:rPr>
                <w:rFonts w:ascii="Arial" w:cs="Arial" w:eastAsia="Arial" w:hAnsi="Arial"/>
                <w:sz w:val="18"/>
                <w:szCs w:val="18"/>
                <w:i w:val="1"/>
                <w:iCs w:val="1"/>
                <w:color w:val="00C1DE"/>
              </w:rPr>
              <w:t>B-1</w:t>
            </w:r>
          </w:p>
        </w:tc>
        <w:tc>
          <w:tcPr>
            <w:tcW w:w="0" w:type="dxa"/>
            <w:vAlign w:val="bottom"/>
          </w:tcPr>
          <w:p>
            <w:pPr>
              <w:spacing w:after="0"/>
              <w:rPr>
                <w:sz w:val="1"/>
                <w:szCs w:val="1"/>
                <w:color w:val="auto"/>
              </w:rPr>
            </w:pPr>
          </w:p>
        </w:tc>
      </w:tr>
      <w:tr>
        <w:trPr>
          <w:trHeight w:val="183"/>
        </w:trPr>
        <w:tc>
          <w:tcPr>
            <w:tcW w:w="180" w:type="dxa"/>
            <w:vAlign w:val="bottom"/>
          </w:tcPr>
          <w:p>
            <w:pPr>
              <w:spacing w:after="0"/>
              <w:rPr>
                <w:sz w:val="15"/>
                <w:szCs w:val="15"/>
                <w:color w:val="auto"/>
              </w:rPr>
            </w:pPr>
          </w:p>
        </w:tc>
        <w:tc>
          <w:tcPr>
            <w:tcW w:w="4320" w:type="dxa"/>
            <w:vAlign w:val="bottom"/>
            <w:gridSpan w:val="29"/>
          </w:tcPr>
          <w:p>
            <w:pPr>
              <w:spacing w:after="0" w:line="182" w:lineRule="exact"/>
              <w:rPr>
                <w:sz w:val="20"/>
                <w:szCs w:val="20"/>
                <w:color w:val="auto"/>
              </w:rPr>
            </w:pPr>
            <w:r>
              <w:rPr>
                <w:rFonts w:ascii="Arial" w:cs="Arial" w:eastAsia="Arial" w:hAnsi="Arial"/>
                <w:sz w:val="18"/>
                <w:szCs w:val="18"/>
                <w:color w:val="0000EE"/>
              </w:rPr>
              <w:t>PLAN</w:t>
            </w:r>
          </w:p>
        </w:tc>
        <w:tc>
          <w:tcPr>
            <w:tcW w:w="420" w:type="dxa"/>
            <w:vAlign w:val="bottom"/>
            <w:gridSpan w:val="4"/>
          </w:tcPr>
          <w:p>
            <w:pPr>
              <w:spacing w:after="0"/>
              <w:rPr>
                <w:sz w:val="15"/>
                <w:szCs w:val="15"/>
                <w:color w:val="auto"/>
              </w:rPr>
            </w:pPr>
          </w:p>
        </w:tc>
        <w:tc>
          <w:tcPr>
            <w:tcW w:w="4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80" w:type="dxa"/>
            <w:vAlign w:val="bottom"/>
            <w:tcBorders>
              <w:bottom w:val="single" w:sz="8" w:color="3E3935"/>
            </w:tcBorders>
          </w:tcPr>
          <w:p>
            <w:pPr>
              <w:spacing w:after="0" w:line="20" w:lineRule="exact"/>
              <w:rPr>
                <w:sz w:val="1"/>
                <w:szCs w:val="1"/>
                <w:color w:val="auto"/>
              </w:rPr>
            </w:pPr>
          </w:p>
        </w:tc>
        <w:tc>
          <w:tcPr>
            <w:tcW w:w="460" w:type="dxa"/>
            <w:vAlign w:val="bottom"/>
            <w:tcBorders>
              <w:top w:val="single" w:sz="8" w:color="0000EE"/>
              <w:bottom w:val="single" w:sz="8" w:color="3E3935"/>
            </w:tcBorders>
          </w:tcPr>
          <w:p>
            <w:pPr>
              <w:spacing w:after="0" w:line="20" w:lineRule="exact"/>
              <w:rPr>
                <w:sz w:val="1"/>
                <w:szCs w:val="1"/>
                <w:color w:val="auto"/>
              </w:rPr>
            </w:pPr>
          </w:p>
        </w:tc>
        <w:tc>
          <w:tcPr>
            <w:tcW w:w="360" w:type="dxa"/>
            <w:vAlign w:val="bottom"/>
            <w:tcBorders>
              <w:bottom w:val="single" w:sz="8" w:color="3E3935"/>
            </w:tcBorders>
          </w:tcPr>
          <w:p>
            <w:pPr>
              <w:spacing w:after="0" w:line="20" w:lineRule="exact"/>
              <w:rPr>
                <w:sz w:val="1"/>
                <w:szCs w:val="1"/>
                <w:color w:val="auto"/>
              </w:rPr>
            </w:pPr>
          </w:p>
        </w:tc>
        <w:tc>
          <w:tcPr>
            <w:tcW w:w="40" w:type="dxa"/>
            <w:vAlign w:val="bottom"/>
            <w:tcBorders>
              <w:bottom w:val="single" w:sz="8" w:color="3E3935"/>
            </w:tcBorders>
          </w:tcPr>
          <w:p>
            <w:pPr>
              <w:spacing w:after="0" w:line="20" w:lineRule="exact"/>
              <w:rPr>
                <w:sz w:val="1"/>
                <w:szCs w:val="1"/>
                <w:color w:val="auto"/>
              </w:rPr>
            </w:pPr>
          </w:p>
        </w:tc>
        <w:tc>
          <w:tcPr>
            <w:tcW w:w="180" w:type="dxa"/>
            <w:vAlign w:val="bottom"/>
            <w:tcBorders>
              <w:bottom w:val="single" w:sz="8" w:color="3E3935"/>
            </w:tcBorders>
          </w:tcPr>
          <w:p>
            <w:pPr>
              <w:spacing w:after="0" w:line="20" w:lineRule="exact"/>
              <w:rPr>
                <w:sz w:val="1"/>
                <w:szCs w:val="1"/>
                <w:color w:val="auto"/>
              </w:rPr>
            </w:pPr>
          </w:p>
        </w:tc>
        <w:tc>
          <w:tcPr>
            <w:tcW w:w="120" w:type="dxa"/>
            <w:vAlign w:val="bottom"/>
            <w:tcBorders>
              <w:bottom w:val="single" w:sz="8" w:color="3E3935"/>
            </w:tcBorders>
          </w:tcPr>
          <w:p>
            <w:pPr>
              <w:spacing w:after="0" w:line="20" w:lineRule="exact"/>
              <w:rPr>
                <w:sz w:val="1"/>
                <w:szCs w:val="1"/>
                <w:color w:val="auto"/>
              </w:rPr>
            </w:pPr>
          </w:p>
        </w:tc>
        <w:tc>
          <w:tcPr>
            <w:tcW w:w="640" w:type="dxa"/>
            <w:vAlign w:val="bottom"/>
            <w:tcBorders>
              <w:bottom w:val="single" w:sz="8" w:color="3E3935"/>
            </w:tcBorders>
          </w:tcPr>
          <w:p>
            <w:pPr>
              <w:spacing w:after="0" w:line="20" w:lineRule="exact"/>
              <w:rPr>
                <w:sz w:val="1"/>
                <w:szCs w:val="1"/>
                <w:color w:val="auto"/>
              </w:rPr>
            </w:pPr>
          </w:p>
        </w:tc>
        <w:tc>
          <w:tcPr>
            <w:tcW w:w="380" w:type="dxa"/>
            <w:vAlign w:val="bottom"/>
            <w:tcBorders>
              <w:bottom w:val="single" w:sz="8" w:color="3E3935"/>
            </w:tcBorders>
          </w:tcPr>
          <w:p>
            <w:pPr>
              <w:spacing w:after="0" w:line="20" w:lineRule="exact"/>
              <w:rPr>
                <w:sz w:val="1"/>
                <w:szCs w:val="1"/>
                <w:color w:val="auto"/>
              </w:rPr>
            </w:pPr>
          </w:p>
        </w:tc>
        <w:tc>
          <w:tcPr>
            <w:tcW w:w="100" w:type="dxa"/>
            <w:vAlign w:val="bottom"/>
            <w:tcBorders>
              <w:bottom w:val="single" w:sz="8" w:color="3E3935"/>
            </w:tcBorders>
          </w:tcPr>
          <w:p>
            <w:pPr>
              <w:spacing w:after="0" w:line="20" w:lineRule="exact"/>
              <w:rPr>
                <w:sz w:val="1"/>
                <w:szCs w:val="1"/>
                <w:color w:val="auto"/>
              </w:rPr>
            </w:pPr>
          </w:p>
        </w:tc>
        <w:tc>
          <w:tcPr>
            <w:tcW w:w="340" w:type="dxa"/>
            <w:vAlign w:val="bottom"/>
            <w:tcBorders>
              <w:bottom w:val="single" w:sz="8" w:color="3E3935"/>
            </w:tcBorders>
          </w:tcPr>
          <w:p>
            <w:pPr>
              <w:spacing w:after="0" w:line="20" w:lineRule="exact"/>
              <w:rPr>
                <w:sz w:val="1"/>
                <w:szCs w:val="1"/>
                <w:color w:val="auto"/>
              </w:rPr>
            </w:pPr>
          </w:p>
        </w:tc>
        <w:tc>
          <w:tcPr>
            <w:tcW w:w="60" w:type="dxa"/>
            <w:vAlign w:val="bottom"/>
            <w:tcBorders>
              <w:bottom w:val="single" w:sz="8" w:color="3E3935"/>
            </w:tcBorders>
          </w:tcPr>
          <w:p>
            <w:pPr>
              <w:spacing w:after="0" w:line="20" w:lineRule="exact"/>
              <w:rPr>
                <w:sz w:val="1"/>
                <w:szCs w:val="1"/>
                <w:color w:val="auto"/>
              </w:rPr>
            </w:pPr>
          </w:p>
        </w:tc>
        <w:tc>
          <w:tcPr>
            <w:tcW w:w="140" w:type="dxa"/>
            <w:vAlign w:val="bottom"/>
            <w:tcBorders>
              <w:bottom w:val="single" w:sz="8" w:color="3E3935"/>
            </w:tcBorders>
          </w:tcPr>
          <w:p>
            <w:pPr>
              <w:spacing w:after="0" w:line="20" w:lineRule="exact"/>
              <w:rPr>
                <w:sz w:val="1"/>
                <w:szCs w:val="1"/>
                <w:color w:val="auto"/>
              </w:rPr>
            </w:pPr>
          </w:p>
        </w:tc>
        <w:tc>
          <w:tcPr>
            <w:tcW w:w="60" w:type="dxa"/>
            <w:vAlign w:val="bottom"/>
            <w:tcBorders>
              <w:bottom w:val="single" w:sz="8" w:color="3E3935"/>
            </w:tcBorders>
          </w:tcPr>
          <w:p>
            <w:pPr>
              <w:spacing w:after="0" w:line="20" w:lineRule="exact"/>
              <w:rPr>
                <w:sz w:val="1"/>
                <w:szCs w:val="1"/>
                <w:color w:val="auto"/>
              </w:rPr>
            </w:pPr>
          </w:p>
        </w:tc>
        <w:tc>
          <w:tcPr>
            <w:tcW w:w="180" w:type="dxa"/>
            <w:vAlign w:val="bottom"/>
            <w:tcBorders>
              <w:bottom w:val="single" w:sz="8" w:color="3E3935"/>
            </w:tcBorders>
          </w:tcPr>
          <w:p>
            <w:pPr>
              <w:spacing w:after="0" w:line="20" w:lineRule="exact"/>
              <w:rPr>
                <w:sz w:val="1"/>
                <w:szCs w:val="1"/>
                <w:color w:val="auto"/>
              </w:rPr>
            </w:pPr>
          </w:p>
        </w:tc>
        <w:tc>
          <w:tcPr>
            <w:tcW w:w="40" w:type="dxa"/>
            <w:vAlign w:val="bottom"/>
            <w:tcBorders>
              <w:bottom w:val="single" w:sz="8" w:color="3E3935"/>
            </w:tcBorders>
          </w:tcPr>
          <w:p>
            <w:pPr>
              <w:spacing w:after="0" w:line="20" w:lineRule="exact"/>
              <w:rPr>
                <w:sz w:val="1"/>
                <w:szCs w:val="1"/>
                <w:color w:val="auto"/>
              </w:rPr>
            </w:pPr>
          </w:p>
        </w:tc>
        <w:tc>
          <w:tcPr>
            <w:tcW w:w="60" w:type="dxa"/>
            <w:vAlign w:val="bottom"/>
            <w:tcBorders>
              <w:bottom w:val="single" w:sz="8" w:color="3E3935"/>
            </w:tcBorders>
          </w:tcPr>
          <w:p>
            <w:pPr>
              <w:spacing w:after="0" w:line="20" w:lineRule="exact"/>
              <w:rPr>
                <w:sz w:val="1"/>
                <w:szCs w:val="1"/>
                <w:color w:val="auto"/>
              </w:rPr>
            </w:pPr>
          </w:p>
        </w:tc>
        <w:tc>
          <w:tcPr>
            <w:tcW w:w="20" w:type="dxa"/>
            <w:vAlign w:val="bottom"/>
            <w:tcBorders>
              <w:bottom w:val="single" w:sz="8" w:color="3E3935"/>
            </w:tcBorders>
          </w:tcPr>
          <w:p>
            <w:pPr>
              <w:spacing w:after="0" w:line="20" w:lineRule="exact"/>
              <w:rPr>
                <w:sz w:val="1"/>
                <w:szCs w:val="1"/>
                <w:color w:val="auto"/>
              </w:rPr>
            </w:pPr>
          </w:p>
        </w:tc>
        <w:tc>
          <w:tcPr>
            <w:tcW w:w="40" w:type="dxa"/>
            <w:vAlign w:val="bottom"/>
            <w:tcBorders>
              <w:bottom w:val="single" w:sz="8" w:color="3E3935"/>
            </w:tcBorders>
          </w:tcPr>
          <w:p>
            <w:pPr>
              <w:spacing w:after="0" w:line="20" w:lineRule="exact"/>
              <w:rPr>
                <w:sz w:val="1"/>
                <w:szCs w:val="1"/>
                <w:color w:val="auto"/>
              </w:rPr>
            </w:pPr>
          </w:p>
        </w:tc>
        <w:tc>
          <w:tcPr>
            <w:tcW w:w="200" w:type="dxa"/>
            <w:vAlign w:val="bottom"/>
            <w:tcBorders>
              <w:bottom w:val="single" w:sz="8" w:color="3E3935"/>
            </w:tcBorders>
          </w:tcPr>
          <w:p>
            <w:pPr>
              <w:spacing w:after="0" w:line="20" w:lineRule="exact"/>
              <w:rPr>
                <w:sz w:val="1"/>
                <w:szCs w:val="1"/>
                <w:color w:val="auto"/>
              </w:rPr>
            </w:pPr>
          </w:p>
        </w:tc>
        <w:tc>
          <w:tcPr>
            <w:tcW w:w="80" w:type="dxa"/>
            <w:vAlign w:val="bottom"/>
            <w:tcBorders>
              <w:bottom w:val="single" w:sz="8" w:color="3E3935"/>
            </w:tcBorders>
          </w:tcPr>
          <w:p>
            <w:pPr>
              <w:spacing w:after="0" w:line="20" w:lineRule="exact"/>
              <w:rPr>
                <w:sz w:val="1"/>
                <w:szCs w:val="1"/>
                <w:color w:val="auto"/>
              </w:rPr>
            </w:pPr>
          </w:p>
        </w:tc>
        <w:tc>
          <w:tcPr>
            <w:tcW w:w="260" w:type="dxa"/>
            <w:vAlign w:val="bottom"/>
            <w:tcBorders>
              <w:bottom w:val="single" w:sz="8" w:color="3E3935"/>
            </w:tcBorders>
          </w:tcPr>
          <w:p>
            <w:pPr>
              <w:spacing w:after="0" w:line="20" w:lineRule="exact"/>
              <w:rPr>
                <w:sz w:val="1"/>
                <w:szCs w:val="1"/>
                <w:color w:val="auto"/>
              </w:rPr>
            </w:pPr>
          </w:p>
        </w:tc>
        <w:tc>
          <w:tcPr>
            <w:tcW w:w="80" w:type="dxa"/>
            <w:vAlign w:val="bottom"/>
            <w:tcBorders>
              <w:bottom w:val="single" w:sz="8" w:color="3E3935"/>
            </w:tcBorders>
          </w:tcPr>
          <w:p>
            <w:pPr>
              <w:spacing w:after="0" w:line="20" w:lineRule="exact"/>
              <w:rPr>
                <w:sz w:val="1"/>
                <w:szCs w:val="1"/>
                <w:color w:val="auto"/>
              </w:rPr>
            </w:pPr>
          </w:p>
        </w:tc>
        <w:tc>
          <w:tcPr>
            <w:tcW w:w="160" w:type="dxa"/>
            <w:vAlign w:val="bottom"/>
            <w:tcBorders>
              <w:bottom w:val="single" w:sz="8" w:color="3E3935"/>
            </w:tcBorders>
          </w:tcPr>
          <w:p>
            <w:pPr>
              <w:spacing w:after="0" w:line="20" w:lineRule="exact"/>
              <w:rPr>
                <w:sz w:val="1"/>
                <w:szCs w:val="1"/>
                <w:color w:val="auto"/>
              </w:rPr>
            </w:pPr>
          </w:p>
        </w:tc>
        <w:tc>
          <w:tcPr>
            <w:tcW w:w="20" w:type="dxa"/>
            <w:vAlign w:val="bottom"/>
            <w:tcBorders>
              <w:bottom w:val="single" w:sz="8" w:color="3E3935"/>
            </w:tcBorders>
          </w:tcPr>
          <w:p>
            <w:pPr>
              <w:spacing w:after="0" w:line="20" w:lineRule="exact"/>
              <w:rPr>
                <w:sz w:val="1"/>
                <w:szCs w:val="1"/>
                <w:color w:val="auto"/>
              </w:rPr>
            </w:pPr>
          </w:p>
        </w:tc>
        <w:tc>
          <w:tcPr>
            <w:tcW w:w="40" w:type="dxa"/>
            <w:vAlign w:val="bottom"/>
            <w:tcBorders>
              <w:bottom w:val="single" w:sz="8" w:color="3E3935"/>
            </w:tcBorders>
          </w:tcPr>
          <w:p>
            <w:pPr>
              <w:spacing w:after="0" w:line="20" w:lineRule="exact"/>
              <w:rPr>
                <w:sz w:val="1"/>
                <w:szCs w:val="1"/>
                <w:color w:val="auto"/>
              </w:rPr>
            </w:pPr>
          </w:p>
        </w:tc>
        <w:tc>
          <w:tcPr>
            <w:tcW w:w="140" w:type="dxa"/>
            <w:vAlign w:val="bottom"/>
            <w:tcBorders>
              <w:bottom w:val="single" w:sz="8" w:color="3E3935"/>
            </w:tcBorders>
          </w:tcPr>
          <w:p>
            <w:pPr>
              <w:spacing w:after="0" w:line="20" w:lineRule="exact"/>
              <w:rPr>
                <w:sz w:val="1"/>
                <w:szCs w:val="1"/>
                <w:color w:val="auto"/>
              </w:rPr>
            </w:pPr>
          </w:p>
        </w:tc>
        <w:tc>
          <w:tcPr>
            <w:tcW w:w="40" w:type="dxa"/>
            <w:vAlign w:val="bottom"/>
            <w:tcBorders>
              <w:bottom w:val="single" w:sz="8" w:color="3E3935"/>
            </w:tcBorders>
          </w:tcPr>
          <w:p>
            <w:pPr>
              <w:spacing w:after="0" w:line="20" w:lineRule="exact"/>
              <w:rPr>
                <w:sz w:val="1"/>
                <w:szCs w:val="1"/>
                <w:color w:val="auto"/>
              </w:rPr>
            </w:pPr>
          </w:p>
        </w:tc>
        <w:tc>
          <w:tcPr>
            <w:tcW w:w="20" w:type="dxa"/>
            <w:vAlign w:val="bottom"/>
            <w:tcBorders>
              <w:bottom w:val="single" w:sz="8" w:color="3E3935"/>
            </w:tcBorders>
          </w:tcPr>
          <w:p>
            <w:pPr>
              <w:spacing w:after="0" w:line="20" w:lineRule="exact"/>
              <w:rPr>
                <w:sz w:val="1"/>
                <w:szCs w:val="1"/>
                <w:color w:val="auto"/>
              </w:rPr>
            </w:pPr>
          </w:p>
        </w:tc>
        <w:tc>
          <w:tcPr>
            <w:tcW w:w="40" w:type="dxa"/>
            <w:vAlign w:val="bottom"/>
            <w:tcBorders>
              <w:bottom w:val="single" w:sz="8" w:color="3E3935"/>
            </w:tcBorders>
          </w:tcPr>
          <w:p>
            <w:pPr>
              <w:spacing w:after="0" w:line="20" w:lineRule="exact"/>
              <w:rPr>
                <w:sz w:val="1"/>
                <w:szCs w:val="1"/>
                <w:color w:val="auto"/>
              </w:rPr>
            </w:pPr>
          </w:p>
        </w:tc>
        <w:tc>
          <w:tcPr>
            <w:tcW w:w="20" w:type="dxa"/>
            <w:vAlign w:val="bottom"/>
            <w:tcBorders>
              <w:bottom w:val="single" w:sz="8" w:color="3E3935"/>
            </w:tcBorders>
          </w:tcPr>
          <w:p>
            <w:pPr>
              <w:spacing w:after="0" w:line="20" w:lineRule="exact"/>
              <w:rPr>
                <w:sz w:val="1"/>
                <w:szCs w:val="1"/>
                <w:color w:val="auto"/>
              </w:rPr>
            </w:pPr>
          </w:p>
        </w:tc>
        <w:tc>
          <w:tcPr>
            <w:tcW w:w="100" w:type="dxa"/>
            <w:vAlign w:val="bottom"/>
            <w:tcBorders>
              <w:bottom w:val="single" w:sz="8" w:color="3E3935"/>
            </w:tcBorders>
          </w:tcPr>
          <w:p>
            <w:pPr>
              <w:spacing w:after="0" w:line="20" w:lineRule="exact"/>
              <w:rPr>
                <w:sz w:val="1"/>
                <w:szCs w:val="1"/>
                <w:color w:val="auto"/>
              </w:rPr>
            </w:pPr>
          </w:p>
        </w:tc>
        <w:tc>
          <w:tcPr>
            <w:tcW w:w="140" w:type="dxa"/>
            <w:vAlign w:val="bottom"/>
            <w:tcBorders>
              <w:bottom w:val="single" w:sz="8" w:color="3E3935"/>
            </w:tcBorders>
          </w:tcPr>
          <w:p>
            <w:pPr>
              <w:spacing w:after="0" w:line="20" w:lineRule="exact"/>
              <w:rPr>
                <w:sz w:val="1"/>
                <w:szCs w:val="1"/>
                <w:color w:val="auto"/>
              </w:rPr>
            </w:pPr>
          </w:p>
        </w:tc>
        <w:tc>
          <w:tcPr>
            <w:tcW w:w="40" w:type="dxa"/>
            <w:vAlign w:val="bottom"/>
            <w:tcBorders>
              <w:bottom w:val="single" w:sz="8" w:color="3E3935"/>
            </w:tcBorders>
          </w:tcPr>
          <w:p>
            <w:pPr>
              <w:spacing w:after="0" w:line="20" w:lineRule="exact"/>
              <w:rPr>
                <w:sz w:val="1"/>
                <w:szCs w:val="1"/>
                <w:color w:val="auto"/>
              </w:rPr>
            </w:pPr>
          </w:p>
        </w:tc>
        <w:tc>
          <w:tcPr>
            <w:tcW w:w="140" w:type="dxa"/>
            <w:vAlign w:val="bottom"/>
            <w:tcBorders>
              <w:bottom w:val="single" w:sz="8" w:color="3E3935"/>
            </w:tcBorders>
          </w:tcPr>
          <w:p>
            <w:pPr>
              <w:spacing w:after="0" w:line="20" w:lineRule="exact"/>
              <w:rPr>
                <w:sz w:val="1"/>
                <w:szCs w:val="1"/>
                <w:color w:val="auto"/>
              </w:rPr>
            </w:pPr>
          </w:p>
        </w:tc>
        <w:tc>
          <w:tcPr>
            <w:tcW w:w="480" w:type="dxa"/>
            <w:vAlign w:val="bottom"/>
            <w:tcBorders>
              <w:bottom w:val="single" w:sz="8" w:color="3E3935"/>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-3651885</wp:posOffset>
            </wp:positionH>
            <wp:positionV relativeFrom="paragraph">
              <wp:posOffset>-5631180</wp:posOffset>
            </wp:positionV>
            <wp:extent cx="7174865" cy="558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p>
    <w:p>
      <w:pPr>
        <w:spacing w:after="0" w:line="1198" w:lineRule="exact"/>
        <w:rPr>
          <w:sz w:val="20"/>
          <w:szCs w:val="20"/>
          <w:color w:val="auto"/>
        </w:rPr>
      </w:pPr>
    </w:p>
    <w:p>
      <w:pPr>
        <w:sectPr>
          <w:pgSz w:w="11900" w:h="16838" w:orient="portrait"/>
          <w:cols w:equalWidth="0" w:num="2">
            <w:col w:w="5400" w:space="340"/>
            <w:col w:w="5400"/>
          </w:cols>
          <w:pgMar w:left="320" w:top="482" w:right="439" w:bottom="1440" w:gutter="0" w:footer="0" w:header="0"/>
        </w:sectPr>
      </w:pPr>
    </w:p>
    <w:p>
      <w:pPr>
        <w:spacing w:after="0" w:line="272" w:lineRule="exact"/>
        <w:rPr>
          <w:sz w:val="20"/>
          <w:szCs w:val="20"/>
          <w:color w:val="auto"/>
        </w:rPr>
      </w:pPr>
    </w:p>
    <w:p>
      <w:pPr>
        <w:jc w:val="both"/>
        <w:ind w:left="120"/>
        <w:spacing w:after="0" w:line="251" w:lineRule="auto"/>
        <w:rPr>
          <w:sz w:val="20"/>
          <w:szCs w:val="20"/>
          <w:color w:val="auto"/>
        </w:rPr>
      </w:pPr>
      <w:r>
        <w:rPr>
          <w:rFonts w:ascii="Arial" w:cs="Arial" w:eastAsia="Arial" w:hAnsi="Arial"/>
          <w:sz w:val="16"/>
          <w:szCs w:val="16"/>
          <w:b w:val="1"/>
          <w:bCs w:val="1"/>
          <w:i w:val="1"/>
          <w:iCs w:val="1"/>
          <w:color w:val="0071CE"/>
        </w:rPr>
        <w:t xml:space="preserve">Cautionary Note on Forward-Looking Statements: </w:t>
      </w:r>
      <w:r>
        <w:rPr>
          <w:rFonts w:ascii="Arial" w:cs="Arial" w:eastAsia="Arial" w:hAnsi="Arial"/>
          <w:sz w:val="16"/>
          <w:szCs w:val="16"/>
          <w:color w:val="3E3935"/>
        </w:rPr>
        <w:t>This Proxy Statement may include “forward-looking statements” within the meaning of the U.S.</w:t>
      </w:r>
      <w:r>
        <w:rPr>
          <w:rFonts w:ascii="Arial" w:cs="Arial" w:eastAsia="Arial" w:hAnsi="Arial"/>
          <w:sz w:val="16"/>
          <w:szCs w:val="16"/>
          <w:b w:val="1"/>
          <w:bCs w:val="1"/>
          <w:i w:val="1"/>
          <w:iCs w:val="1"/>
          <w:color w:val="0071CE"/>
        </w:rPr>
        <w:t xml:space="preserve"> </w:t>
      </w:r>
      <w:r>
        <w:rPr>
          <w:rFonts w:ascii="Arial" w:cs="Arial" w:eastAsia="Arial" w:hAnsi="Arial"/>
          <w:sz w:val="16"/>
          <w:szCs w:val="16"/>
          <w:color w:val="3E3935"/>
        </w:rPr>
        <w:t>federal securities laws. Forward-looking statements are any statements other than statements of historical fact. Forward-looking statements represent our current judgement about possible future events. In making these statements, we rely upon assumptions and analysis based on our experience and perception of historical trends, current conditions, and expected future developments, as well as other factors we consider appropriate under the circumstances. We believe these judgements are reasonable, but these statements are not guarantees of any future events or financial results, and our actual results may differ materially due to a variety of factors, many of which are described in our 2022 Form 10-K and our other filings with the SEC. We caution readers not to place undue reliance on forward-looking statements. Forward-looking statements speak only as of the date they are made, and we undertake no obligation to update publicly or otherwise revise any forward-looking statements, whether as a result of new information, future events, or other factors that affect the subject of these statements, except where we are expressly required to do so by law.</w:t>
      </w:r>
    </w:p>
    <w:p>
      <w:pPr>
        <w:spacing w:after="0" w:line="118" w:lineRule="exact"/>
        <w:rPr>
          <w:sz w:val="20"/>
          <w:szCs w:val="20"/>
          <w:color w:val="auto"/>
        </w:rPr>
      </w:pPr>
    </w:p>
    <w:p>
      <w:pPr>
        <w:jc w:val="both"/>
        <w:ind w:left="120" w:right="20"/>
        <w:spacing w:after="0" w:line="254" w:lineRule="auto"/>
        <w:rPr>
          <w:sz w:val="20"/>
          <w:szCs w:val="20"/>
          <w:color w:val="auto"/>
        </w:rPr>
      </w:pPr>
      <w:r>
        <w:rPr>
          <w:rFonts w:ascii="Arial" w:cs="Arial" w:eastAsia="Arial" w:hAnsi="Arial"/>
          <w:sz w:val="16"/>
          <w:szCs w:val="16"/>
          <w:b w:val="1"/>
          <w:bCs w:val="1"/>
          <w:i w:val="1"/>
          <w:iCs w:val="1"/>
          <w:color w:val="0071CE"/>
        </w:rPr>
        <w:t xml:space="preserve">Non-GAAP financial measures: </w:t>
      </w:r>
      <w:r>
        <w:rPr>
          <w:rFonts w:ascii="Arial" w:cs="Arial" w:eastAsia="Arial" w:hAnsi="Arial"/>
          <w:sz w:val="16"/>
          <w:szCs w:val="16"/>
          <w:color w:val="3E3935"/>
        </w:rPr>
        <w:t>See our 2022 Form 10-K and our other filings with the SEC for a description of certain non-GAAP measures used in</w:t>
      </w:r>
      <w:r>
        <w:rPr>
          <w:rFonts w:ascii="Arial" w:cs="Arial" w:eastAsia="Arial" w:hAnsi="Arial"/>
          <w:sz w:val="16"/>
          <w:szCs w:val="16"/>
          <w:b w:val="1"/>
          <w:bCs w:val="1"/>
          <w:i w:val="1"/>
          <w:iCs w:val="1"/>
          <w:color w:val="0071CE"/>
        </w:rPr>
        <w:t xml:space="preserve"> </w:t>
      </w:r>
      <w:r>
        <w:rPr>
          <w:rFonts w:ascii="Arial" w:cs="Arial" w:eastAsia="Arial" w:hAnsi="Arial"/>
          <w:sz w:val="16"/>
          <w:szCs w:val="16"/>
          <w:color w:val="3E3935"/>
        </w:rPr>
        <w:t>this Proxy Statement, along with a description of various uses for such measures. Our calculation of these non-GAAP measures are set forth within these reports and Appendix A to this Proxy Statement, and may not be comparable to similarly titled measures of other companies due to potential differences between companies in the method of calculation. As a result, the use of these non-GAAP measures has limitations and should not be considered superior to, in isolation from, or as a substitute for, related GAAP measures. When we present our total company EBIT-adjusted, GM Financial is presented on an EBT-adjusted basis.</w:t>
      </w:r>
    </w:p>
    <w:p>
      <w:pPr>
        <w:spacing w:after="0" w:line="101" w:lineRule="exact"/>
        <w:rPr>
          <w:sz w:val="20"/>
          <w:szCs w:val="20"/>
          <w:color w:val="auto"/>
        </w:rPr>
      </w:pPr>
    </w:p>
    <w:p>
      <w:pPr>
        <w:jc w:val="both"/>
        <w:ind w:left="120"/>
        <w:spacing w:after="0" w:line="259" w:lineRule="auto"/>
        <w:rPr>
          <w:sz w:val="20"/>
          <w:szCs w:val="20"/>
          <w:color w:val="auto"/>
        </w:rPr>
      </w:pPr>
      <w:r>
        <w:rPr>
          <w:rFonts w:ascii="Arial" w:cs="Arial" w:eastAsia="Arial" w:hAnsi="Arial"/>
          <w:sz w:val="16"/>
          <w:szCs w:val="16"/>
          <w:b w:val="1"/>
          <w:bCs w:val="1"/>
          <w:i w:val="1"/>
          <w:iCs w:val="1"/>
          <w:color w:val="0071CE"/>
        </w:rPr>
        <w:t xml:space="preserve">Additional Information: </w:t>
      </w:r>
      <w:r>
        <w:rPr>
          <w:rFonts w:ascii="Arial" w:cs="Arial" w:eastAsia="Arial" w:hAnsi="Arial"/>
          <w:sz w:val="16"/>
          <w:szCs w:val="16"/>
          <w:color w:val="3E3935"/>
        </w:rPr>
        <w:t>References to “record” or “best” performance (or similar statements) in this Proxy Statement refer to General Motors Company,</w:t>
      </w:r>
      <w:r>
        <w:rPr>
          <w:rFonts w:ascii="Arial" w:cs="Arial" w:eastAsia="Arial" w:hAnsi="Arial"/>
          <w:sz w:val="16"/>
          <w:szCs w:val="16"/>
          <w:b w:val="1"/>
          <w:bCs w:val="1"/>
          <w:i w:val="1"/>
          <w:iCs w:val="1"/>
          <w:color w:val="0071CE"/>
        </w:rPr>
        <w:t xml:space="preserve"> </w:t>
      </w:r>
      <w:r>
        <w:rPr>
          <w:rFonts w:ascii="Arial" w:cs="Arial" w:eastAsia="Arial" w:hAnsi="Arial"/>
          <w:sz w:val="16"/>
          <w:szCs w:val="16"/>
          <w:color w:val="3E3935"/>
        </w:rPr>
        <w:t>as established in 2009. In addition, certain figures included in the charts and tables in this Proxy Statement may not sum due to rounding. Simulated models and pre-production models are shown throughout; production vehicles will vary. For information on models shown, including availability, see each GM brand website for details.</w:t>
      </w:r>
    </w:p>
    <w:p>
      <w:pPr>
        <w:sectPr>
          <w:pgSz w:w="11900" w:h="16838" w:orient="portrait"/>
          <w:cols w:equalWidth="0" w:num="1">
            <w:col w:w="11140"/>
          </w:cols>
          <w:pgMar w:left="320" w:top="482" w:right="439" w:bottom="1440" w:gutter="0" w:footer="0" w:header="0"/>
          <w:type w:val="continuous"/>
        </w:sectPr>
      </w:pPr>
    </w:p>
    <w:p>
      <w:pPr>
        <w:spacing w:after="0" w:line="115" w:lineRule="exact"/>
        <w:rPr>
          <w:sz w:val="20"/>
          <w:szCs w:val="20"/>
          <w:color w:val="auto"/>
        </w:rPr>
      </w:pPr>
    </w:p>
    <w:p>
      <w:pPr>
        <w:ind w:left="10720"/>
        <w:spacing w:after="0"/>
        <w:rPr>
          <w:sz w:val="20"/>
          <w:szCs w:val="20"/>
          <w:color w:val="auto"/>
        </w:rPr>
      </w:pPr>
      <w:r>
        <w:rPr>
          <w:rFonts w:ascii="Arial" w:cs="Arial" w:eastAsia="Arial" w:hAnsi="Arial"/>
          <w:sz w:val="14"/>
          <w:szCs w:val="14"/>
          <w:color w:val="0071CE"/>
        </w:rPr>
        <w:t>iii</w:t>
      </w:r>
    </w:p>
    <w:p>
      <w:pPr>
        <w:sectPr>
          <w:pgSz w:w="11900" w:h="16838" w:orient="portrait"/>
          <w:cols w:equalWidth="0" w:num="1">
            <w:col w:w="11140"/>
          </w:cols>
          <w:pgMar w:left="320" w:top="482" w:right="439" w:bottom="1440" w:gutter="0" w:footer="0" w:header="0"/>
          <w:type w:val="continuous"/>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75565</wp:posOffset>
            </wp:positionH>
            <wp:positionV relativeFrom="paragraph">
              <wp:posOffset>210185</wp:posOffset>
            </wp:positionV>
            <wp:extent cx="6990715" cy="749617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990715" cy="7496175"/>
                    </a:xfrm>
                    <a:prstGeom prst="rect">
                      <a:avLst/>
                    </a:prstGeom>
                    <a:noFill/>
                  </pic:spPr>
                </pic:pic>
              </a:graphicData>
            </a:graphic>
          </wp:anchor>
        </w:drawing>
      </w:r>
    </w:p>
    <w:p>
      <w:pPr>
        <w:spacing w:after="0" w:line="200" w:lineRule="exact"/>
        <w:rPr>
          <w:sz w:val="20"/>
          <w:szCs w:val="20"/>
          <w:color w:val="auto"/>
        </w:rPr>
      </w:pPr>
    </w:p>
    <w:p>
      <w:pPr>
        <w:spacing w:after="0" w:line="280" w:lineRule="exact"/>
        <w:rPr>
          <w:sz w:val="20"/>
          <w:szCs w:val="20"/>
          <w:color w:val="auto"/>
        </w:rPr>
      </w:pPr>
    </w:p>
    <w:p>
      <w:pPr>
        <w:ind w:left="320"/>
        <w:spacing w:after="0"/>
        <w:rPr>
          <w:sz w:val="20"/>
          <w:szCs w:val="20"/>
          <w:color w:val="auto"/>
        </w:rPr>
      </w:pPr>
      <w:r>
        <w:rPr>
          <w:rFonts w:ascii="Arial" w:cs="Arial" w:eastAsia="Arial" w:hAnsi="Arial"/>
          <w:sz w:val="32"/>
          <w:szCs w:val="32"/>
          <w:b w:val="1"/>
          <w:bCs w:val="1"/>
          <w:color w:val="0071CE"/>
        </w:rPr>
        <w:t>PROXY SUMMARY</w:t>
      </w:r>
    </w:p>
    <w:p>
      <w:pPr>
        <w:spacing w:after="0" w:line="200" w:lineRule="exact"/>
        <w:rPr>
          <w:sz w:val="20"/>
          <w:szCs w:val="20"/>
          <w:color w:val="auto"/>
        </w:rPr>
      </w:pPr>
    </w:p>
    <w:p>
      <w:pPr>
        <w:spacing w:after="0" w:line="240" w:lineRule="exact"/>
        <w:rPr>
          <w:sz w:val="20"/>
          <w:szCs w:val="20"/>
          <w:color w:val="auto"/>
        </w:rPr>
      </w:pPr>
    </w:p>
    <w:p>
      <w:pPr>
        <w:ind w:left="320"/>
        <w:spacing w:after="0"/>
        <w:rPr>
          <w:sz w:val="20"/>
          <w:szCs w:val="20"/>
          <w:color w:val="auto"/>
        </w:rPr>
      </w:pPr>
      <w:r>
        <w:rPr>
          <w:rFonts w:ascii="Arial" w:cs="Arial" w:eastAsia="Arial" w:hAnsi="Arial"/>
          <w:sz w:val="29"/>
          <w:szCs w:val="29"/>
          <w:color w:val="3E3935"/>
        </w:rPr>
        <w:t>Annual Meeting Overview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tbl>
      <w:tblPr>
        <w:tblLayout w:type="fixed"/>
        <w:tblInd w:w="520" w:type="dxa"/>
        <w:tblCellMar>
          <w:top w:w="0" w:type="dxa"/>
          <w:left w:w="0" w:type="dxa"/>
          <w:bottom w:w="0" w:type="dxa"/>
          <w:right w:w="0" w:type="dxa"/>
        </w:tblCellMar>
      </w:tblPr>
      <w:tr>
        <w:trPr>
          <w:trHeight w:val="273"/>
        </w:trPr>
        <w:tc>
          <w:tcPr>
            <w:tcW w:w="2340" w:type="dxa"/>
            <w:vAlign w:val="bottom"/>
          </w:tcPr>
          <w:p>
            <w:pPr>
              <w:jc w:val="center"/>
              <w:ind w:right="101"/>
              <w:spacing w:after="0"/>
              <w:rPr>
                <w:sz w:val="20"/>
                <w:szCs w:val="20"/>
                <w:color w:val="auto"/>
              </w:rPr>
            </w:pPr>
            <w:r>
              <w:rPr>
                <w:rFonts w:ascii="Arial" w:cs="Arial" w:eastAsia="Arial" w:hAnsi="Arial"/>
                <w:sz w:val="20"/>
                <w:szCs w:val="20"/>
                <w:b w:val="1"/>
                <w:bCs w:val="1"/>
                <w:color w:val="00C1DE"/>
                <w:w w:val="98"/>
              </w:rPr>
              <w:t>TIME &amp; DATE</w:t>
            </w:r>
          </w:p>
        </w:tc>
        <w:tc>
          <w:tcPr>
            <w:tcW w:w="3380" w:type="dxa"/>
            <w:vAlign w:val="bottom"/>
          </w:tcPr>
          <w:p>
            <w:pPr>
              <w:jc w:val="center"/>
              <w:ind w:right="7"/>
              <w:spacing w:after="0"/>
              <w:rPr>
                <w:sz w:val="20"/>
                <w:szCs w:val="20"/>
                <w:color w:val="auto"/>
              </w:rPr>
            </w:pPr>
            <w:r>
              <w:rPr>
                <w:rFonts w:ascii="Arial" w:cs="Arial" w:eastAsia="Arial" w:hAnsi="Arial"/>
                <w:sz w:val="20"/>
                <w:szCs w:val="20"/>
                <w:b w:val="1"/>
                <w:bCs w:val="1"/>
                <w:color w:val="00C1DE"/>
              </w:rPr>
              <w:t>PLACE</w:t>
            </w:r>
          </w:p>
        </w:tc>
        <w:tc>
          <w:tcPr>
            <w:tcW w:w="2080" w:type="dxa"/>
            <w:vAlign w:val="bottom"/>
          </w:tcPr>
          <w:p>
            <w:pPr>
              <w:jc w:val="center"/>
              <w:spacing w:after="0"/>
              <w:rPr>
                <w:sz w:val="20"/>
                <w:szCs w:val="20"/>
                <w:color w:val="auto"/>
              </w:rPr>
            </w:pPr>
            <w:r>
              <w:rPr>
                <w:rFonts w:ascii="Arial" w:cs="Arial" w:eastAsia="Arial" w:hAnsi="Arial"/>
                <w:sz w:val="20"/>
                <w:szCs w:val="20"/>
                <w:b w:val="1"/>
                <w:bCs w:val="1"/>
                <w:color w:val="00C1DE"/>
                <w:w w:val="98"/>
              </w:rPr>
              <w:t>RECORD DATE</w:t>
            </w:r>
          </w:p>
        </w:tc>
        <w:tc>
          <w:tcPr>
            <w:tcW w:w="2440" w:type="dxa"/>
            <w:vAlign w:val="bottom"/>
          </w:tcPr>
          <w:p>
            <w:pPr>
              <w:jc w:val="center"/>
              <w:ind w:left="247"/>
              <w:spacing w:after="0"/>
              <w:rPr>
                <w:sz w:val="20"/>
                <w:szCs w:val="20"/>
                <w:color w:val="auto"/>
              </w:rPr>
            </w:pPr>
            <w:r>
              <w:rPr>
                <w:rFonts w:ascii="Arial" w:cs="Arial" w:eastAsia="Arial" w:hAnsi="Arial"/>
                <w:sz w:val="20"/>
                <w:szCs w:val="20"/>
                <w:b w:val="1"/>
                <w:bCs w:val="1"/>
                <w:color w:val="00C1DE"/>
                <w:w w:val="97"/>
              </w:rPr>
              <w:t>MATERIALS</w:t>
            </w:r>
          </w:p>
        </w:tc>
      </w:tr>
      <w:tr>
        <w:trPr>
          <w:trHeight w:val="282"/>
        </w:trPr>
        <w:tc>
          <w:tcPr>
            <w:tcW w:w="2340" w:type="dxa"/>
            <w:vAlign w:val="bottom"/>
          </w:tcPr>
          <w:p>
            <w:pPr>
              <w:jc w:val="center"/>
              <w:ind w:right="101"/>
              <w:spacing w:after="0"/>
              <w:rPr>
                <w:sz w:val="20"/>
                <w:szCs w:val="20"/>
                <w:color w:val="auto"/>
              </w:rPr>
            </w:pPr>
            <w:r>
              <w:rPr>
                <w:rFonts w:ascii="Arial" w:cs="Arial" w:eastAsia="Arial" w:hAnsi="Arial"/>
                <w:sz w:val="20"/>
                <w:szCs w:val="20"/>
                <w:color w:val="3E3935"/>
                <w:w w:val="97"/>
              </w:rPr>
              <w:t>11:30 a.m. Eastern Time</w:t>
            </w:r>
          </w:p>
        </w:tc>
        <w:tc>
          <w:tcPr>
            <w:tcW w:w="3380" w:type="dxa"/>
            <w:vAlign w:val="bottom"/>
          </w:tcPr>
          <w:p>
            <w:pPr>
              <w:jc w:val="center"/>
              <w:ind w:right="7"/>
              <w:spacing w:after="0"/>
              <w:rPr>
                <w:sz w:val="20"/>
                <w:szCs w:val="20"/>
                <w:color w:val="auto"/>
              </w:rPr>
            </w:pPr>
            <w:r>
              <w:rPr>
                <w:rFonts w:ascii="Arial" w:cs="Arial" w:eastAsia="Arial" w:hAnsi="Arial"/>
                <w:sz w:val="20"/>
                <w:szCs w:val="20"/>
                <w:color w:val="3E3935"/>
                <w:w w:val="98"/>
              </w:rPr>
              <w:t>Virtual Meeting</w:t>
            </w:r>
          </w:p>
        </w:tc>
        <w:tc>
          <w:tcPr>
            <w:tcW w:w="2080" w:type="dxa"/>
            <w:vAlign w:val="bottom"/>
          </w:tcPr>
          <w:p>
            <w:pPr>
              <w:jc w:val="center"/>
              <w:spacing w:after="0"/>
              <w:rPr>
                <w:sz w:val="20"/>
                <w:szCs w:val="20"/>
                <w:color w:val="auto"/>
              </w:rPr>
            </w:pPr>
            <w:r>
              <w:rPr>
                <w:rFonts w:ascii="Arial" w:cs="Arial" w:eastAsia="Arial" w:hAnsi="Arial"/>
                <w:sz w:val="20"/>
                <w:szCs w:val="20"/>
                <w:color w:val="3E3935"/>
                <w:w w:val="98"/>
              </w:rPr>
              <w:t>April 21, 2023</w:t>
            </w:r>
          </w:p>
        </w:tc>
        <w:tc>
          <w:tcPr>
            <w:tcW w:w="2440" w:type="dxa"/>
            <w:vAlign w:val="bottom"/>
          </w:tcPr>
          <w:p>
            <w:pPr>
              <w:jc w:val="center"/>
              <w:ind w:left="247"/>
              <w:spacing w:after="0"/>
              <w:rPr>
                <w:sz w:val="20"/>
                <w:szCs w:val="20"/>
                <w:color w:val="auto"/>
              </w:rPr>
            </w:pPr>
            <w:r>
              <w:rPr>
                <w:rFonts w:ascii="Arial" w:cs="Arial" w:eastAsia="Arial" w:hAnsi="Arial"/>
                <w:sz w:val="20"/>
                <w:szCs w:val="20"/>
                <w:color w:val="3E3935"/>
                <w:w w:val="98"/>
              </w:rPr>
              <w:t>Available at</w:t>
            </w:r>
          </w:p>
        </w:tc>
      </w:tr>
      <w:tr>
        <w:trPr>
          <w:trHeight w:val="261"/>
        </w:trPr>
        <w:tc>
          <w:tcPr>
            <w:tcW w:w="2340" w:type="dxa"/>
            <w:vAlign w:val="bottom"/>
          </w:tcPr>
          <w:p>
            <w:pPr>
              <w:jc w:val="center"/>
              <w:ind w:right="101"/>
              <w:spacing w:after="0"/>
              <w:rPr>
                <w:sz w:val="20"/>
                <w:szCs w:val="20"/>
                <w:color w:val="auto"/>
              </w:rPr>
            </w:pPr>
            <w:r>
              <w:rPr>
                <w:rFonts w:ascii="Arial" w:cs="Arial" w:eastAsia="Arial" w:hAnsi="Arial"/>
                <w:sz w:val="20"/>
                <w:szCs w:val="20"/>
                <w:color w:val="3E3935"/>
                <w:w w:val="99"/>
              </w:rPr>
              <w:t>June 20, 2023</w:t>
            </w:r>
          </w:p>
        </w:tc>
        <w:tc>
          <w:tcPr>
            <w:tcW w:w="3380" w:type="dxa"/>
            <w:vAlign w:val="bottom"/>
          </w:tcPr>
          <w:p>
            <w:pPr>
              <w:jc w:val="center"/>
              <w:ind w:right="7"/>
              <w:spacing w:after="0"/>
              <w:rPr>
                <w:sz w:val="20"/>
                <w:szCs w:val="20"/>
                <w:color w:val="auto"/>
              </w:rPr>
            </w:pPr>
            <w:r>
              <w:rPr>
                <w:rFonts w:ascii="Arial" w:cs="Arial" w:eastAsia="Arial" w:hAnsi="Arial"/>
                <w:sz w:val="16"/>
                <w:szCs w:val="16"/>
                <w:i w:val="1"/>
                <w:iCs w:val="1"/>
                <w:color w:val="00C1DE"/>
              </w:rPr>
              <w:t>virtualshareholdermeeting.com/GM2023</w:t>
            </w:r>
          </w:p>
        </w:tc>
        <w:tc>
          <w:tcPr>
            <w:tcW w:w="2080" w:type="dxa"/>
            <w:vAlign w:val="bottom"/>
          </w:tcPr>
          <w:p>
            <w:pPr>
              <w:spacing w:after="0"/>
              <w:rPr>
                <w:sz w:val="22"/>
                <w:szCs w:val="22"/>
                <w:color w:val="auto"/>
              </w:rPr>
            </w:pPr>
          </w:p>
        </w:tc>
        <w:tc>
          <w:tcPr>
            <w:tcW w:w="2440" w:type="dxa"/>
            <w:vAlign w:val="bottom"/>
          </w:tcPr>
          <w:p>
            <w:pPr>
              <w:jc w:val="center"/>
              <w:ind w:left="267"/>
              <w:spacing w:after="0"/>
              <w:rPr>
                <w:sz w:val="20"/>
                <w:szCs w:val="20"/>
                <w:color w:val="auto"/>
              </w:rPr>
            </w:pPr>
            <w:r>
              <w:rPr>
                <w:rFonts w:ascii="Arial" w:cs="Arial" w:eastAsia="Arial" w:hAnsi="Arial"/>
                <w:sz w:val="16"/>
                <w:szCs w:val="16"/>
                <w:i w:val="1"/>
                <w:iCs w:val="1"/>
                <w:color w:val="00C1DE"/>
              </w:rPr>
              <w:t>investor.gm.com/shareholder</w:t>
            </w:r>
          </w:p>
        </w:tc>
      </w:tr>
    </w:tbl>
    <w:p>
      <w:pPr>
        <w:spacing w:after="0" w:line="390" w:lineRule="exact"/>
        <w:rPr>
          <w:sz w:val="20"/>
          <w:szCs w:val="20"/>
          <w:color w:val="auto"/>
        </w:rPr>
      </w:pPr>
    </w:p>
    <w:p>
      <w:pPr>
        <w:ind w:left="320"/>
        <w:spacing w:after="0"/>
        <w:rPr>
          <w:sz w:val="20"/>
          <w:szCs w:val="20"/>
          <w:color w:val="auto"/>
        </w:rPr>
      </w:pPr>
      <w:r>
        <w:rPr>
          <w:rFonts w:ascii="Arial" w:cs="Arial" w:eastAsia="Arial" w:hAnsi="Arial"/>
          <w:sz w:val="29"/>
          <w:szCs w:val="29"/>
          <w:color w:val="3E3935"/>
        </w:rPr>
        <w:t>Proxy Voting Roadmap</w:t>
      </w:r>
    </w:p>
    <w:p>
      <w:pPr>
        <w:spacing w:after="0" w:line="231" w:lineRule="exact"/>
        <w:rPr>
          <w:sz w:val="20"/>
          <w:szCs w:val="20"/>
          <w:color w:val="auto"/>
        </w:rPr>
      </w:pPr>
    </w:p>
    <w:p>
      <w:pPr>
        <w:ind w:left="320"/>
        <w:spacing w:after="0"/>
        <w:rPr>
          <w:sz w:val="20"/>
          <w:szCs w:val="20"/>
          <w:color w:val="auto"/>
        </w:rPr>
      </w:pPr>
      <w:r>
        <w:rPr>
          <w:rFonts w:ascii="Arial" w:cs="Arial" w:eastAsia="Arial" w:hAnsi="Arial"/>
          <w:sz w:val="20"/>
          <w:szCs w:val="20"/>
          <w:color w:val="3E3935"/>
        </w:rPr>
        <w:t>Shareholders will be asked to vote on the following matters at the Annual Meeting:</w:t>
      </w:r>
    </w:p>
    <w:p>
      <w:pPr>
        <w:spacing w:after="0" w:line="237" w:lineRule="exact"/>
        <w:rPr>
          <w:sz w:val="20"/>
          <w:szCs w:val="20"/>
          <w:color w:val="auto"/>
        </w:rPr>
      </w:pPr>
    </w:p>
    <w:tbl>
      <w:tblPr>
        <w:tblLayout w:type="fixed"/>
        <w:tblInd w:w="120" w:type="dxa"/>
        <w:tblCellMar>
          <w:top w:w="0" w:type="dxa"/>
          <w:left w:w="0" w:type="dxa"/>
          <w:bottom w:w="0" w:type="dxa"/>
          <w:right w:w="0" w:type="dxa"/>
        </w:tblCellMar>
      </w:tblPr>
      <w:tr>
        <w:trPr>
          <w:trHeight w:val="189"/>
        </w:trPr>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560" w:type="dxa"/>
            <w:vAlign w:val="bottom"/>
          </w:tcPr>
          <w:p>
            <w:pPr>
              <w:spacing w:after="0"/>
              <w:rPr>
                <w:sz w:val="16"/>
                <w:szCs w:val="16"/>
                <w:color w:val="auto"/>
              </w:rPr>
            </w:pPr>
          </w:p>
        </w:tc>
        <w:tc>
          <w:tcPr>
            <w:tcW w:w="2700" w:type="dxa"/>
            <w:vAlign w:val="bottom"/>
          </w:tcPr>
          <w:p>
            <w:pPr>
              <w:jc w:val="center"/>
              <w:spacing w:after="0"/>
              <w:rPr>
                <w:sz w:val="20"/>
                <w:szCs w:val="20"/>
                <w:color w:val="auto"/>
              </w:rPr>
            </w:pPr>
            <w:r>
              <w:rPr>
                <w:rFonts w:ascii="Arial" w:cs="Arial" w:eastAsia="Arial" w:hAnsi="Arial"/>
                <w:sz w:val="16"/>
                <w:szCs w:val="16"/>
                <w:b w:val="1"/>
                <w:bCs w:val="1"/>
                <w:color w:val="3E3935"/>
              </w:rPr>
              <w:t>BOARD VOTE</w:t>
            </w:r>
          </w:p>
        </w:tc>
        <w:tc>
          <w:tcPr>
            <w:tcW w:w="1740" w:type="dxa"/>
            <w:vAlign w:val="bottom"/>
            <w:gridSpan w:val="2"/>
          </w:tcPr>
          <w:p>
            <w:pPr>
              <w:jc w:val="center"/>
              <w:spacing w:after="0"/>
              <w:rPr>
                <w:sz w:val="20"/>
                <w:szCs w:val="20"/>
                <w:color w:val="auto"/>
              </w:rPr>
            </w:pPr>
            <w:r>
              <w:rPr>
                <w:rFonts w:ascii="Arial" w:cs="Arial" w:eastAsia="Arial" w:hAnsi="Arial"/>
                <w:sz w:val="16"/>
                <w:szCs w:val="16"/>
                <w:b w:val="1"/>
                <w:bCs w:val="1"/>
                <w:color w:val="3E3935"/>
              </w:rPr>
              <w:t>PAGE</w:t>
            </w:r>
          </w:p>
        </w:tc>
        <w:tc>
          <w:tcPr>
            <w:tcW w:w="0" w:type="dxa"/>
            <w:vAlign w:val="bottom"/>
          </w:tcPr>
          <w:p>
            <w:pPr>
              <w:spacing w:after="0"/>
              <w:rPr>
                <w:sz w:val="1"/>
                <w:szCs w:val="1"/>
                <w:color w:val="auto"/>
              </w:rPr>
            </w:pPr>
          </w:p>
        </w:tc>
      </w:tr>
      <w:tr>
        <w:trPr>
          <w:trHeight w:val="224"/>
        </w:trPr>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560" w:type="dxa"/>
            <w:vAlign w:val="bottom"/>
          </w:tcPr>
          <w:p>
            <w:pPr>
              <w:ind w:left="1600"/>
              <w:spacing w:after="0"/>
              <w:rPr>
                <w:sz w:val="20"/>
                <w:szCs w:val="20"/>
                <w:color w:val="auto"/>
              </w:rPr>
            </w:pPr>
            <w:r>
              <w:rPr>
                <w:rFonts w:ascii="Arial" w:cs="Arial" w:eastAsia="Arial" w:hAnsi="Arial"/>
                <w:sz w:val="16"/>
                <w:szCs w:val="16"/>
                <w:b w:val="1"/>
                <w:bCs w:val="1"/>
                <w:color w:val="3E3935"/>
              </w:rPr>
              <w:t>VOTING MATTER</w:t>
            </w:r>
          </w:p>
        </w:tc>
        <w:tc>
          <w:tcPr>
            <w:tcW w:w="2700" w:type="dxa"/>
            <w:vAlign w:val="bottom"/>
          </w:tcPr>
          <w:p>
            <w:pPr>
              <w:jc w:val="center"/>
              <w:spacing w:after="0"/>
              <w:rPr>
                <w:sz w:val="20"/>
                <w:szCs w:val="20"/>
                <w:color w:val="auto"/>
              </w:rPr>
            </w:pPr>
            <w:r>
              <w:rPr>
                <w:rFonts w:ascii="Arial" w:cs="Arial" w:eastAsia="Arial" w:hAnsi="Arial"/>
                <w:sz w:val="16"/>
                <w:szCs w:val="16"/>
                <w:b w:val="1"/>
                <w:bCs w:val="1"/>
                <w:color w:val="3E3935"/>
                <w:w w:val="99"/>
              </w:rPr>
              <w:t>RECOMMENDATION</w:t>
            </w:r>
          </w:p>
        </w:tc>
        <w:tc>
          <w:tcPr>
            <w:tcW w:w="1740" w:type="dxa"/>
            <w:vAlign w:val="bottom"/>
            <w:gridSpan w:val="2"/>
          </w:tcPr>
          <w:p>
            <w:pPr>
              <w:jc w:val="center"/>
              <w:spacing w:after="0"/>
              <w:rPr>
                <w:sz w:val="20"/>
                <w:szCs w:val="20"/>
                <w:color w:val="auto"/>
              </w:rPr>
            </w:pPr>
            <w:r>
              <w:rPr>
                <w:rFonts w:ascii="Arial" w:cs="Arial" w:eastAsia="Arial" w:hAnsi="Arial"/>
                <w:sz w:val="16"/>
                <w:szCs w:val="16"/>
                <w:b w:val="1"/>
                <w:bCs w:val="1"/>
                <w:color w:val="3E3935"/>
              </w:rPr>
              <w:t>REFERENCE</w:t>
            </w:r>
          </w:p>
        </w:tc>
        <w:tc>
          <w:tcPr>
            <w:tcW w:w="0" w:type="dxa"/>
            <w:vAlign w:val="bottom"/>
          </w:tcPr>
          <w:p>
            <w:pPr>
              <w:spacing w:after="0"/>
              <w:rPr>
                <w:sz w:val="1"/>
                <w:szCs w:val="1"/>
                <w:color w:val="auto"/>
              </w:rPr>
            </w:pPr>
          </w:p>
        </w:tc>
      </w:tr>
      <w:tr>
        <w:trPr>
          <w:trHeight w:val="397"/>
        </w:trPr>
        <w:tc>
          <w:tcPr>
            <w:tcW w:w="200" w:type="dxa"/>
            <w:vAlign w:val="bottom"/>
          </w:tcPr>
          <w:p>
            <w:pPr>
              <w:spacing w:after="0"/>
              <w:rPr>
                <w:sz w:val="24"/>
                <w:szCs w:val="24"/>
                <w:color w:val="auto"/>
              </w:rPr>
            </w:pPr>
          </w:p>
        </w:tc>
        <w:tc>
          <w:tcPr>
            <w:tcW w:w="800" w:type="dxa"/>
            <w:vAlign w:val="bottom"/>
            <w:tcBorders>
              <w:top w:val="single" w:sz="8" w:color="3E3935"/>
            </w:tcBorders>
            <w:vMerge w:val="restart"/>
          </w:tcPr>
          <w:p>
            <w:pPr>
              <w:ind w:left="60"/>
              <w:spacing w:after="0"/>
              <w:rPr>
                <w:sz w:val="20"/>
                <w:szCs w:val="20"/>
                <w:color w:val="auto"/>
              </w:rPr>
            </w:pPr>
            <w:r>
              <w:rPr>
                <w:rFonts w:ascii="Arial" w:cs="Arial" w:eastAsia="Arial" w:hAnsi="Arial"/>
                <w:sz w:val="20"/>
                <w:szCs w:val="20"/>
                <w:b w:val="1"/>
                <w:bCs w:val="1"/>
                <w:color w:val="3E3935"/>
                <w:w w:val="86"/>
              </w:rPr>
              <w:t>Item 1</w:t>
            </w:r>
            <w:r>
              <w:rPr>
                <w:rFonts w:ascii="Arial" w:cs="Arial" w:eastAsia="Arial" w:hAnsi="Arial"/>
                <w:sz w:val="20"/>
                <w:szCs w:val="20"/>
                <w:color w:val="3E3935"/>
                <w:w w:val="86"/>
              </w:rPr>
              <w:t>: </w:t>
            </w:r>
          </w:p>
        </w:tc>
        <w:tc>
          <w:tcPr>
            <w:tcW w:w="5560" w:type="dxa"/>
            <w:vAlign w:val="bottom"/>
            <w:tcBorders>
              <w:top w:val="single" w:sz="8" w:color="3E3935"/>
            </w:tcBorders>
            <w:vMerge w:val="restart"/>
          </w:tcPr>
          <w:p>
            <w:pPr>
              <w:ind w:left="80"/>
              <w:spacing w:after="0"/>
              <w:rPr>
                <w:sz w:val="20"/>
                <w:szCs w:val="20"/>
                <w:color w:val="auto"/>
              </w:rPr>
            </w:pPr>
            <w:r>
              <w:rPr>
                <w:rFonts w:ascii="Arial" w:cs="Arial" w:eastAsia="Arial" w:hAnsi="Arial"/>
                <w:sz w:val="20"/>
                <w:szCs w:val="20"/>
                <w:color w:val="3E3935"/>
              </w:rPr>
              <w:t> Annual Election of Directors</w:t>
            </w:r>
          </w:p>
        </w:tc>
        <w:tc>
          <w:tcPr>
            <w:tcW w:w="2700" w:type="dxa"/>
            <w:vAlign w:val="bottom"/>
            <w:tcBorders>
              <w:top w:val="single" w:sz="8" w:color="3E3935"/>
            </w:tcBorders>
          </w:tcPr>
          <w:p>
            <w:pPr>
              <w:jc w:val="center"/>
              <w:spacing w:after="0"/>
              <w:rPr>
                <w:sz w:val="20"/>
                <w:szCs w:val="20"/>
                <w:color w:val="auto"/>
              </w:rPr>
            </w:pPr>
            <w:r>
              <w:rPr>
                <w:rFonts w:ascii="Arial" w:cs="Arial" w:eastAsia="Arial" w:hAnsi="Arial"/>
                <w:sz w:val="20"/>
                <w:szCs w:val="20"/>
                <w:b w:val="1"/>
                <w:bCs w:val="1"/>
                <w:color w:val="00C1DE"/>
                <w:w w:val="94"/>
              </w:rPr>
              <w:t>FOR</w:t>
            </w:r>
          </w:p>
        </w:tc>
        <w:tc>
          <w:tcPr>
            <w:tcW w:w="1540" w:type="dxa"/>
            <w:vAlign w:val="bottom"/>
            <w:tcBorders>
              <w:top w:val="single" w:sz="8" w:color="3E3935"/>
            </w:tcBorders>
            <w:vMerge w:val="restart"/>
          </w:tcPr>
          <w:p>
            <w:pPr>
              <w:jc w:val="center"/>
              <w:ind w:left="187"/>
              <w:spacing w:after="0"/>
              <w:rPr>
                <w:sz w:val="20"/>
                <w:szCs w:val="20"/>
                <w:color w:val="auto"/>
              </w:rPr>
            </w:pPr>
            <w:r>
              <w:rPr>
                <w:rFonts w:ascii="Arial" w:cs="Arial" w:eastAsia="Arial" w:hAnsi="Arial"/>
                <w:sz w:val="20"/>
                <w:szCs w:val="20"/>
                <w:color w:val="3E3935"/>
                <w:w w:val="98"/>
              </w:rPr>
              <w:t>12</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7"/>
        </w:trPr>
        <w:tc>
          <w:tcPr>
            <w:tcW w:w="20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5560" w:type="dxa"/>
            <w:vAlign w:val="bottom"/>
            <w:vMerge w:val="continue"/>
          </w:tcPr>
          <w:p>
            <w:pPr>
              <w:spacing w:after="0"/>
              <w:rPr>
                <w:sz w:val="15"/>
                <w:szCs w:val="15"/>
                <w:color w:val="auto"/>
              </w:rPr>
            </w:pPr>
          </w:p>
        </w:tc>
        <w:tc>
          <w:tcPr>
            <w:tcW w:w="2700" w:type="dxa"/>
            <w:vAlign w:val="bottom"/>
            <w:vMerge w:val="restart"/>
          </w:tcPr>
          <w:p>
            <w:pPr>
              <w:jc w:val="center"/>
              <w:spacing w:after="0"/>
              <w:rPr>
                <w:sz w:val="20"/>
                <w:szCs w:val="20"/>
                <w:color w:val="auto"/>
              </w:rPr>
            </w:pPr>
            <w:r>
              <w:rPr>
                <w:rFonts w:ascii="Arial" w:cs="Arial" w:eastAsia="Arial" w:hAnsi="Arial"/>
                <w:sz w:val="20"/>
                <w:szCs w:val="20"/>
                <w:color w:val="00C1DE"/>
                <w:w w:val="99"/>
              </w:rPr>
              <w:t>each director nominee</w:t>
            </w:r>
          </w:p>
        </w:tc>
        <w:tc>
          <w:tcPr>
            <w:tcW w:w="154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4"/>
        </w:trPr>
        <w:tc>
          <w:tcPr>
            <w:tcW w:w="200" w:type="dxa"/>
            <w:vAlign w:val="bottom"/>
          </w:tcPr>
          <w:p>
            <w:pPr>
              <w:spacing w:after="0"/>
              <w:rPr>
                <w:sz w:val="7"/>
                <w:szCs w:val="7"/>
                <w:color w:val="auto"/>
              </w:rPr>
            </w:pPr>
          </w:p>
        </w:tc>
        <w:tc>
          <w:tcPr>
            <w:tcW w:w="800" w:type="dxa"/>
            <w:vAlign w:val="bottom"/>
          </w:tcPr>
          <w:p>
            <w:pPr>
              <w:spacing w:after="0"/>
              <w:rPr>
                <w:sz w:val="7"/>
                <w:szCs w:val="7"/>
                <w:color w:val="auto"/>
              </w:rPr>
            </w:pPr>
          </w:p>
        </w:tc>
        <w:tc>
          <w:tcPr>
            <w:tcW w:w="5560" w:type="dxa"/>
            <w:vAlign w:val="bottom"/>
          </w:tcPr>
          <w:p>
            <w:pPr>
              <w:spacing w:after="0"/>
              <w:rPr>
                <w:sz w:val="7"/>
                <w:szCs w:val="7"/>
                <w:color w:val="auto"/>
              </w:rPr>
            </w:pPr>
          </w:p>
        </w:tc>
        <w:tc>
          <w:tcPr>
            <w:tcW w:w="2700" w:type="dxa"/>
            <w:vAlign w:val="bottom"/>
            <w:vMerge w:val="continue"/>
          </w:tcPr>
          <w:p>
            <w:pPr>
              <w:spacing w:after="0"/>
              <w:rPr>
                <w:sz w:val="7"/>
                <w:szCs w:val="7"/>
                <w:color w:val="auto"/>
              </w:rPr>
            </w:pPr>
          </w:p>
        </w:tc>
        <w:tc>
          <w:tcPr>
            <w:tcW w:w="1540" w:type="dxa"/>
            <w:vAlign w:val="bottom"/>
          </w:tcPr>
          <w:p>
            <w:pPr>
              <w:spacing w:after="0"/>
              <w:rPr>
                <w:sz w:val="7"/>
                <w:szCs w:val="7"/>
                <w:color w:val="auto"/>
              </w:rPr>
            </w:pPr>
          </w:p>
        </w:tc>
        <w:tc>
          <w:tcPr>
            <w:tcW w:w="2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3"/>
        </w:trPr>
        <w:tc>
          <w:tcPr>
            <w:tcW w:w="200" w:type="dxa"/>
            <w:vAlign w:val="bottom"/>
          </w:tcPr>
          <w:p>
            <w:pPr>
              <w:spacing w:after="0"/>
              <w:rPr>
                <w:sz w:val="18"/>
                <w:szCs w:val="18"/>
                <w:color w:val="auto"/>
              </w:rPr>
            </w:pPr>
          </w:p>
        </w:tc>
        <w:tc>
          <w:tcPr>
            <w:tcW w:w="800" w:type="dxa"/>
            <w:vAlign w:val="bottom"/>
            <w:tcBorders>
              <w:bottom w:val="single" w:sz="8" w:color="E2E1E0"/>
            </w:tcBorders>
          </w:tcPr>
          <w:p>
            <w:pPr>
              <w:spacing w:after="0"/>
              <w:rPr>
                <w:sz w:val="18"/>
                <w:szCs w:val="18"/>
                <w:color w:val="auto"/>
              </w:rPr>
            </w:pPr>
          </w:p>
        </w:tc>
        <w:tc>
          <w:tcPr>
            <w:tcW w:w="5560" w:type="dxa"/>
            <w:vAlign w:val="bottom"/>
            <w:tcBorders>
              <w:bottom w:val="single" w:sz="8" w:color="E2E1E0"/>
            </w:tcBorders>
          </w:tcPr>
          <w:p>
            <w:pPr>
              <w:spacing w:after="0"/>
              <w:rPr>
                <w:sz w:val="18"/>
                <w:szCs w:val="18"/>
                <w:color w:val="auto"/>
              </w:rPr>
            </w:pPr>
          </w:p>
        </w:tc>
        <w:tc>
          <w:tcPr>
            <w:tcW w:w="2700" w:type="dxa"/>
            <w:vAlign w:val="bottom"/>
            <w:tcBorders>
              <w:bottom w:val="single" w:sz="8" w:color="E2E1E0"/>
            </w:tcBorders>
          </w:tcPr>
          <w:p>
            <w:pPr>
              <w:spacing w:after="0"/>
              <w:rPr>
                <w:sz w:val="18"/>
                <w:szCs w:val="18"/>
                <w:color w:val="auto"/>
              </w:rPr>
            </w:pPr>
          </w:p>
        </w:tc>
        <w:tc>
          <w:tcPr>
            <w:tcW w:w="1540" w:type="dxa"/>
            <w:vAlign w:val="bottom"/>
            <w:tcBorders>
              <w:bottom w:val="single" w:sz="8" w:color="E2E1E0"/>
            </w:tcBorders>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7"/>
        </w:trPr>
        <w:tc>
          <w:tcPr>
            <w:tcW w:w="200" w:type="dxa"/>
            <w:vAlign w:val="bottom"/>
          </w:tcPr>
          <w:p>
            <w:pPr>
              <w:spacing w:after="0"/>
              <w:rPr>
                <w:sz w:val="24"/>
                <w:szCs w:val="24"/>
                <w:color w:val="auto"/>
              </w:rPr>
            </w:pPr>
          </w:p>
        </w:tc>
        <w:tc>
          <w:tcPr>
            <w:tcW w:w="800" w:type="dxa"/>
            <w:vAlign w:val="bottom"/>
          </w:tcPr>
          <w:p>
            <w:pPr>
              <w:ind w:left="60"/>
              <w:spacing w:after="0"/>
              <w:rPr>
                <w:sz w:val="20"/>
                <w:szCs w:val="20"/>
                <w:color w:val="auto"/>
              </w:rPr>
            </w:pPr>
            <w:r>
              <w:rPr>
                <w:rFonts w:ascii="Arial" w:cs="Arial" w:eastAsia="Arial" w:hAnsi="Arial"/>
                <w:sz w:val="20"/>
                <w:szCs w:val="20"/>
                <w:b w:val="1"/>
                <w:bCs w:val="1"/>
                <w:color w:val="3E3935"/>
                <w:w w:val="86"/>
              </w:rPr>
              <w:t>Item 2</w:t>
            </w:r>
            <w:r>
              <w:rPr>
                <w:rFonts w:ascii="Arial" w:cs="Arial" w:eastAsia="Arial" w:hAnsi="Arial"/>
                <w:sz w:val="20"/>
                <w:szCs w:val="20"/>
                <w:color w:val="3E3935"/>
                <w:w w:val="86"/>
              </w:rPr>
              <w:t>: </w:t>
            </w:r>
          </w:p>
        </w:tc>
        <w:tc>
          <w:tcPr>
            <w:tcW w:w="5560" w:type="dxa"/>
            <w:vAlign w:val="bottom"/>
          </w:tcPr>
          <w:p>
            <w:pPr>
              <w:ind w:left="80"/>
              <w:spacing w:after="0"/>
              <w:rPr>
                <w:sz w:val="20"/>
                <w:szCs w:val="20"/>
                <w:color w:val="auto"/>
              </w:rPr>
            </w:pPr>
            <w:r>
              <w:rPr>
                <w:rFonts w:ascii="Arial" w:cs="Arial" w:eastAsia="Arial" w:hAnsi="Arial"/>
                <w:sz w:val="20"/>
                <w:szCs w:val="20"/>
                <w:color w:val="3E3935"/>
              </w:rPr>
              <w:t>Proposal to Ratify the Selection of Ernst &amp; Young LLP as</w:t>
            </w:r>
          </w:p>
        </w:tc>
        <w:tc>
          <w:tcPr>
            <w:tcW w:w="2700" w:type="dxa"/>
            <w:vAlign w:val="bottom"/>
            <w:vMerge w:val="restart"/>
          </w:tcPr>
          <w:p>
            <w:pPr>
              <w:jc w:val="center"/>
              <w:spacing w:after="0"/>
              <w:rPr>
                <w:sz w:val="20"/>
                <w:szCs w:val="20"/>
                <w:color w:val="auto"/>
              </w:rPr>
            </w:pPr>
            <w:r>
              <w:rPr>
                <w:rFonts w:ascii="Arial" w:cs="Arial" w:eastAsia="Arial" w:hAnsi="Arial"/>
                <w:sz w:val="20"/>
                <w:szCs w:val="20"/>
                <w:b w:val="1"/>
                <w:bCs w:val="1"/>
                <w:color w:val="00C1DE"/>
                <w:w w:val="94"/>
              </w:rPr>
              <w:t>FOR</w:t>
            </w:r>
          </w:p>
        </w:tc>
        <w:tc>
          <w:tcPr>
            <w:tcW w:w="1540" w:type="dxa"/>
            <w:vAlign w:val="bottom"/>
            <w:vMerge w:val="restart"/>
          </w:tcPr>
          <w:p>
            <w:pPr>
              <w:jc w:val="center"/>
              <w:ind w:left="187"/>
              <w:spacing w:after="0"/>
              <w:rPr>
                <w:sz w:val="20"/>
                <w:szCs w:val="20"/>
                <w:color w:val="auto"/>
              </w:rPr>
            </w:pPr>
            <w:r>
              <w:rPr>
                <w:rFonts w:ascii="Arial" w:cs="Arial" w:eastAsia="Arial" w:hAnsi="Arial"/>
                <w:sz w:val="20"/>
                <w:szCs w:val="20"/>
                <w:color w:val="3E3935"/>
                <w:w w:val="98"/>
              </w:rPr>
              <w:t>46</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7"/>
        </w:trPr>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560" w:type="dxa"/>
            <w:vAlign w:val="bottom"/>
            <w:vMerge w:val="restart"/>
          </w:tcPr>
          <w:p>
            <w:pPr>
              <w:ind w:left="80"/>
              <w:spacing w:after="0" w:line="216" w:lineRule="exact"/>
              <w:rPr>
                <w:sz w:val="20"/>
                <w:szCs w:val="20"/>
                <w:color w:val="auto"/>
              </w:rPr>
            </w:pPr>
            <w:r>
              <w:rPr>
                <w:rFonts w:ascii="Arial" w:cs="Arial" w:eastAsia="Arial" w:hAnsi="Arial"/>
                <w:sz w:val="20"/>
                <w:szCs w:val="20"/>
                <w:color w:val="3E3935"/>
              </w:rPr>
              <w:t>the Company’s Independent Registered Public Accounting</w:t>
            </w:r>
          </w:p>
        </w:tc>
        <w:tc>
          <w:tcPr>
            <w:tcW w:w="2700" w:type="dxa"/>
            <w:vAlign w:val="bottom"/>
            <w:vMerge w:val="continue"/>
          </w:tcPr>
          <w:p>
            <w:pPr>
              <w:spacing w:after="0"/>
              <w:rPr>
                <w:sz w:val="15"/>
                <w:szCs w:val="15"/>
                <w:color w:val="auto"/>
              </w:rPr>
            </w:pPr>
          </w:p>
        </w:tc>
        <w:tc>
          <w:tcPr>
            <w:tcW w:w="154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
        </w:trPr>
        <w:tc>
          <w:tcPr>
            <w:tcW w:w="200" w:type="dxa"/>
            <w:vAlign w:val="bottom"/>
          </w:tcPr>
          <w:p>
            <w:pPr>
              <w:spacing w:after="0"/>
              <w:rPr>
                <w:sz w:val="3"/>
                <w:szCs w:val="3"/>
                <w:color w:val="auto"/>
              </w:rPr>
            </w:pPr>
          </w:p>
        </w:tc>
        <w:tc>
          <w:tcPr>
            <w:tcW w:w="800" w:type="dxa"/>
            <w:vAlign w:val="bottom"/>
          </w:tcPr>
          <w:p>
            <w:pPr>
              <w:spacing w:after="0"/>
              <w:rPr>
                <w:sz w:val="3"/>
                <w:szCs w:val="3"/>
                <w:color w:val="auto"/>
              </w:rPr>
            </w:pPr>
          </w:p>
        </w:tc>
        <w:tc>
          <w:tcPr>
            <w:tcW w:w="5560" w:type="dxa"/>
            <w:vAlign w:val="bottom"/>
            <w:vMerge w:val="continue"/>
          </w:tcPr>
          <w:p>
            <w:pPr>
              <w:spacing w:after="0"/>
              <w:rPr>
                <w:sz w:val="3"/>
                <w:szCs w:val="3"/>
                <w:color w:val="auto"/>
              </w:rPr>
            </w:pPr>
          </w:p>
        </w:tc>
        <w:tc>
          <w:tcPr>
            <w:tcW w:w="2700" w:type="dxa"/>
            <w:vAlign w:val="bottom"/>
          </w:tcPr>
          <w:p>
            <w:pPr>
              <w:spacing w:after="0"/>
              <w:rPr>
                <w:sz w:val="3"/>
                <w:szCs w:val="3"/>
                <w:color w:val="auto"/>
              </w:rPr>
            </w:pPr>
          </w:p>
        </w:tc>
        <w:tc>
          <w:tcPr>
            <w:tcW w:w="1540" w:type="dxa"/>
            <w:vAlign w:val="bottom"/>
          </w:tcPr>
          <w:p>
            <w:pPr>
              <w:spacing w:after="0"/>
              <w:rPr>
                <w:sz w:val="3"/>
                <w:szCs w:val="3"/>
                <w:color w:val="auto"/>
              </w:rPr>
            </w:pPr>
          </w:p>
        </w:tc>
        <w:tc>
          <w:tcPr>
            <w:tcW w:w="2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61"/>
        </w:trPr>
        <w:tc>
          <w:tcPr>
            <w:tcW w:w="2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5560" w:type="dxa"/>
            <w:vAlign w:val="bottom"/>
          </w:tcPr>
          <w:p>
            <w:pPr>
              <w:ind w:left="80"/>
              <w:spacing w:after="0"/>
              <w:rPr>
                <w:sz w:val="20"/>
                <w:szCs w:val="20"/>
                <w:color w:val="auto"/>
              </w:rPr>
            </w:pPr>
            <w:r>
              <w:rPr>
                <w:rFonts w:ascii="Arial" w:cs="Arial" w:eastAsia="Arial" w:hAnsi="Arial"/>
                <w:sz w:val="20"/>
                <w:szCs w:val="20"/>
                <w:color w:val="3E3935"/>
              </w:rPr>
              <w:t>Firm for 2023</w:t>
            </w:r>
          </w:p>
        </w:tc>
        <w:tc>
          <w:tcPr>
            <w:tcW w:w="270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9"/>
        </w:trPr>
        <w:tc>
          <w:tcPr>
            <w:tcW w:w="200" w:type="dxa"/>
            <w:vAlign w:val="bottom"/>
          </w:tcPr>
          <w:p>
            <w:pPr>
              <w:spacing w:after="0"/>
              <w:rPr>
                <w:sz w:val="17"/>
                <w:szCs w:val="17"/>
                <w:color w:val="auto"/>
              </w:rPr>
            </w:pPr>
          </w:p>
        </w:tc>
        <w:tc>
          <w:tcPr>
            <w:tcW w:w="800" w:type="dxa"/>
            <w:vAlign w:val="bottom"/>
            <w:tcBorders>
              <w:bottom w:val="single" w:sz="8" w:color="E2E1E0"/>
            </w:tcBorders>
          </w:tcPr>
          <w:p>
            <w:pPr>
              <w:spacing w:after="0"/>
              <w:rPr>
                <w:sz w:val="17"/>
                <w:szCs w:val="17"/>
                <w:color w:val="auto"/>
              </w:rPr>
            </w:pPr>
          </w:p>
        </w:tc>
        <w:tc>
          <w:tcPr>
            <w:tcW w:w="5560" w:type="dxa"/>
            <w:vAlign w:val="bottom"/>
            <w:tcBorders>
              <w:bottom w:val="single" w:sz="8" w:color="E2E1E0"/>
            </w:tcBorders>
          </w:tcPr>
          <w:p>
            <w:pPr>
              <w:spacing w:after="0"/>
              <w:rPr>
                <w:sz w:val="17"/>
                <w:szCs w:val="17"/>
                <w:color w:val="auto"/>
              </w:rPr>
            </w:pPr>
          </w:p>
        </w:tc>
        <w:tc>
          <w:tcPr>
            <w:tcW w:w="2700" w:type="dxa"/>
            <w:vAlign w:val="bottom"/>
            <w:tcBorders>
              <w:bottom w:val="single" w:sz="8" w:color="E2E1E0"/>
            </w:tcBorders>
          </w:tcPr>
          <w:p>
            <w:pPr>
              <w:spacing w:after="0"/>
              <w:rPr>
                <w:sz w:val="17"/>
                <w:szCs w:val="17"/>
                <w:color w:val="auto"/>
              </w:rPr>
            </w:pPr>
          </w:p>
        </w:tc>
        <w:tc>
          <w:tcPr>
            <w:tcW w:w="1540" w:type="dxa"/>
            <w:vAlign w:val="bottom"/>
            <w:tcBorders>
              <w:bottom w:val="single" w:sz="8" w:color="E2E1E0"/>
            </w:tcBorders>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97"/>
        </w:trPr>
        <w:tc>
          <w:tcPr>
            <w:tcW w:w="200" w:type="dxa"/>
            <w:vAlign w:val="bottom"/>
          </w:tcPr>
          <w:p>
            <w:pPr>
              <w:spacing w:after="0"/>
              <w:rPr>
                <w:sz w:val="24"/>
                <w:szCs w:val="24"/>
                <w:color w:val="auto"/>
              </w:rPr>
            </w:pPr>
          </w:p>
        </w:tc>
        <w:tc>
          <w:tcPr>
            <w:tcW w:w="800" w:type="dxa"/>
            <w:vAlign w:val="bottom"/>
          </w:tcPr>
          <w:p>
            <w:pPr>
              <w:ind w:left="60"/>
              <w:spacing w:after="0"/>
              <w:rPr>
                <w:sz w:val="20"/>
                <w:szCs w:val="20"/>
                <w:color w:val="auto"/>
              </w:rPr>
            </w:pPr>
            <w:r>
              <w:rPr>
                <w:rFonts w:ascii="Arial" w:cs="Arial" w:eastAsia="Arial" w:hAnsi="Arial"/>
                <w:sz w:val="20"/>
                <w:szCs w:val="20"/>
                <w:b w:val="1"/>
                <w:bCs w:val="1"/>
                <w:color w:val="3E3935"/>
                <w:w w:val="86"/>
              </w:rPr>
              <w:t>Item 3</w:t>
            </w:r>
            <w:r>
              <w:rPr>
                <w:rFonts w:ascii="Arial" w:cs="Arial" w:eastAsia="Arial" w:hAnsi="Arial"/>
                <w:sz w:val="20"/>
                <w:szCs w:val="20"/>
                <w:color w:val="3E3935"/>
                <w:w w:val="86"/>
              </w:rPr>
              <w:t>: </w:t>
            </w:r>
          </w:p>
        </w:tc>
        <w:tc>
          <w:tcPr>
            <w:tcW w:w="5560" w:type="dxa"/>
            <w:vAlign w:val="bottom"/>
          </w:tcPr>
          <w:p>
            <w:pPr>
              <w:ind w:left="80"/>
              <w:spacing w:after="0"/>
              <w:rPr>
                <w:sz w:val="20"/>
                <w:szCs w:val="20"/>
                <w:color w:val="auto"/>
              </w:rPr>
            </w:pPr>
            <w:r>
              <w:rPr>
                <w:rFonts w:ascii="Arial" w:cs="Arial" w:eastAsia="Arial" w:hAnsi="Arial"/>
                <w:sz w:val="20"/>
                <w:szCs w:val="20"/>
                <w:color w:val="3E3935"/>
              </w:rPr>
              <w:t>Proposal to Approve, on an Advisory Basis, Named</w:t>
            </w:r>
          </w:p>
        </w:tc>
        <w:tc>
          <w:tcPr>
            <w:tcW w:w="2700" w:type="dxa"/>
            <w:vAlign w:val="bottom"/>
            <w:vMerge w:val="restart"/>
          </w:tcPr>
          <w:p>
            <w:pPr>
              <w:jc w:val="center"/>
              <w:spacing w:after="0"/>
              <w:rPr>
                <w:sz w:val="20"/>
                <w:szCs w:val="20"/>
                <w:color w:val="auto"/>
              </w:rPr>
            </w:pPr>
            <w:r>
              <w:rPr>
                <w:rFonts w:ascii="Arial" w:cs="Arial" w:eastAsia="Arial" w:hAnsi="Arial"/>
                <w:sz w:val="20"/>
                <w:szCs w:val="20"/>
                <w:b w:val="1"/>
                <w:bCs w:val="1"/>
                <w:color w:val="00C1DE"/>
                <w:w w:val="94"/>
              </w:rPr>
              <w:t>FOR</w:t>
            </w:r>
          </w:p>
        </w:tc>
        <w:tc>
          <w:tcPr>
            <w:tcW w:w="1540" w:type="dxa"/>
            <w:vAlign w:val="bottom"/>
            <w:vMerge w:val="restart"/>
          </w:tcPr>
          <w:p>
            <w:pPr>
              <w:jc w:val="center"/>
              <w:ind w:left="187"/>
              <w:spacing w:after="0"/>
              <w:rPr>
                <w:sz w:val="20"/>
                <w:szCs w:val="20"/>
                <w:color w:val="auto"/>
              </w:rPr>
            </w:pPr>
            <w:r>
              <w:rPr>
                <w:rFonts w:ascii="Arial" w:cs="Arial" w:eastAsia="Arial" w:hAnsi="Arial"/>
                <w:sz w:val="20"/>
                <w:szCs w:val="20"/>
                <w:color w:val="3E3935"/>
                <w:w w:val="98"/>
              </w:rPr>
              <w:t>50</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7"/>
        </w:trPr>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560" w:type="dxa"/>
            <w:vAlign w:val="bottom"/>
            <w:vMerge w:val="restart"/>
          </w:tcPr>
          <w:p>
            <w:pPr>
              <w:ind w:left="80"/>
              <w:spacing w:after="0"/>
              <w:rPr>
                <w:sz w:val="20"/>
                <w:szCs w:val="20"/>
                <w:color w:val="auto"/>
              </w:rPr>
            </w:pPr>
            <w:r>
              <w:rPr>
                <w:rFonts w:ascii="Arial" w:cs="Arial" w:eastAsia="Arial" w:hAnsi="Arial"/>
                <w:sz w:val="20"/>
                <w:szCs w:val="20"/>
                <w:color w:val="3E3935"/>
              </w:rPr>
              <w:t>Executive Officer Compensation</w:t>
            </w:r>
          </w:p>
        </w:tc>
        <w:tc>
          <w:tcPr>
            <w:tcW w:w="2700" w:type="dxa"/>
            <w:vAlign w:val="bottom"/>
            <w:vMerge w:val="continue"/>
          </w:tcPr>
          <w:p>
            <w:pPr>
              <w:spacing w:after="0"/>
              <w:rPr>
                <w:sz w:val="15"/>
                <w:szCs w:val="15"/>
                <w:color w:val="auto"/>
              </w:rPr>
            </w:pPr>
          </w:p>
        </w:tc>
        <w:tc>
          <w:tcPr>
            <w:tcW w:w="154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5"/>
        </w:trPr>
        <w:tc>
          <w:tcPr>
            <w:tcW w:w="200" w:type="dxa"/>
            <w:vAlign w:val="bottom"/>
          </w:tcPr>
          <w:p>
            <w:pPr>
              <w:spacing w:after="0"/>
              <w:rPr>
                <w:sz w:val="7"/>
                <w:szCs w:val="7"/>
                <w:color w:val="auto"/>
              </w:rPr>
            </w:pPr>
          </w:p>
        </w:tc>
        <w:tc>
          <w:tcPr>
            <w:tcW w:w="800" w:type="dxa"/>
            <w:vAlign w:val="bottom"/>
          </w:tcPr>
          <w:p>
            <w:pPr>
              <w:spacing w:after="0"/>
              <w:rPr>
                <w:sz w:val="7"/>
                <w:szCs w:val="7"/>
                <w:color w:val="auto"/>
              </w:rPr>
            </w:pPr>
          </w:p>
        </w:tc>
        <w:tc>
          <w:tcPr>
            <w:tcW w:w="5560" w:type="dxa"/>
            <w:vAlign w:val="bottom"/>
            <w:vMerge w:val="continue"/>
          </w:tcPr>
          <w:p>
            <w:pPr>
              <w:spacing w:after="0"/>
              <w:rPr>
                <w:sz w:val="7"/>
                <w:szCs w:val="7"/>
                <w:color w:val="auto"/>
              </w:rPr>
            </w:pPr>
          </w:p>
        </w:tc>
        <w:tc>
          <w:tcPr>
            <w:tcW w:w="2700" w:type="dxa"/>
            <w:vAlign w:val="bottom"/>
          </w:tcPr>
          <w:p>
            <w:pPr>
              <w:spacing w:after="0"/>
              <w:rPr>
                <w:sz w:val="7"/>
                <w:szCs w:val="7"/>
                <w:color w:val="auto"/>
              </w:rPr>
            </w:pPr>
          </w:p>
        </w:tc>
        <w:tc>
          <w:tcPr>
            <w:tcW w:w="1540" w:type="dxa"/>
            <w:vAlign w:val="bottom"/>
          </w:tcPr>
          <w:p>
            <w:pPr>
              <w:spacing w:after="0"/>
              <w:rPr>
                <w:sz w:val="7"/>
                <w:szCs w:val="7"/>
                <w:color w:val="auto"/>
              </w:rPr>
            </w:pPr>
          </w:p>
        </w:tc>
        <w:tc>
          <w:tcPr>
            <w:tcW w:w="2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9"/>
        </w:trPr>
        <w:tc>
          <w:tcPr>
            <w:tcW w:w="200" w:type="dxa"/>
            <w:vAlign w:val="bottom"/>
          </w:tcPr>
          <w:p>
            <w:pPr>
              <w:spacing w:after="0"/>
              <w:rPr>
                <w:sz w:val="17"/>
                <w:szCs w:val="17"/>
                <w:color w:val="auto"/>
              </w:rPr>
            </w:pPr>
          </w:p>
        </w:tc>
        <w:tc>
          <w:tcPr>
            <w:tcW w:w="800" w:type="dxa"/>
            <w:vAlign w:val="bottom"/>
            <w:tcBorders>
              <w:bottom w:val="single" w:sz="8" w:color="E2E1E0"/>
            </w:tcBorders>
          </w:tcPr>
          <w:p>
            <w:pPr>
              <w:spacing w:after="0"/>
              <w:rPr>
                <w:sz w:val="17"/>
                <w:szCs w:val="17"/>
                <w:color w:val="auto"/>
              </w:rPr>
            </w:pPr>
          </w:p>
        </w:tc>
        <w:tc>
          <w:tcPr>
            <w:tcW w:w="5560" w:type="dxa"/>
            <w:vAlign w:val="bottom"/>
            <w:tcBorders>
              <w:bottom w:val="single" w:sz="8" w:color="E2E1E0"/>
            </w:tcBorders>
          </w:tcPr>
          <w:p>
            <w:pPr>
              <w:spacing w:after="0"/>
              <w:rPr>
                <w:sz w:val="17"/>
                <w:szCs w:val="17"/>
                <w:color w:val="auto"/>
              </w:rPr>
            </w:pPr>
          </w:p>
        </w:tc>
        <w:tc>
          <w:tcPr>
            <w:tcW w:w="2700" w:type="dxa"/>
            <w:vAlign w:val="bottom"/>
            <w:tcBorders>
              <w:bottom w:val="single" w:sz="8" w:color="E2E1E0"/>
            </w:tcBorders>
          </w:tcPr>
          <w:p>
            <w:pPr>
              <w:spacing w:after="0"/>
              <w:rPr>
                <w:sz w:val="17"/>
                <w:szCs w:val="17"/>
                <w:color w:val="auto"/>
              </w:rPr>
            </w:pPr>
          </w:p>
        </w:tc>
        <w:tc>
          <w:tcPr>
            <w:tcW w:w="1540" w:type="dxa"/>
            <w:vAlign w:val="bottom"/>
            <w:tcBorders>
              <w:bottom w:val="single" w:sz="8" w:color="E2E1E0"/>
            </w:tcBorders>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97"/>
        </w:trPr>
        <w:tc>
          <w:tcPr>
            <w:tcW w:w="200" w:type="dxa"/>
            <w:vAlign w:val="bottom"/>
          </w:tcPr>
          <w:p>
            <w:pPr>
              <w:spacing w:after="0"/>
              <w:rPr>
                <w:sz w:val="24"/>
                <w:szCs w:val="24"/>
                <w:color w:val="auto"/>
              </w:rPr>
            </w:pPr>
          </w:p>
        </w:tc>
        <w:tc>
          <w:tcPr>
            <w:tcW w:w="800" w:type="dxa"/>
            <w:vAlign w:val="bottom"/>
          </w:tcPr>
          <w:p>
            <w:pPr>
              <w:ind w:left="60"/>
              <w:spacing w:after="0"/>
              <w:rPr>
                <w:sz w:val="20"/>
                <w:szCs w:val="20"/>
                <w:color w:val="auto"/>
              </w:rPr>
            </w:pPr>
            <w:r>
              <w:rPr>
                <w:rFonts w:ascii="Arial" w:cs="Arial" w:eastAsia="Arial" w:hAnsi="Arial"/>
                <w:sz w:val="20"/>
                <w:szCs w:val="20"/>
                <w:b w:val="1"/>
                <w:bCs w:val="1"/>
                <w:color w:val="3E3935"/>
                <w:w w:val="86"/>
              </w:rPr>
              <w:t>Item 4</w:t>
            </w:r>
            <w:r>
              <w:rPr>
                <w:rFonts w:ascii="Arial" w:cs="Arial" w:eastAsia="Arial" w:hAnsi="Arial"/>
                <w:sz w:val="20"/>
                <w:szCs w:val="20"/>
                <w:color w:val="3E3935"/>
                <w:w w:val="86"/>
              </w:rPr>
              <w:t>: </w:t>
            </w:r>
          </w:p>
        </w:tc>
        <w:tc>
          <w:tcPr>
            <w:tcW w:w="5560" w:type="dxa"/>
            <w:vAlign w:val="bottom"/>
          </w:tcPr>
          <w:p>
            <w:pPr>
              <w:ind w:left="80"/>
              <w:spacing w:after="0"/>
              <w:rPr>
                <w:sz w:val="20"/>
                <w:szCs w:val="20"/>
                <w:color w:val="auto"/>
              </w:rPr>
            </w:pPr>
            <w:r>
              <w:rPr>
                <w:rFonts w:ascii="Arial" w:cs="Arial" w:eastAsia="Arial" w:hAnsi="Arial"/>
                <w:sz w:val="20"/>
                <w:szCs w:val="20"/>
                <w:color w:val="3E3935"/>
              </w:rPr>
              <w:t>Proposal to Approve Amendment No. 1 to the Company’s</w:t>
            </w:r>
          </w:p>
        </w:tc>
        <w:tc>
          <w:tcPr>
            <w:tcW w:w="2700" w:type="dxa"/>
            <w:vAlign w:val="bottom"/>
            <w:vMerge w:val="restart"/>
          </w:tcPr>
          <w:p>
            <w:pPr>
              <w:jc w:val="center"/>
              <w:spacing w:after="0"/>
              <w:rPr>
                <w:sz w:val="20"/>
                <w:szCs w:val="20"/>
                <w:color w:val="auto"/>
              </w:rPr>
            </w:pPr>
            <w:r>
              <w:rPr>
                <w:rFonts w:ascii="Arial" w:cs="Arial" w:eastAsia="Arial" w:hAnsi="Arial"/>
                <w:sz w:val="20"/>
                <w:szCs w:val="20"/>
                <w:b w:val="1"/>
                <w:bCs w:val="1"/>
                <w:color w:val="00C1DE"/>
                <w:w w:val="94"/>
              </w:rPr>
              <w:t>FOR</w:t>
            </w:r>
          </w:p>
        </w:tc>
        <w:tc>
          <w:tcPr>
            <w:tcW w:w="1540" w:type="dxa"/>
            <w:vAlign w:val="bottom"/>
            <w:vMerge w:val="restart"/>
          </w:tcPr>
          <w:p>
            <w:pPr>
              <w:jc w:val="center"/>
              <w:ind w:left="187"/>
              <w:spacing w:after="0"/>
              <w:rPr>
                <w:sz w:val="20"/>
                <w:szCs w:val="20"/>
                <w:color w:val="auto"/>
              </w:rPr>
            </w:pPr>
            <w:r>
              <w:rPr>
                <w:rFonts w:ascii="Arial" w:cs="Arial" w:eastAsia="Arial" w:hAnsi="Arial"/>
                <w:sz w:val="20"/>
                <w:szCs w:val="20"/>
                <w:color w:val="3E3935"/>
                <w:w w:val="98"/>
              </w:rPr>
              <w:t>88</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7"/>
        </w:trPr>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560" w:type="dxa"/>
            <w:vAlign w:val="bottom"/>
            <w:vMerge w:val="restart"/>
          </w:tcPr>
          <w:p>
            <w:pPr>
              <w:ind w:left="80"/>
              <w:spacing w:after="0" w:line="216" w:lineRule="exact"/>
              <w:rPr>
                <w:sz w:val="20"/>
                <w:szCs w:val="20"/>
                <w:color w:val="auto"/>
              </w:rPr>
            </w:pPr>
            <w:r>
              <w:rPr>
                <w:rFonts w:ascii="Arial" w:cs="Arial" w:eastAsia="Arial" w:hAnsi="Arial"/>
                <w:sz w:val="20"/>
                <w:szCs w:val="20"/>
                <w:color w:val="3E3935"/>
              </w:rPr>
              <w:t>2020 Long-Term Incentive Plan to Increase the Number of</w:t>
            </w:r>
          </w:p>
        </w:tc>
        <w:tc>
          <w:tcPr>
            <w:tcW w:w="2700" w:type="dxa"/>
            <w:vAlign w:val="bottom"/>
            <w:vMerge w:val="continue"/>
          </w:tcPr>
          <w:p>
            <w:pPr>
              <w:spacing w:after="0"/>
              <w:rPr>
                <w:sz w:val="15"/>
                <w:szCs w:val="15"/>
                <w:color w:val="auto"/>
              </w:rPr>
            </w:pPr>
          </w:p>
        </w:tc>
        <w:tc>
          <w:tcPr>
            <w:tcW w:w="154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
        </w:trPr>
        <w:tc>
          <w:tcPr>
            <w:tcW w:w="200" w:type="dxa"/>
            <w:vAlign w:val="bottom"/>
          </w:tcPr>
          <w:p>
            <w:pPr>
              <w:spacing w:after="0"/>
              <w:rPr>
                <w:sz w:val="3"/>
                <w:szCs w:val="3"/>
                <w:color w:val="auto"/>
              </w:rPr>
            </w:pPr>
          </w:p>
        </w:tc>
        <w:tc>
          <w:tcPr>
            <w:tcW w:w="800" w:type="dxa"/>
            <w:vAlign w:val="bottom"/>
          </w:tcPr>
          <w:p>
            <w:pPr>
              <w:spacing w:after="0"/>
              <w:rPr>
                <w:sz w:val="3"/>
                <w:szCs w:val="3"/>
                <w:color w:val="auto"/>
              </w:rPr>
            </w:pPr>
          </w:p>
        </w:tc>
        <w:tc>
          <w:tcPr>
            <w:tcW w:w="5560" w:type="dxa"/>
            <w:vAlign w:val="bottom"/>
            <w:vMerge w:val="continue"/>
          </w:tcPr>
          <w:p>
            <w:pPr>
              <w:spacing w:after="0"/>
              <w:rPr>
                <w:sz w:val="3"/>
                <w:szCs w:val="3"/>
                <w:color w:val="auto"/>
              </w:rPr>
            </w:pPr>
          </w:p>
        </w:tc>
        <w:tc>
          <w:tcPr>
            <w:tcW w:w="2700" w:type="dxa"/>
            <w:vAlign w:val="bottom"/>
          </w:tcPr>
          <w:p>
            <w:pPr>
              <w:spacing w:after="0"/>
              <w:rPr>
                <w:sz w:val="3"/>
                <w:szCs w:val="3"/>
                <w:color w:val="auto"/>
              </w:rPr>
            </w:pPr>
          </w:p>
        </w:tc>
        <w:tc>
          <w:tcPr>
            <w:tcW w:w="1540" w:type="dxa"/>
            <w:vAlign w:val="bottom"/>
          </w:tcPr>
          <w:p>
            <w:pPr>
              <w:spacing w:after="0"/>
              <w:rPr>
                <w:sz w:val="3"/>
                <w:szCs w:val="3"/>
                <w:color w:val="auto"/>
              </w:rPr>
            </w:pPr>
          </w:p>
        </w:tc>
        <w:tc>
          <w:tcPr>
            <w:tcW w:w="2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61"/>
        </w:trPr>
        <w:tc>
          <w:tcPr>
            <w:tcW w:w="2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5560" w:type="dxa"/>
            <w:vAlign w:val="bottom"/>
          </w:tcPr>
          <w:p>
            <w:pPr>
              <w:ind w:left="80"/>
              <w:spacing w:after="0"/>
              <w:rPr>
                <w:sz w:val="20"/>
                <w:szCs w:val="20"/>
                <w:color w:val="auto"/>
              </w:rPr>
            </w:pPr>
            <w:r>
              <w:rPr>
                <w:rFonts w:ascii="Arial" w:cs="Arial" w:eastAsia="Arial" w:hAnsi="Arial"/>
                <w:sz w:val="20"/>
                <w:szCs w:val="20"/>
                <w:color w:val="3E3935"/>
              </w:rPr>
              <w:t>Shares Available for Issuance Thereunder</w:t>
            </w:r>
          </w:p>
        </w:tc>
        <w:tc>
          <w:tcPr>
            <w:tcW w:w="270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9"/>
        </w:trPr>
        <w:tc>
          <w:tcPr>
            <w:tcW w:w="200" w:type="dxa"/>
            <w:vAlign w:val="bottom"/>
          </w:tcPr>
          <w:p>
            <w:pPr>
              <w:spacing w:after="0"/>
              <w:rPr>
                <w:sz w:val="17"/>
                <w:szCs w:val="17"/>
                <w:color w:val="auto"/>
              </w:rPr>
            </w:pPr>
          </w:p>
        </w:tc>
        <w:tc>
          <w:tcPr>
            <w:tcW w:w="800" w:type="dxa"/>
            <w:vAlign w:val="bottom"/>
            <w:tcBorders>
              <w:bottom w:val="single" w:sz="8" w:color="E2E1E0"/>
            </w:tcBorders>
          </w:tcPr>
          <w:p>
            <w:pPr>
              <w:spacing w:after="0"/>
              <w:rPr>
                <w:sz w:val="17"/>
                <w:szCs w:val="17"/>
                <w:color w:val="auto"/>
              </w:rPr>
            </w:pPr>
          </w:p>
        </w:tc>
        <w:tc>
          <w:tcPr>
            <w:tcW w:w="5560" w:type="dxa"/>
            <w:vAlign w:val="bottom"/>
            <w:tcBorders>
              <w:bottom w:val="single" w:sz="8" w:color="E2E1E0"/>
            </w:tcBorders>
          </w:tcPr>
          <w:p>
            <w:pPr>
              <w:spacing w:after="0"/>
              <w:rPr>
                <w:sz w:val="17"/>
                <w:szCs w:val="17"/>
                <w:color w:val="auto"/>
              </w:rPr>
            </w:pPr>
          </w:p>
        </w:tc>
        <w:tc>
          <w:tcPr>
            <w:tcW w:w="2700" w:type="dxa"/>
            <w:vAlign w:val="bottom"/>
            <w:tcBorders>
              <w:bottom w:val="single" w:sz="8" w:color="E2E1E0"/>
            </w:tcBorders>
          </w:tcPr>
          <w:p>
            <w:pPr>
              <w:spacing w:after="0"/>
              <w:rPr>
                <w:sz w:val="17"/>
                <w:szCs w:val="17"/>
                <w:color w:val="auto"/>
              </w:rPr>
            </w:pPr>
          </w:p>
        </w:tc>
        <w:tc>
          <w:tcPr>
            <w:tcW w:w="1540" w:type="dxa"/>
            <w:vAlign w:val="bottom"/>
            <w:tcBorders>
              <w:bottom w:val="single" w:sz="8" w:color="E2E1E0"/>
            </w:tcBorders>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97"/>
        </w:trPr>
        <w:tc>
          <w:tcPr>
            <w:tcW w:w="200" w:type="dxa"/>
            <w:vAlign w:val="bottom"/>
          </w:tcPr>
          <w:p>
            <w:pPr>
              <w:spacing w:after="0"/>
              <w:rPr>
                <w:sz w:val="24"/>
                <w:szCs w:val="24"/>
                <w:color w:val="auto"/>
              </w:rPr>
            </w:pPr>
          </w:p>
        </w:tc>
        <w:tc>
          <w:tcPr>
            <w:tcW w:w="800" w:type="dxa"/>
            <w:vAlign w:val="bottom"/>
          </w:tcPr>
          <w:p>
            <w:pPr>
              <w:ind w:left="60"/>
              <w:spacing w:after="0"/>
              <w:rPr>
                <w:sz w:val="20"/>
                <w:szCs w:val="20"/>
                <w:color w:val="auto"/>
              </w:rPr>
            </w:pPr>
            <w:r>
              <w:rPr>
                <w:rFonts w:ascii="Arial" w:cs="Arial" w:eastAsia="Arial" w:hAnsi="Arial"/>
                <w:sz w:val="20"/>
                <w:szCs w:val="20"/>
                <w:b w:val="1"/>
                <w:bCs w:val="1"/>
                <w:color w:val="3E3935"/>
                <w:w w:val="86"/>
              </w:rPr>
              <w:t>Item 5</w:t>
            </w:r>
            <w:r>
              <w:rPr>
                <w:rFonts w:ascii="Arial" w:cs="Arial" w:eastAsia="Arial" w:hAnsi="Arial"/>
                <w:sz w:val="20"/>
                <w:szCs w:val="20"/>
                <w:color w:val="3E3935"/>
                <w:w w:val="86"/>
              </w:rPr>
              <w:t>: </w:t>
            </w:r>
          </w:p>
        </w:tc>
        <w:tc>
          <w:tcPr>
            <w:tcW w:w="5560" w:type="dxa"/>
            <w:vAlign w:val="bottom"/>
          </w:tcPr>
          <w:p>
            <w:pPr>
              <w:ind w:left="80"/>
              <w:spacing w:after="0"/>
              <w:rPr>
                <w:sz w:val="20"/>
                <w:szCs w:val="20"/>
                <w:color w:val="auto"/>
              </w:rPr>
            </w:pPr>
            <w:r>
              <w:rPr>
                <w:rFonts w:ascii="Arial" w:cs="Arial" w:eastAsia="Arial" w:hAnsi="Arial"/>
                <w:sz w:val="20"/>
                <w:szCs w:val="20"/>
                <w:color w:val="3E3935"/>
              </w:rPr>
              <w:t>Shareholder Proposal Requesting a Report on the</w:t>
            </w:r>
          </w:p>
        </w:tc>
        <w:tc>
          <w:tcPr>
            <w:tcW w:w="2700" w:type="dxa"/>
            <w:vAlign w:val="bottom"/>
            <w:vMerge w:val="restart"/>
          </w:tcPr>
          <w:p>
            <w:pPr>
              <w:jc w:val="center"/>
              <w:spacing w:after="0"/>
              <w:rPr>
                <w:sz w:val="20"/>
                <w:szCs w:val="20"/>
                <w:color w:val="auto"/>
              </w:rPr>
            </w:pPr>
            <w:r>
              <w:rPr>
                <w:rFonts w:ascii="Arial" w:cs="Arial" w:eastAsia="Arial" w:hAnsi="Arial"/>
                <w:sz w:val="20"/>
                <w:szCs w:val="20"/>
                <w:b w:val="1"/>
                <w:bCs w:val="1"/>
                <w:color w:val="00C1DE"/>
                <w:w w:val="97"/>
              </w:rPr>
              <w:t>AGAINST</w:t>
            </w:r>
          </w:p>
        </w:tc>
        <w:tc>
          <w:tcPr>
            <w:tcW w:w="1540" w:type="dxa"/>
            <w:vAlign w:val="bottom"/>
            <w:vMerge w:val="restart"/>
          </w:tcPr>
          <w:p>
            <w:pPr>
              <w:jc w:val="center"/>
              <w:ind w:left="187"/>
              <w:spacing w:after="0"/>
              <w:rPr>
                <w:sz w:val="20"/>
                <w:szCs w:val="20"/>
                <w:color w:val="auto"/>
              </w:rPr>
            </w:pPr>
            <w:r>
              <w:rPr>
                <w:rFonts w:ascii="Arial" w:cs="Arial" w:eastAsia="Arial" w:hAnsi="Arial"/>
                <w:sz w:val="20"/>
                <w:szCs w:val="20"/>
                <w:color w:val="3E3935"/>
                <w:w w:val="98"/>
              </w:rPr>
              <w:t>98</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7"/>
        </w:trPr>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560" w:type="dxa"/>
            <w:vAlign w:val="bottom"/>
            <w:vMerge w:val="restart"/>
          </w:tcPr>
          <w:p>
            <w:pPr>
              <w:ind w:left="80"/>
              <w:spacing w:after="0"/>
              <w:rPr>
                <w:sz w:val="20"/>
                <w:szCs w:val="20"/>
                <w:color w:val="auto"/>
              </w:rPr>
            </w:pPr>
            <w:r>
              <w:rPr>
                <w:rFonts w:ascii="Arial" w:cs="Arial" w:eastAsia="Arial" w:hAnsi="Arial"/>
                <w:sz w:val="20"/>
                <w:szCs w:val="20"/>
                <w:color w:val="3E3935"/>
              </w:rPr>
              <w:t>Company’s Operations in China</w:t>
            </w:r>
          </w:p>
        </w:tc>
        <w:tc>
          <w:tcPr>
            <w:tcW w:w="2700" w:type="dxa"/>
            <w:vAlign w:val="bottom"/>
            <w:vMerge w:val="continue"/>
          </w:tcPr>
          <w:p>
            <w:pPr>
              <w:spacing w:after="0"/>
              <w:rPr>
                <w:sz w:val="15"/>
                <w:szCs w:val="15"/>
                <w:color w:val="auto"/>
              </w:rPr>
            </w:pPr>
          </w:p>
        </w:tc>
        <w:tc>
          <w:tcPr>
            <w:tcW w:w="154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5"/>
        </w:trPr>
        <w:tc>
          <w:tcPr>
            <w:tcW w:w="200" w:type="dxa"/>
            <w:vAlign w:val="bottom"/>
          </w:tcPr>
          <w:p>
            <w:pPr>
              <w:spacing w:after="0"/>
              <w:rPr>
                <w:sz w:val="7"/>
                <w:szCs w:val="7"/>
                <w:color w:val="auto"/>
              </w:rPr>
            </w:pPr>
          </w:p>
        </w:tc>
        <w:tc>
          <w:tcPr>
            <w:tcW w:w="800" w:type="dxa"/>
            <w:vAlign w:val="bottom"/>
          </w:tcPr>
          <w:p>
            <w:pPr>
              <w:spacing w:after="0"/>
              <w:rPr>
                <w:sz w:val="7"/>
                <w:szCs w:val="7"/>
                <w:color w:val="auto"/>
              </w:rPr>
            </w:pPr>
          </w:p>
        </w:tc>
        <w:tc>
          <w:tcPr>
            <w:tcW w:w="5560" w:type="dxa"/>
            <w:vAlign w:val="bottom"/>
            <w:vMerge w:val="continue"/>
          </w:tcPr>
          <w:p>
            <w:pPr>
              <w:spacing w:after="0"/>
              <w:rPr>
                <w:sz w:val="7"/>
                <w:szCs w:val="7"/>
                <w:color w:val="auto"/>
              </w:rPr>
            </w:pPr>
          </w:p>
        </w:tc>
        <w:tc>
          <w:tcPr>
            <w:tcW w:w="2700" w:type="dxa"/>
            <w:vAlign w:val="bottom"/>
          </w:tcPr>
          <w:p>
            <w:pPr>
              <w:spacing w:after="0"/>
              <w:rPr>
                <w:sz w:val="7"/>
                <w:szCs w:val="7"/>
                <w:color w:val="auto"/>
              </w:rPr>
            </w:pPr>
          </w:p>
        </w:tc>
        <w:tc>
          <w:tcPr>
            <w:tcW w:w="1540" w:type="dxa"/>
            <w:vAlign w:val="bottom"/>
          </w:tcPr>
          <w:p>
            <w:pPr>
              <w:spacing w:after="0"/>
              <w:rPr>
                <w:sz w:val="7"/>
                <w:szCs w:val="7"/>
                <w:color w:val="auto"/>
              </w:rPr>
            </w:pPr>
          </w:p>
        </w:tc>
        <w:tc>
          <w:tcPr>
            <w:tcW w:w="2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9"/>
        </w:trPr>
        <w:tc>
          <w:tcPr>
            <w:tcW w:w="200" w:type="dxa"/>
            <w:vAlign w:val="bottom"/>
          </w:tcPr>
          <w:p>
            <w:pPr>
              <w:spacing w:after="0"/>
              <w:rPr>
                <w:sz w:val="17"/>
                <w:szCs w:val="17"/>
                <w:color w:val="auto"/>
              </w:rPr>
            </w:pPr>
          </w:p>
        </w:tc>
        <w:tc>
          <w:tcPr>
            <w:tcW w:w="800" w:type="dxa"/>
            <w:vAlign w:val="bottom"/>
            <w:tcBorders>
              <w:bottom w:val="single" w:sz="8" w:color="E2E1E0"/>
            </w:tcBorders>
          </w:tcPr>
          <w:p>
            <w:pPr>
              <w:spacing w:after="0"/>
              <w:rPr>
                <w:sz w:val="17"/>
                <w:szCs w:val="17"/>
                <w:color w:val="auto"/>
              </w:rPr>
            </w:pPr>
          </w:p>
        </w:tc>
        <w:tc>
          <w:tcPr>
            <w:tcW w:w="5560" w:type="dxa"/>
            <w:vAlign w:val="bottom"/>
            <w:tcBorders>
              <w:bottom w:val="single" w:sz="8" w:color="E2E1E0"/>
            </w:tcBorders>
          </w:tcPr>
          <w:p>
            <w:pPr>
              <w:spacing w:after="0"/>
              <w:rPr>
                <w:sz w:val="17"/>
                <w:szCs w:val="17"/>
                <w:color w:val="auto"/>
              </w:rPr>
            </w:pPr>
          </w:p>
        </w:tc>
        <w:tc>
          <w:tcPr>
            <w:tcW w:w="2700" w:type="dxa"/>
            <w:vAlign w:val="bottom"/>
            <w:tcBorders>
              <w:bottom w:val="single" w:sz="8" w:color="E2E1E0"/>
            </w:tcBorders>
          </w:tcPr>
          <w:p>
            <w:pPr>
              <w:spacing w:after="0"/>
              <w:rPr>
                <w:sz w:val="17"/>
                <w:szCs w:val="17"/>
                <w:color w:val="auto"/>
              </w:rPr>
            </w:pPr>
          </w:p>
        </w:tc>
        <w:tc>
          <w:tcPr>
            <w:tcW w:w="1540" w:type="dxa"/>
            <w:vAlign w:val="bottom"/>
            <w:tcBorders>
              <w:bottom w:val="single" w:sz="8" w:color="E2E1E0"/>
            </w:tcBorders>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97"/>
        </w:trPr>
        <w:tc>
          <w:tcPr>
            <w:tcW w:w="200" w:type="dxa"/>
            <w:vAlign w:val="bottom"/>
          </w:tcPr>
          <w:p>
            <w:pPr>
              <w:spacing w:after="0"/>
              <w:rPr>
                <w:sz w:val="24"/>
                <w:szCs w:val="24"/>
                <w:color w:val="auto"/>
              </w:rPr>
            </w:pPr>
          </w:p>
        </w:tc>
        <w:tc>
          <w:tcPr>
            <w:tcW w:w="800" w:type="dxa"/>
            <w:vAlign w:val="bottom"/>
          </w:tcPr>
          <w:p>
            <w:pPr>
              <w:ind w:left="60"/>
              <w:spacing w:after="0"/>
              <w:rPr>
                <w:sz w:val="20"/>
                <w:szCs w:val="20"/>
                <w:color w:val="auto"/>
              </w:rPr>
            </w:pPr>
            <w:r>
              <w:rPr>
                <w:rFonts w:ascii="Arial" w:cs="Arial" w:eastAsia="Arial" w:hAnsi="Arial"/>
                <w:sz w:val="20"/>
                <w:szCs w:val="20"/>
                <w:b w:val="1"/>
                <w:bCs w:val="1"/>
                <w:color w:val="3E3935"/>
                <w:w w:val="86"/>
              </w:rPr>
              <w:t>Item 6</w:t>
            </w:r>
            <w:r>
              <w:rPr>
                <w:rFonts w:ascii="Arial" w:cs="Arial" w:eastAsia="Arial" w:hAnsi="Arial"/>
                <w:sz w:val="20"/>
                <w:szCs w:val="20"/>
                <w:color w:val="3E3935"/>
                <w:w w:val="86"/>
              </w:rPr>
              <w:t>: </w:t>
            </w:r>
          </w:p>
        </w:tc>
        <w:tc>
          <w:tcPr>
            <w:tcW w:w="5560" w:type="dxa"/>
            <w:vAlign w:val="bottom"/>
          </w:tcPr>
          <w:p>
            <w:pPr>
              <w:ind w:left="80"/>
              <w:spacing w:after="0"/>
              <w:rPr>
                <w:sz w:val="20"/>
                <w:szCs w:val="20"/>
                <w:color w:val="auto"/>
              </w:rPr>
            </w:pPr>
            <w:r>
              <w:rPr>
                <w:rFonts w:ascii="Arial" w:cs="Arial" w:eastAsia="Arial" w:hAnsi="Arial"/>
                <w:sz w:val="20"/>
                <w:szCs w:val="20"/>
                <w:color w:val="3E3935"/>
              </w:rPr>
              <w:t>Shareholder Proposal Regarding Shareholder Written</w:t>
            </w:r>
          </w:p>
        </w:tc>
        <w:tc>
          <w:tcPr>
            <w:tcW w:w="2700" w:type="dxa"/>
            <w:vAlign w:val="bottom"/>
            <w:vMerge w:val="restart"/>
          </w:tcPr>
          <w:p>
            <w:pPr>
              <w:jc w:val="center"/>
              <w:spacing w:after="0"/>
              <w:rPr>
                <w:sz w:val="20"/>
                <w:szCs w:val="20"/>
                <w:color w:val="auto"/>
              </w:rPr>
            </w:pPr>
            <w:r>
              <w:rPr>
                <w:rFonts w:ascii="Arial" w:cs="Arial" w:eastAsia="Arial" w:hAnsi="Arial"/>
                <w:sz w:val="20"/>
                <w:szCs w:val="20"/>
                <w:b w:val="1"/>
                <w:bCs w:val="1"/>
                <w:color w:val="00C1DE"/>
                <w:w w:val="97"/>
              </w:rPr>
              <w:t>AGAINST</w:t>
            </w:r>
          </w:p>
        </w:tc>
        <w:tc>
          <w:tcPr>
            <w:tcW w:w="1540" w:type="dxa"/>
            <w:vAlign w:val="bottom"/>
            <w:vMerge w:val="restart"/>
          </w:tcPr>
          <w:p>
            <w:pPr>
              <w:jc w:val="center"/>
              <w:ind w:left="187"/>
              <w:spacing w:after="0"/>
              <w:rPr>
                <w:sz w:val="20"/>
                <w:szCs w:val="20"/>
                <w:color w:val="auto"/>
              </w:rPr>
            </w:pPr>
            <w:r>
              <w:rPr>
                <w:rFonts w:ascii="Arial" w:cs="Arial" w:eastAsia="Arial" w:hAnsi="Arial"/>
                <w:sz w:val="20"/>
                <w:szCs w:val="20"/>
                <w:color w:val="3E3935"/>
              </w:rPr>
              <w:t>100</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7"/>
        </w:trPr>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560" w:type="dxa"/>
            <w:vAlign w:val="bottom"/>
            <w:vMerge w:val="restart"/>
          </w:tcPr>
          <w:p>
            <w:pPr>
              <w:ind w:left="80"/>
              <w:spacing w:after="0"/>
              <w:rPr>
                <w:sz w:val="20"/>
                <w:szCs w:val="20"/>
                <w:color w:val="auto"/>
              </w:rPr>
            </w:pPr>
            <w:r>
              <w:rPr>
                <w:rFonts w:ascii="Arial" w:cs="Arial" w:eastAsia="Arial" w:hAnsi="Arial"/>
                <w:sz w:val="20"/>
                <w:szCs w:val="20"/>
                <w:color w:val="3E3935"/>
              </w:rPr>
              <w:t>Consent</w:t>
            </w:r>
          </w:p>
        </w:tc>
        <w:tc>
          <w:tcPr>
            <w:tcW w:w="2700" w:type="dxa"/>
            <w:vAlign w:val="bottom"/>
            <w:vMerge w:val="continue"/>
          </w:tcPr>
          <w:p>
            <w:pPr>
              <w:spacing w:after="0"/>
              <w:rPr>
                <w:sz w:val="15"/>
                <w:szCs w:val="15"/>
                <w:color w:val="auto"/>
              </w:rPr>
            </w:pPr>
          </w:p>
        </w:tc>
        <w:tc>
          <w:tcPr>
            <w:tcW w:w="154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4"/>
        </w:trPr>
        <w:tc>
          <w:tcPr>
            <w:tcW w:w="200" w:type="dxa"/>
            <w:vAlign w:val="bottom"/>
          </w:tcPr>
          <w:p>
            <w:pPr>
              <w:spacing w:after="0"/>
              <w:rPr>
                <w:sz w:val="7"/>
                <w:szCs w:val="7"/>
                <w:color w:val="auto"/>
              </w:rPr>
            </w:pPr>
          </w:p>
        </w:tc>
        <w:tc>
          <w:tcPr>
            <w:tcW w:w="800" w:type="dxa"/>
            <w:vAlign w:val="bottom"/>
          </w:tcPr>
          <w:p>
            <w:pPr>
              <w:spacing w:after="0"/>
              <w:rPr>
                <w:sz w:val="7"/>
                <w:szCs w:val="7"/>
                <w:color w:val="auto"/>
              </w:rPr>
            </w:pPr>
          </w:p>
        </w:tc>
        <w:tc>
          <w:tcPr>
            <w:tcW w:w="5560" w:type="dxa"/>
            <w:vAlign w:val="bottom"/>
            <w:vMerge w:val="continue"/>
          </w:tcPr>
          <w:p>
            <w:pPr>
              <w:spacing w:after="0"/>
              <w:rPr>
                <w:sz w:val="7"/>
                <w:szCs w:val="7"/>
                <w:color w:val="auto"/>
              </w:rPr>
            </w:pPr>
          </w:p>
        </w:tc>
        <w:tc>
          <w:tcPr>
            <w:tcW w:w="2700" w:type="dxa"/>
            <w:vAlign w:val="bottom"/>
          </w:tcPr>
          <w:p>
            <w:pPr>
              <w:spacing w:after="0"/>
              <w:rPr>
                <w:sz w:val="7"/>
                <w:szCs w:val="7"/>
                <w:color w:val="auto"/>
              </w:rPr>
            </w:pPr>
          </w:p>
        </w:tc>
        <w:tc>
          <w:tcPr>
            <w:tcW w:w="1540" w:type="dxa"/>
            <w:vAlign w:val="bottom"/>
          </w:tcPr>
          <w:p>
            <w:pPr>
              <w:spacing w:after="0"/>
              <w:rPr>
                <w:sz w:val="7"/>
                <w:szCs w:val="7"/>
                <w:color w:val="auto"/>
              </w:rPr>
            </w:pPr>
          </w:p>
        </w:tc>
        <w:tc>
          <w:tcPr>
            <w:tcW w:w="2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0"/>
        </w:trPr>
        <w:tc>
          <w:tcPr>
            <w:tcW w:w="200" w:type="dxa"/>
            <w:vAlign w:val="bottom"/>
          </w:tcPr>
          <w:p>
            <w:pPr>
              <w:spacing w:after="0"/>
              <w:rPr>
                <w:sz w:val="17"/>
                <w:szCs w:val="17"/>
                <w:color w:val="auto"/>
              </w:rPr>
            </w:pPr>
          </w:p>
        </w:tc>
        <w:tc>
          <w:tcPr>
            <w:tcW w:w="800" w:type="dxa"/>
            <w:vAlign w:val="bottom"/>
            <w:tcBorders>
              <w:bottom w:val="single" w:sz="8" w:color="E2E1E0"/>
            </w:tcBorders>
          </w:tcPr>
          <w:p>
            <w:pPr>
              <w:spacing w:after="0"/>
              <w:rPr>
                <w:sz w:val="17"/>
                <w:szCs w:val="17"/>
                <w:color w:val="auto"/>
              </w:rPr>
            </w:pPr>
          </w:p>
        </w:tc>
        <w:tc>
          <w:tcPr>
            <w:tcW w:w="5560" w:type="dxa"/>
            <w:vAlign w:val="bottom"/>
            <w:tcBorders>
              <w:bottom w:val="single" w:sz="8" w:color="E2E1E0"/>
            </w:tcBorders>
          </w:tcPr>
          <w:p>
            <w:pPr>
              <w:spacing w:after="0"/>
              <w:rPr>
                <w:sz w:val="17"/>
                <w:szCs w:val="17"/>
                <w:color w:val="auto"/>
              </w:rPr>
            </w:pPr>
          </w:p>
        </w:tc>
        <w:tc>
          <w:tcPr>
            <w:tcW w:w="2700" w:type="dxa"/>
            <w:vAlign w:val="bottom"/>
            <w:tcBorders>
              <w:bottom w:val="single" w:sz="8" w:color="E2E1E0"/>
            </w:tcBorders>
          </w:tcPr>
          <w:p>
            <w:pPr>
              <w:spacing w:after="0"/>
              <w:rPr>
                <w:sz w:val="17"/>
                <w:szCs w:val="17"/>
                <w:color w:val="auto"/>
              </w:rPr>
            </w:pPr>
          </w:p>
        </w:tc>
        <w:tc>
          <w:tcPr>
            <w:tcW w:w="1540" w:type="dxa"/>
            <w:vAlign w:val="bottom"/>
            <w:tcBorders>
              <w:bottom w:val="single" w:sz="8" w:color="E2E1E0"/>
            </w:tcBorders>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97"/>
        </w:trPr>
        <w:tc>
          <w:tcPr>
            <w:tcW w:w="200" w:type="dxa"/>
            <w:vAlign w:val="bottom"/>
          </w:tcPr>
          <w:p>
            <w:pPr>
              <w:spacing w:after="0"/>
              <w:rPr>
                <w:sz w:val="24"/>
                <w:szCs w:val="24"/>
                <w:color w:val="auto"/>
              </w:rPr>
            </w:pPr>
          </w:p>
        </w:tc>
        <w:tc>
          <w:tcPr>
            <w:tcW w:w="800" w:type="dxa"/>
            <w:vAlign w:val="bottom"/>
          </w:tcPr>
          <w:p>
            <w:pPr>
              <w:ind w:left="60"/>
              <w:spacing w:after="0"/>
              <w:rPr>
                <w:sz w:val="20"/>
                <w:szCs w:val="20"/>
                <w:color w:val="auto"/>
              </w:rPr>
            </w:pPr>
            <w:r>
              <w:rPr>
                <w:rFonts w:ascii="Arial" w:cs="Arial" w:eastAsia="Arial" w:hAnsi="Arial"/>
                <w:sz w:val="20"/>
                <w:szCs w:val="20"/>
                <w:b w:val="1"/>
                <w:bCs w:val="1"/>
                <w:color w:val="3E3935"/>
                <w:w w:val="86"/>
              </w:rPr>
              <w:t>Item 7</w:t>
            </w:r>
            <w:r>
              <w:rPr>
                <w:rFonts w:ascii="Arial" w:cs="Arial" w:eastAsia="Arial" w:hAnsi="Arial"/>
                <w:sz w:val="20"/>
                <w:szCs w:val="20"/>
                <w:color w:val="3E3935"/>
                <w:w w:val="86"/>
              </w:rPr>
              <w:t>: </w:t>
            </w:r>
          </w:p>
        </w:tc>
        <w:tc>
          <w:tcPr>
            <w:tcW w:w="5560" w:type="dxa"/>
            <w:vAlign w:val="bottom"/>
          </w:tcPr>
          <w:p>
            <w:pPr>
              <w:ind w:left="80"/>
              <w:spacing w:after="0"/>
              <w:rPr>
                <w:sz w:val="20"/>
                <w:szCs w:val="20"/>
                <w:color w:val="auto"/>
              </w:rPr>
            </w:pPr>
            <w:r>
              <w:rPr>
                <w:rFonts w:ascii="Arial" w:cs="Arial" w:eastAsia="Arial" w:hAnsi="Arial"/>
                <w:sz w:val="20"/>
                <w:szCs w:val="20"/>
                <w:color w:val="3E3935"/>
              </w:rPr>
              <w:t> Shareholder Proposal Regarding Sustainable Materials</w:t>
            </w:r>
          </w:p>
        </w:tc>
        <w:tc>
          <w:tcPr>
            <w:tcW w:w="2700" w:type="dxa"/>
            <w:vAlign w:val="bottom"/>
            <w:vMerge w:val="restart"/>
          </w:tcPr>
          <w:p>
            <w:pPr>
              <w:jc w:val="center"/>
              <w:spacing w:after="0"/>
              <w:rPr>
                <w:sz w:val="20"/>
                <w:szCs w:val="20"/>
                <w:color w:val="auto"/>
              </w:rPr>
            </w:pPr>
            <w:r>
              <w:rPr>
                <w:rFonts w:ascii="Arial" w:cs="Arial" w:eastAsia="Arial" w:hAnsi="Arial"/>
                <w:sz w:val="20"/>
                <w:szCs w:val="20"/>
                <w:b w:val="1"/>
                <w:bCs w:val="1"/>
                <w:color w:val="00C1DE"/>
                <w:w w:val="97"/>
              </w:rPr>
              <w:t>AGAINST</w:t>
            </w:r>
          </w:p>
        </w:tc>
        <w:tc>
          <w:tcPr>
            <w:tcW w:w="1540" w:type="dxa"/>
            <w:vAlign w:val="bottom"/>
            <w:vMerge w:val="restart"/>
          </w:tcPr>
          <w:p>
            <w:pPr>
              <w:jc w:val="center"/>
              <w:ind w:left="187"/>
              <w:spacing w:after="0"/>
              <w:rPr>
                <w:sz w:val="20"/>
                <w:szCs w:val="20"/>
                <w:color w:val="auto"/>
              </w:rPr>
            </w:pPr>
            <w:r>
              <w:rPr>
                <w:rFonts w:ascii="Arial" w:cs="Arial" w:eastAsia="Arial" w:hAnsi="Arial"/>
                <w:sz w:val="20"/>
                <w:szCs w:val="20"/>
                <w:color w:val="3E3935"/>
              </w:rPr>
              <w:t>102</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7"/>
        </w:trPr>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560" w:type="dxa"/>
            <w:vAlign w:val="bottom"/>
            <w:vMerge w:val="restart"/>
          </w:tcPr>
          <w:p>
            <w:pPr>
              <w:ind w:left="80"/>
              <w:spacing w:after="0"/>
              <w:rPr>
                <w:sz w:val="20"/>
                <w:szCs w:val="20"/>
                <w:color w:val="auto"/>
              </w:rPr>
            </w:pPr>
            <w:r>
              <w:rPr>
                <w:rFonts w:ascii="Arial" w:cs="Arial" w:eastAsia="Arial" w:hAnsi="Arial"/>
                <w:sz w:val="20"/>
                <w:szCs w:val="20"/>
                <w:color w:val="3E3935"/>
              </w:rPr>
              <w:t>Procurement Targets</w:t>
            </w:r>
          </w:p>
        </w:tc>
        <w:tc>
          <w:tcPr>
            <w:tcW w:w="2700" w:type="dxa"/>
            <w:vAlign w:val="bottom"/>
            <w:vMerge w:val="continue"/>
          </w:tcPr>
          <w:p>
            <w:pPr>
              <w:spacing w:after="0"/>
              <w:rPr>
                <w:sz w:val="15"/>
                <w:szCs w:val="15"/>
                <w:color w:val="auto"/>
              </w:rPr>
            </w:pPr>
          </w:p>
        </w:tc>
        <w:tc>
          <w:tcPr>
            <w:tcW w:w="154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5"/>
        </w:trPr>
        <w:tc>
          <w:tcPr>
            <w:tcW w:w="200" w:type="dxa"/>
            <w:vAlign w:val="bottom"/>
          </w:tcPr>
          <w:p>
            <w:pPr>
              <w:spacing w:after="0"/>
              <w:rPr>
                <w:sz w:val="7"/>
                <w:szCs w:val="7"/>
                <w:color w:val="auto"/>
              </w:rPr>
            </w:pPr>
          </w:p>
        </w:tc>
        <w:tc>
          <w:tcPr>
            <w:tcW w:w="800" w:type="dxa"/>
            <w:vAlign w:val="bottom"/>
          </w:tcPr>
          <w:p>
            <w:pPr>
              <w:spacing w:after="0"/>
              <w:rPr>
                <w:sz w:val="7"/>
                <w:szCs w:val="7"/>
                <w:color w:val="auto"/>
              </w:rPr>
            </w:pPr>
          </w:p>
        </w:tc>
        <w:tc>
          <w:tcPr>
            <w:tcW w:w="5560" w:type="dxa"/>
            <w:vAlign w:val="bottom"/>
            <w:vMerge w:val="continue"/>
          </w:tcPr>
          <w:p>
            <w:pPr>
              <w:spacing w:after="0"/>
              <w:rPr>
                <w:sz w:val="7"/>
                <w:szCs w:val="7"/>
                <w:color w:val="auto"/>
              </w:rPr>
            </w:pPr>
          </w:p>
        </w:tc>
        <w:tc>
          <w:tcPr>
            <w:tcW w:w="2700" w:type="dxa"/>
            <w:vAlign w:val="bottom"/>
          </w:tcPr>
          <w:p>
            <w:pPr>
              <w:spacing w:after="0"/>
              <w:rPr>
                <w:sz w:val="7"/>
                <w:szCs w:val="7"/>
                <w:color w:val="auto"/>
              </w:rPr>
            </w:pPr>
          </w:p>
        </w:tc>
        <w:tc>
          <w:tcPr>
            <w:tcW w:w="1540" w:type="dxa"/>
            <w:vAlign w:val="bottom"/>
          </w:tcPr>
          <w:p>
            <w:pPr>
              <w:spacing w:after="0"/>
              <w:rPr>
                <w:sz w:val="7"/>
                <w:szCs w:val="7"/>
                <w:color w:val="auto"/>
              </w:rPr>
            </w:pPr>
          </w:p>
        </w:tc>
        <w:tc>
          <w:tcPr>
            <w:tcW w:w="2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9"/>
        </w:trPr>
        <w:tc>
          <w:tcPr>
            <w:tcW w:w="200" w:type="dxa"/>
            <w:vAlign w:val="bottom"/>
          </w:tcPr>
          <w:p>
            <w:pPr>
              <w:spacing w:after="0"/>
              <w:rPr>
                <w:sz w:val="17"/>
                <w:szCs w:val="17"/>
                <w:color w:val="auto"/>
              </w:rPr>
            </w:pPr>
          </w:p>
        </w:tc>
        <w:tc>
          <w:tcPr>
            <w:tcW w:w="800" w:type="dxa"/>
            <w:vAlign w:val="bottom"/>
            <w:tcBorders>
              <w:bottom w:val="single" w:sz="8" w:color="E2E1E0"/>
            </w:tcBorders>
          </w:tcPr>
          <w:p>
            <w:pPr>
              <w:spacing w:after="0"/>
              <w:rPr>
                <w:sz w:val="17"/>
                <w:szCs w:val="17"/>
                <w:color w:val="auto"/>
              </w:rPr>
            </w:pPr>
          </w:p>
        </w:tc>
        <w:tc>
          <w:tcPr>
            <w:tcW w:w="5560" w:type="dxa"/>
            <w:vAlign w:val="bottom"/>
            <w:tcBorders>
              <w:bottom w:val="single" w:sz="8" w:color="E2E1E0"/>
            </w:tcBorders>
          </w:tcPr>
          <w:p>
            <w:pPr>
              <w:spacing w:after="0"/>
              <w:rPr>
                <w:sz w:val="17"/>
                <w:szCs w:val="17"/>
                <w:color w:val="auto"/>
              </w:rPr>
            </w:pPr>
          </w:p>
        </w:tc>
        <w:tc>
          <w:tcPr>
            <w:tcW w:w="2700" w:type="dxa"/>
            <w:vAlign w:val="bottom"/>
            <w:tcBorders>
              <w:bottom w:val="single" w:sz="8" w:color="E2E1E0"/>
            </w:tcBorders>
          </w:tcPr>
          <w:p>
            <w:pPr>
              <w:spacing w:after="0"/>
              <w:rPr>
                <w:sz w:val="17"/>
                <w:szCs w:val="17"/>
                <w:color w:val="auto"/>
              </w:rPr>
            </w:pPr>
          </w:p>
        </w:tc>
        <w:tc>
          <w:tcPr>
            <w:tcW w:w="1540" w:type="dxa"/>
            <w:vAlign w:val="bottom"/>
            <w:tcBorders>
              <w:bottom w:val="single" w:sz="8" w:color="E2E1E0"/>
            </w:tcBorders>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9"/>
        </w:trPr>
        <w:tc>
          <w:tcPr>
            <w:tcW w:w="200" w:type="dxa"/>
            <w:vAlign w:val="bottom"/>
            <w:tcBorders>
              <w:bottom w:val="single" w:sz="8" w:color="00C1DE"/>
            </w:tcBorders>
          </w:tcPr>
          <w:p>
            <w:pPr>
              <w:spacing w:after="0"/>
              <w:rPr>
                <w:sz w:val="15"/>
                <w:szCs w:val="15"/>
                <w:color w:val="auto"/>
              </w:rPr>
            </w:pPr>
          </w:p>
        </w:tc>
        <w:tc>
          <w:tcPr>
            <w:tcW w:w="800" w:type="dxa"/>
            <w:vAlign w:val="bottom"/>
            <w:tcBorders>
              <w:bottom w:val="single" w:sz="8" w:color="00C1DE"/>
            </w:tcBorders>
          </w:tcPr>
          <w:p>
            <w:pPr>
              <w:spacing w:after="0"/>
              <w:rPr>
                <w:sz w:val="15"/>
                <w:szCs w:val="15"/>
                <w:color w:val="auto"/>
              </w:rPr>
            </w:pPr>
          </w:p>
        </w:tc>
        <w:tc>
          <w:tcPr>
            <w:tcW w:w="5560" w:type="dxa"/>
            <w:vAlign w:val="bottom"/>
            <w:tcBorders>
              <w:bottom w:val="single" w:sz="8" w:color="00C1DE"/>
            </w:tcBorders>
          </w:tcPr>
          <w:p>
            <w:pPr>
              <w:spacing w:after="0"/>
              <w:rPr>
                <w:sz w:val="15"/>
                <w:szCs w:val="15"/>
                <w:color w:val="auto"/>
              </w:rPr>
            </w:pPr>
          </w:p>
        </w:tc>
        <w:tc>
          <w:tcPr>
            <w:tcW w:w="2700" w:type="dxa"/>
            <w:vAlign w:val="bottom"/>
            <w:tcBorders>
              <w:bottom w:val="single" w:sz="8" w:color="00C1DE"/>
            </w:tcBorders>
          </w:tcPr>
          <w:p>
            <w:pPr>
              <w:spacing w:after="0"/>
              <w:rPr>
                <w:sz w:val="15"/>
                <w:szCs w:val="15"/>
                <w:color w:val="auto"/>
              </w:rPr>
            </w:pPr>
          </w:p>
        </w:tc>
        <w:tc>
          <w:tcPr>
            <w:tcW w:w="1540" w:type="dxa"/>
            <w:vAlign w:val="bottom"/>
            <w:tcBorders>
              <w:bottom w:val="single" w:sz="8" w:color="00C1DE"/>
            </w:tcBorders>
          </w:tcPr>
          <w:p>
            <w:pPr>
              <w:spacing w:after="0"/>
              <w:rPr>
                <w:sz w:val="15"/>
                <w:szCs w:val="15"/>
                <w:color w:val="auto"/>
              </w:rPr>
            </w:pPr>
          </w:p>
        </w:tc>
        <w:tc>
          <w:tcPr>
            <w:tcW w:w="200" w:type="dxa"/>
            <w:vAlign w:val="bottom"/>
            <w:tcBorders>
              <w:bottom w:val="single" w:sz="8" w:color="00C1DE"/>
            </w:tcBorders>
          </w:tcPr>
          <w:p>
            <w:pPr>
              <w:spacing w:after="0"/>
              <w:rPr>
                <w:sz w:val="15"/>
                <w:szCs w:val="15"/>
                <w:color w:val="auto"/>
              </w:rPr>
            </w:pPr>
          </w:p>
        </w:tc>
        <w:tc>
          <w:tcPr>
            <w:tcW w:w="0" w:type="dxa"/>
            <w:vAlign w:val="bottom"/>
          </w:tcPr>
          <w:p>
            <w:pPr>
              <w:spacing w:after="0"/>
              <w:rPr>
                <w:sz w:val="1"/>
                <w:szCs w:val="1"/>
                <w:color w:val="auto"/>
              </w:rPr>
            </w:pPr>
          </w:p>
        </w:tc>
      </w:tr>
      <w:tr>
        <w:trPr>
          <w:trHeight w:val="333"/>
        </w:trPr>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56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1540" w:type="dxa"/>
            <w:vAlign w:val="bottom"/>
          </w:tcPr>
          <w:p>
            <w:pPr>
              <w:jc w:val="right"/>
              <w:ind w:right="7"/>
              <w:spacing w:after="0"/>
              <w:rPr>
                <w:sz w:val="20"/>
                <w:szCs w:val="20"/>
                <w:color w:val="auto"/>
              </w:rPr>
            </w:pPr>
            <w:r>
              <w:rPr>
                <w:rFonts w:ascii="Arial" w:cs="Arial" w:eastAsia="Arial" w:hAnsi="Arial"/>
                <w:sz w:val="14"/>
                <w:szCs w:val="14"/>
                <w:color w:val="0071CE"/>
              </w:rPr>
              <w:t>1</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20"/>
          </w:cols>
          <w:pgMar w:left="320" w:top="482" w:right="4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11" w:lineRule="exact"/>
        <w:rPr>
          <w:sz w:val="20"/>
          <w:szCs w:val="20"/>
          <w:color w:val="auto"/>
        </w:rPr>
      </w:pPr>
    </w:p>
    <w:tbl>
      <w:tblPr>
        <w:tblLayout w:type="fixed"/>
        <w:tblInd w:w="130" w:type="dxa"/>
        <w:tblCellMar>
          <w:top w:w="0" w:type="dxa"/>
          <w:left w:w="0" w:type="dxa"/>
          <w:bottom w:w="0" w:type="dxa"/>
          <w:right w:w="0" w:type="dxa"/>
        </w:tblCellMar>
      </w:tblPr>
      <w:tr>
        <w:trPr>
          <w:trHeight w:val="547"/>
        </w:trPr>
        <w:tc>
          <w:tcPr>
            <w:tcW w:w="5440" w:type="dxa"/>
            <w:vAlign w:val="bottom"/>
            <w:tcBorders>
              <w:top w:val="single" w:sz="8" w:color="00C1DE"/>
              <w:left w:val="single" w:sz="8" w:color="00C1DE"/>
            </w:tcBorders>
            <w:gridSpan w:val="2"/>
          </w:tcPr>
          <w:p>
            <w:pPr>
              <w:ind w:left="200"/>
              <w:spacing w:after="0"/>
              <w:rPr>
                <w:sz w:val="20"/>
                <w:szCs w:val="20"/>
                <w:color w:val="auto"/>
              </w:rPr>
            </w:pPr>
            <w:r>
              <w:rPr>
                <w:rFonts w:ascii="Arial" w:cs="Arial" w:eastAsia="Arial" w:hAnsi="Arial"/>
                <w:sz w:val="29"/>
                <w:szCs w:val="29"/>
                <w:color w:val="3E3935"/>
              </w:rPr>
              <w:t>Snapshot of Your 2023 Board Nominees</w:t>
            </w:r>
          </w:p>
        </w:tc>
        <w:tc>
          <w:tcPr>
            <w:tcW w:w="640" w:type="dxa"/>
            <w:vAlign w:val="bottom"/>
            <w:tcBorders>
              <w:top w:val="single" w:sz="8" w:color="00C1DE"/>
            </w:tcBorders>
          </w:tcPr>
          <w:p>
            <w:pPr>
              <w:spacing w:after="0"/>
              <w:rPr>
                <w:sz w:val="24"/>
                <w:szCs w:val="24"/>
                <w:color w:val="auto"/>
              </w:rPr>
            </w:pPr>
          </w:p>
        </w:tc>
        <w:tc>
          <w:tcPr>
            <w:tcW w:w="1060" w:type="dxa"/>
            <w:vAlign w:val="bottom"/>
            <w:tcBorders>
              <w:top w:val="single" w:sz="8" w:color="00C1DE"/>
            </w:tcBorders>
          </w:tcPr>
          <w:p>
            <w:pPr>
              <w:spacing w:after="0"/>
              <w:rPr>
                <w:sz w:val="24"/>
                <w:szCs w:val="24"/>
                <w:color w:val="auto"/>
              </w:rPr>
            </w:pPr>
          </w:p>
        </w:tc>
        <w:tc>
          <w:tcPr>
            <w:tcW w:w="1300" w:type="dxa"/>
            <w:vAlign w:val="bottom"/>
            <w:tcBorders>
              <w:top w:val="single" w:sz="8" w:color="00C1DE"/>
            </w:tcBorders>
          </w:tcPr>
          <w:p>
            <w:pPr>
              <w:spacing w:after="0"/>
              <w:rPr>
                <w:sz w:val="24"/>
                <w:szCs w:val="24"/>
                <w:color w:val="auto"/>
              </w:rPr>
            </w:pPr>
          </w:p>
        </w:tc>
        <w:tc>
          <w:tcPr>
            <w:tcW w:w="2360" w:type="dxa"/>
            <w:vAlign w:val="bottom"/>
            <w:tcBorders>
              <w:top w:val="single" w:sz="8" w:color="00C1DE"/>
            </w:tcBorders>
          </w:tcPr>
          <w:p>
            <w:pPr>
              <w:spacing w:after="0"/>
              <w:rPr>
                <w:sz w:val="24"/>
                <w:szCs w:val="24"/>
                <w:color w:val="auto"/>
              </w:rPr>
            </w:pPr>
          </w:p>
        </w:tc>
        <w:tc>
          <w:tcPr>
            <w:tcW w:w="200" w:type="dxa"/>
            <w:vAlign w:val="bottom"/>
            <w:tcBorders>
              <w:top w:val="single" w:sz="8" w:color="00C1DE"/>
              <w:right w:val="single" w:sz="8" w:color="00C1DE"/>
            </w:tcBorders>
          </w:tcPr>
          <w:p>
            <w:pPr>
              <w:spacing w:after="0"/>
              <w:rPr>
                <w:sz w:val="24"/>
                <w:szCs w:val="24"/>
                <w:color w:val="auto"/>
              </w:rPr>
            </w:pPr>
          </w:p>
        </w:tc>
        <w:tc>
          <w:tcPr>
            <w:tcW w:w="0" w:type="dxa"/>
            <w:vAlign w:val="bottom"/>
          </w:tcPr>
          <w:p>
            <w:pPr>
              <w:spacing w:after="0"/>
              <w:rPr>
                <w:sz w:val="1"/>
                <w:szCs w:val="1"/>
                <w:color w:val="auto"/>
              </w:rPr>
            </w:pPr>
          </w:p>
        </w:tc>
      </w:tr>
      <w:tr>
        <w:trPr>
          <w:trHeight w:val="290"/>
        </w:trPr>
        <w:tc>
          <w:tcPr>
            <w:tcW w:w="200" w:type="dxa"/>
            <w:vAlign w:val="bottom"/>
            <w:tcBorders>
              <w:left w:val="single" w:sz="8" w:color="00C1DE"/>
            </w:tcBorders>
          </w:tcPr>
          <w:p>
            <w:pPr>
              <w:spacing w:after="0"/>
              <w:rPr>
                <w:sz w:val="24"/>
                <w:szCs w:val="24"/>
                <w:color w:val="auto"/>
              </w:rPr>
            </w:pPr>
          </w:p>
        </w:tc>
        <w:tc>
          <w:tcPr>
            <w:tcW w:w="5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0071CE"/>
              </w:rPr>
              <w:t>Director</w:t>
            </w:r>
          </w:p>
        </w:tc>
        <w:tc>
          <w:tcPr>
            <w:tcW w:w="130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200" w:type="dxa"/>
            <w:vAlign w:val="bottom"/>
            <w:tcBorders>
              <w:right w:val="single" w:sz="8" w:color="00C1DE"/>
            </w:tcBorders>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0" w:type="dxa"/>
            <w:vAlign w:val="bottom"/>
            <w:tcBorders>
              <w:left w:val="single" w:sz="8" w:color="00C1DE"/>
            </w:tcBorders>
          </w:tcPr>
          <w:p>
            <w:pPr>
              <w:spacing w:after="0"/>
              <w:rPr>
                <w:sz w:val="18"/>
                <w:szCs w:val="18"/>
                <w:color w:val="auto"/>
              </w:rPr>
            </w:pPr>
          </w:p>
        </w:tc>
        <w:tc>
          <w:tcPr>
            <w:tcW w:w="5240" w:type="dxa"/>
            <w:vAlign w:val="bottom"/>
          </w:tcPr>
          <w:p>
            <w:pPr>
              <w:ind w:left="80"/>
              <w:spacing w:after="0"/>
              <w:rPr>
                <w:sz w:val="20"/>
                <w:szCs w:val="20"/>
                <w:color w:val="auto"/>
              </w:rPr>
            </w:pPr>
            <w:r>
              <w:rPr>
                <w:rFonts w:ascii="Arial" w:cs="Arial" w:eastAsia="Arial" w:hAnsi="Arial"/>
                <w:sz w:val="14"/>
                <w:szCs w:val="14"/>
                <w:b w:val="1"/>
                <w:bCs w:val="1"/>
                <w:color w:val="0071CE"/>
              </w:rPr>
              <w:t>Name &amp; Principal Occupation</w:t>
            </w:r>
          </w:p>
        </w:tc>
        <w:tc>
          <w:tcPr>
            <w:tcW w:w="640" w:type="dxa"/>
            <w:vAlign w:val="bottom"/>
          </w:tcPr>
          <w:p>
            <w:pPr>
              <w:jc w:val="center"/>
              <w:ind w:right="88"/>
              <w:spacing w:after="0"/>
              <w:rPr>
                <w:sz w:val="20"/>
                <w:szCs w:val="20"/>
                <w:color w:val="auto"/>
              </w:rPr>
            </w:pPr>
            <w:r>
              <w:rPr>
                <w:rFonts w:ascii="Arial" w:cs="Arial" w:eastAsia="Arial" w:hAnsi="Arial"/>
                <w:sz w:val="14"/>
                <w:szCs w:val="14"/>
                <w:b w:val="1"/>
                <w:bCs w:val="1"/>
                <w:color w:val="0071CE"/>
              </w:rPr>
              <w:t>Age</w:t>
            </w:r>
          </w:p>
        </w:tc>
        <w:tc>
          <w:tcPr>
            <w:tcW w:w="1060" w:type="dxa"/>
            <w:vAlign w:val="bottom"/>
          </w:tcPr>
          <w:p>
            <w:pPr>
              <w:jc w:val="center"/>
              <w:spacing w:after="0"/>
              <w:rPr>
                <w:sz w:val="20"/>
                <w:szCs w:val="20"/>
                <w:color w:val="auto"/>
              </w:rPr>
            </w:pPr>
            <w:r>
              <w:rPr>
                <w:rFonts w:ascii="Arial" w:cs="Arial" w:eastAsia="Arial" w:hAnsi="Arial"/>
                <w:sz w:val="14"/>
                <w:szCs w:val="14"/>
                <w:b w:val="1"/>
                <w:bCs w:val="1"/>
                <w:color w:val="0071CE"/>
              </w:rPr>
              <w:t>Since</w:t>
            </w:r>
          </w:p>
        </w:tc>
        <w:tc>
          <w:tcPr>
            <w:tcW w:w="1300" w:type="dxa"/>
            <w:vAlign w:val="bottom"/>
          </w:tcPr>
          <w:p>
            <w:pPr>
              <w:ind w:left="260"/>
              <w:spacing w:after="0"/>
              <w:rPr>
                <w:sz w:val="20"/>
                <w:szCs w:val="20"/>
                <w:color w:val="auto"/>
              </w:rPr>
            </w:pPr>
            <w:r>
              <w:rPr>
                <w:rFonts w:ascii="Arial" w:cs="Arial" w:eastAsia="Arial" w:hAnsi="Arial"/>
                <w:sz w:val="14"/>
                <w:szCs w:val="14"/>
                <w:b w:val="1"/>
                <w:bCs w:val="1"/>
                <w:color w:val="0071CE"/>
              </w:rPr>
              <w:t>Independent</w:t>
            </w:r>
          </w:p>
        </w:tc>
        <w:tc>
          <w:tcPr>
            <w:tcW w:w="2560" w:type="dxa"/>
            <w:vAlign w:val="bottom"/>
            <w:tcBorders>
              <w:right w:val="single" w:sz="8" w:color="00C1DE"/>
            </w:tcBorders>
            <w:gridSpan w:val="2"/>
          </w:tcPr>
          <w:p>
            <w:pPr>
              <w:ind w:left="160"/>
              <w:spacing w:after="0"/>
              <w:rPr>
                <w:sz w:val="20"/>
                <w:szCs w:val="20"/>
                <w:color w:val="auto"/>
              </w:rPr>
            </w:pPr>
            <w:r>
              <w:rPr>
                <w:rFonts w:ascii="Arial" w:cs="Arial" w:eastAsia="Arial" w:hAnsi="Arial"/>
                <w:sz w:val="14"/>
                <w:szCs w:val="14"/>
                <w:b w:val="1"/>
                <w:bCs w:val="1"/>
                <w:color w:val="0071CE"/>
              </w:rPr>
              <w:t>Committee Memberships</w:t>
            </w:r>
          </w:p>
        </w:tc>
        <w:tc>
          <w:tcPr>
            <w:tcW w:w="0" w:type="dxa"/>
            <w:vAlign w:val="bottom"/>
          </w:tcPr>
          <w:p>
            <w:pPr>
              <w:spacing w:after="0"/>
              <w:rPr>
                <w:sz w:val="1"/>
                <w:szCs w:val="1"/>
                <w:color w:val="auto"/>
              </w:rPr>
            </w:pPr>
          </w:p>
        </w:tc>
      </w:tr>
      <w:tr>
        <w:trPr>
          <w:trHeight w:val="29"/>
        </w:trPr>
        <w:tc>
          <w:tcPr>
            <w:tcW w:w="200" w:type="dxa"/>
            <w:vAlign w:val="bottom"/>
            <w:tcBorders>
              <w:left w:val="single" w:sz="8" w:color="00C1DE"/>
            </w:tcBorders>
          </w:tcPr>
          <w:p>
            <w:pPr>
              <w:spacing w:after="0"/>
              <w:rPr>
                <w:sz w:val="2"/>
                <w:szCs w:val="2"/>
                <w:color w:val="auto"/>
              </w:rPr>
            </w:pPr>
          </w:p>
        </w:tc>
        <w:tc>
          <w:tcPr>
            <w:tcW w:w="5240" w:type="dxa"/>
            <w:vAlign w:val="bottom"/>
            <w:tcBorders>
              <w:bottom w:val="single" w:sz="8" w:color="0071CE"/>
            </w:tcBorders>
          </w:tcPr>
          <w:p>
            <w:pPr>
              <w:spacing w:after="0"/>
              <w:rPr>
                <w:sz w:val="2"/>
                <w:szCs w:val="2"/>
                <w:color w:val="auto"/>
              </w:rPr>
            </w:pPr>
          </w:p>
        </w:tc>
        <w:tc>
          <w:tcPr>
            <w:tcW w:w="640" w:type="dxa"/>
            <w:vAlign w:val="bottom"/>
            <w:tcBorders>
              <w:bottom w:val="single" w:sz="8" w:color="0071CE"/>
            </w:tcBorders>
          </w:tcPr>
          <w:p>
            <w:pPr>
              <w:spacing w:after="0"/>
              <w:rPr>
                <w:sz w:val="2"/>
                <w:szCs w:val="2"/>
                <w:color w:val="auto"/>
              </w:rPr>
            </w:pPr>
          </w:p>
        </w:tc>
        <w:tc>
          <w:tcPr>
            <w:tcW w:w="1060" w:type="dxa"/>
            <w:vAlign w:val="bottom"/>
            <w:tcBorders>
              <w:bottom w:val="single" w:sz="8" w:color="0071CE"/>
            </w:tcBorders>
          </w:tcPr>
          <w:p>
            <w:pPr>
              <w:spacing w:after="0"/>
              <w:rPr>
                <w:sz w:val="2"/>
                <w:szCs w:val="2"/>
                <w:color w:val="auto"/>
              </w:rPr>
            </w:pPr>
          </w:p>
        </w:tc>
        <w:tc>
          <w:tcPr>
            <w:tcW w:w="1300" w:type="dxa"/>
            <w:vAlign w:val="bottom"/>
            <w:tcBorders>
              <w:bottom w:val="single" w:sz="8" w:color="0071CE"/>
            </w:tcBorders>
          </w:tcPr>
          <w:p>
            <w:pPr>
              <w:spacing w:after="0"/>
              <w:rPr>
                <w:sz w:val="2"/>
                <w:szCs w:val="2"/>
                <w:color w:val="auto"/>
              </w:rPr>
            </w:pPr>
          </w:p>
        </w:tc>
        <w:tc>
          <w:tcPr>
            <w:tcW w:w="2360" w:type="dxa"/>
            <w:vAlign w:val="bottom"/>
            <w:tcBorders>
              <w:bottom w:val="single" w:sz="8" w:color="0071CE"/>
            </w:tcBorders>
          </w:tcPr>
          <w:p>
            <w:pPr>
              <w:spacing w:after="0"/>
              <w:rPr>
                <w:sz w:val="2"/>
                <w:szCs w:val="2"/>
                <w:color w:val="auto"/>
              </w:rPr>
            </w:pPr>
          </w:p>
        </w:tc>
        <w:tc>
          <w:tcPr>
            <w:tcW w:w="200" w:type="dxa"/>
            <w:vAlign w:val="bottom"/>
            <w:tcBorders>
              <w:right w:val="single" w:sz="8" w:color="00C1DE"/>
            </w:tcBorders>
          </w:tcPr>
          <w:p>
            <w:pPr>
              <w:spacing w:after="0"/>
              <w:rPr>
                <w:sz w:val="2"/>
                <w:szCs w:val="2"/>
                <w:color w:val="auto"/>
              </w:rPr>
            </w:pPr>
          </w:p>
        </w:tc>
        <w:tc>
          <w:tcPr>
            <w:tcW w:w="0" w:type="dxa"/>
            <w:vAlign w:val="bottom"/>
          </w:tcPr>
          <w:p>
            <w:pPr>
              <w:spacing w:after="0"/>
              <w:rPr>
                <w:sz w:val="1"/>
                <w:szCs w:val="1"/>
                <w:color w:val="auto"/>
              </w:rPr>
            </w:pPr>
          </w:p>
        </w:tc>
      </w:tr>
      <w:tr>
        <w:trPr>
          <w:trHeight w:val="362"/>
        </w:trPr>
        <w:tc>
          <w:tcPr>
            <w:tcW w:w="200" w:type="dxa"/>
            <w:vAlign w:val="bottom"/>
            <w:tcBorders>
              <w:left w:val="single" w:sz="8" w:color="00C1DE"/>
            </w:tcBorders>
          </w:tcPr>
          <w:p>
            <w:pPr>
              <w:spacing w:after="0"/>
              <w:rPr>
                <w:sz w:val="24"/>
                <w:szCs w:val="24"/>
                <w:color w:val="auto"/>
              </w:rPr>
            </w:pPr>
          </w:p>
        </w:tc>
        <w:tc>
          <w:tcPr>
            <w:tcW w:w="5240" w:type="dxa"/>
            <w:vAlign w:val="bottom"/>
          </w:tcPr>
          <w:p>
            <w:pPr>
              <w:ind w:left="1260"/>
              <w:spacing w:after="0"/>
              <w:rPr>
                <w:sz w:val="20"/>
                <w:szCs w:val="20"/>
                <w:color w:val="auto"/>
              </w:rPr>
            </w:pPr>
            <w:r>
              <w:rPr>
                <w:rFonts w:ascii="Arial" w:cs="Arial" w:eastAsia="Arial" w:hAnsi="Arial"/>
                <w:sz w:val="16"/>
                <w:szCs w:val="16"/>
                <w:b w:val="1"/>
                <w:bCs w:val="1"/>
                <w:color w:val="0071CE"/>
              </w:rPr>
              <w:t>Mary T. Barra</w:t>
            </w:r>
          </w:p>
        </w:tc>
        <w:tc>
          <w:tcPr>
            <w:tcW w:w="6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200" w:type="dxa"/>
            <w:vAlign w:val="bottom"/>
            <w:tcBorders>
              <w:right w:val="single" w:sz="8" w:color="00C1DE"/>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200" w:type="dxa"/>
            <w:vAlign w:val="bottom"/>
            <w:tcBorders>
              <w:left w:val="single" w:sz="8" w:color="00C1DE"/>
            </w:tcBorders>
          </w:tcPr>
          <w:p>
            <w:pPr>
              <w:spacing w:after="0"/>
              <w:rPr>
                <w:sz w:val="14"/>
                <w:szCs w:val="14"/>
                <w:color w:val="auto"/>
              </w:rPr>
            </w:pPr>
          </w:p>
        </w:tc>
        <w:tc>
          <w:tcPr>
            <w:tcW w:w="5240" w:type="dxa"/>
            <w:vAlign w:val="bottom"/>
          </w:tcPr>
          <w:p>
            <w:pPr>
              <w:ind w:left="1260"/>
              <w:spacing w:after="0"/>
              <w:rPr>
                <w:sz w:val="20"/>
                <w:szCs w:val="20"/>
                <w:color w:val="auto"/>
              </w:rPr>
            </w:pPr>
            <w:r>
              <w:rPr>
                <w:rFonts w:ascii="Arial" w:cs="Arial" w:eastAsia="Arial" w:hAnsi="Arial"/>
                <w:sz w:val="14"/>
                <w:szCs w:val="14"/>
                <w:color w:val="3E3935"/>
              </w:rPr>
              <w:t>Chair and Chief Executive Officer</w:t>
            </w:r>
          </w:p>
        </w:tc>
        <w:tc>
          <w:tcPr>
            <w:tcW w:w="640" w:type="dxa"/>
            <w:vAlign w:val="bottom"/>
          </w:tcPr>
          <w:p>
            <w:pPr>
              <w:jc w:val="center"/>
              <w:ind w:right="88"/>
              <w:spacing w:after="0"/>
              <w:rPr>
                <w:sz w:val="20"/>
                <w:szCs w:val="20"/>
                <w:color w:val="auto"/>
              </w:rPr>
            </w:pPr>
            <w:r>
              <w:rPr>
                <w:rFonts w:ascii="Arial" w:cs="Arial" w:eastAsia="Arial" w:hAnsi="Arial"/>
                <w:sz w:val="14"/>
                <w:szCs w:val="14"/>
                <w:color w:val="3E3935"/>
              </w:rPr>
              <w:t>61</w:t>
            </w:r>
          </w:p>
        </w:tc>
        <w:tc>
          <w:tcPr>
            <w:tcW w:w="1060" w:type="dxa"/>
            <w:vAlign w:val="bottom"/>
          </w:tcPr>
          <w:p>
            <w:pPr>
              <w:jc w:val="center"/>
              <w:spacing w:after="0"/>
              <w:rPr>
                <w:sz w:val="20"/>
                <w:szCs w:val="20"/>
                <w:color w:val="auto"/>
              </w:rPr>
            </w:pPr>
            <w:r>
              <w:rPr>
                <w:rFonts w:ascii="Arial" w:cs="Arial" w:eastAsia="Arial" w:hAnsi="Arial"/>
                <w:sz w:val="14"/>
                <w:szCs w:val="14"/>
                <w:color w:val="3E3935"/>
              </w:rPr>
              <w:t>2014</w:t>
            </w:r>
          </w:p>
        </w:tc>
        <w:tc>
          <w:tcPr>
            <w:tcW w:w="1300" w:type="dxa"/>
            <w:vAlign w:val="bottom"/>
          </w:tcPr>
          <w:p>
            <w:pPr>
              <w:spacing w:after="0"/>
              <w:rPr>
                <w:sz w:val="14"/>
                <w:szCs w:val="14"/>
                <w:color w:val="auto"/>
              </w:rPr>
            </w:pPr>
          </w:p>
        </w:tc>
        <w:tc>
          <w:tcPr>
            <w:tcW w:w="2560" w:type="dxa"/>
            <w:vAlign w:val="bottom"/>
            <w:tcBorders>
              <w:right w:val="single" w:sz="8" w:color="00C1DE"/>
            </w:tcBorders>
            <w:gridSpan w:val="2"/>
          </w:tcPr>
          <w:p>
            <w:pPr>
              <w:ind w:left="160"/>
              <w:spacing w:after="0"/>
              <w:rPr>
                <w:sz w:val="20"/>
                <w:szCs w:val="20"/>
                <w:color w:val="auto"/>
              </w:rPr>
            </w:pPr>
            <w:r>
              <w:rPr>
                <w:rFonts w:ascii="Arial" w:cs="Arial" w:eastAsia="Arial" w:hAnsi="Arial"/>
                <w:sz w:val="14"/>
                <w:szCs w:val="14"/>
                <w:color w:val="3E3935"/>
              </w:rPr>
              <w:t xml:space="preserve">Executive – </w:t>
            </w:r>
            <w:r>
              <w:rPr>
                <w:rFonts w:ascii="Arial" w:cs="Arial" w:eastAsia="Arial" w:hAnsi="Arial"/>
                <w:sz w:val="14"/>
                <w:szCs w:val="14"/>
                <w:b w:val="1"/>
                <w:bCs w:val="1"/>
                <w:color w:val="00C1DE"/>
              </w:rPr>
              <w:t>Chair</w:t>
            </w:r>
          </w:p>
        </w:tc>
        <w:tc>
          <w:tcPr>
            <w:tcW w:w="0" w:type="dxa"/>
            <w:vAlign w:val="bottom"/>
          </w:tcPr>
          <w:p>
            <w:pPr>
              <w:spacing w:after="0"/>
              <w:rPr>
                <w:sz w:val="1"/>
                <w:szCs w:val="1"/>
                <w:color w:val="auto"/>
              </w:rPr>
            </w:pPr>
          </w:p>
        </w:tc>
      </w:tr>
      <w:tr>
        <w:trPr>
          <w:trHeight w:val="190"/>
        </w:trPr>
        <w:tc>
          <w:tcPr>
            <w:tcW w:w="200" w:type="dxa"/>
            <w:vAlign w:val="bottom"/>
            <w:tcBorders>
              <w:left w:val="single" w:sz="8" w:color="00C1DE"/>
            </w:tcBorders>
          </w:tcPr>
          <w:p>
            <w:pPr>
              <w:spacing w:after="0"/>
              <w:rPr>
                <w:sz w:val="16"/>
                <w:szCs w:val="16"/>
                <w:color w:val="auto"/>
              </w:rPr>
            </w:pPr>
          </w:p>
        </w:tc>
        <w:tc>
          <w:tcPr>
            <w:tcW w:w="5240" w:type="dxa"/>
            <w:vAlign w:val="bottom"/>
          </w:tcPr>
          <w:p>
            <w:pPr>
              <w:ind w:left="1260"/>
              <w:spacing w:after="0"/>
              <w:rPr>
                <w:sz w:val="20"/>
                <w:szCs w:val="20"/>
                <w:color w:val="auto"/>
              </w:rPr>
            </w:pPr>
            <w:r>
              <w:rPr>
                <w:rFonts w:ascii="Arial" w:cs="Arial" w:eastAsia="Arial" w:hAnsi="Arial"/>
                <w:sz w:val="14"/>
                <w:szCs w:val="14"/>
                <w:color w:val="3E3935"/>
              </w:rPr>
              <w:t>General Motors Company</w:t>
            </w:r>
          </w:p>
        </w:tc>
        <w:tc>
          <w:tcPr>
            <w:tcW w:w="6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200" w:type="dxa"/>
            <w:vAlign w:val="bottom"/>
            <w:tcBorders>
              <w:right w:val="single" w:sz="8" w:color="00C1DE"/>
            </w:tcBorders>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200" w:type="dxa"/>
            <w:vAlign w:val="bottom"/>
            <w:tcBorders>
              <w:left w:val="single" w:sz="8" w:color="00C1DE"/>
            </w:tcBorders>
          </w:tcPr>
          <w:p>
            <w:pPr>
              <w:spacing w:after="0"/>
              <w:rPr>
                <w:sz w:val="14"/>
                <w:szCs w:val="14"/>
                <w:color w:val="auto"/>
              </w:rPr>
            </w:pPr>
          </w:p>
        </w:tc>
        <w:tc>
          <w:tcPr>
            <w:tcW w:w="5240" w:type="dxa"/>
            <w:vAlign w:val="bottom"/>
            <w:tcBorders>
              <w:bottom w:val="single" w:sz="8" w:color="3E3935"/>
            </w:tcBorders>
          </w:tcPr>
          <w:p>
            <w:pPr>
              <w:spacing w:after="0"/>
              <w:rPr>
                <w:sz w:val="14"/>
                <w:szCs w:val="14"/>
                <w:color w:val="auto"/>
              </w:rPr>
            </w:pPr>
          </w:p>
        </w:tc>
        <w:tc>
          <w:tcPr>
            <w:tcW w:w="640" w:type="dxa"/>
            <w:vAlign w:val="bottom"/>
            <w:tcBorders>
              <w:bottom w:val="single" w:sz="8" w:color="3E3935"/>
            </w:tcBorders>
          </w:tcPr>
          <w:p>
            <w:pPr>
              <w:spacing w:after="0"/>
              <w:rPr>
                <w:sz w:val="14"/>
                <w:szCs w:val="14"/>
                <w:color w:val="auto"/>
              </w:rPr>
            </w:pPr>
          </w:p>
        </w:tc>
        <w:tc>
          <w:tcPr>
            <w:tcW w:w="1060" w:type="dxa"/>
            <w:vAlign w:val="bottom"/>
            <w:tcBorders>
              <w:bottom w:val="single" w:sz="8" w:color="3E3935"/>
            </w:tcBorders>
          </w:tcPr>
          <w:p>
            <w:pPr>
              <w:spacing w:after="0"/>
              <w:rPr>
                <w:sz w:val="14"/>
                <w:szCs w:val="14"/>
                <w:color w:val="auto"/>
              </w:rPr>
            </w:pPr>
          </w:p>
        </w:tc>
        <w:tc>
          <w:tcPr>
            <w:tcW w:w="1300" w:type="dxa"/>
            <w:vAlign w:val="bottom"/>
            <w:tcBorders>
              <w:bottom w:val="single" w:sz="8" w:color="3E3935"/>
            </w:tcBorders>
          </w:tcPr>
          <w:p>
            <w:pPr>
              <w:spacing w:after="0"/>
              <w:rPr>
                <w:sz w:val="14"/>
                <w:szCs w:val="14"/>
                <w:color w:val="auto"/>
              </w:rPr>
            </w:pPr>
          </w:p>
        </w:tc>
        <w:tc>
          <w:tcPr>
            <w:tcW w:w="2360" w:type="dxa"/>
            <w:vAlign w:val="bottom"/>
            <w:tcBorders>
              <w:bottom w:val="single" w:sz="8" w:color="3E3935"/>
            </w:tcBorders>
          </w:tcPr>
          <w:p>
            <w:pPr>
              <w:spacing w:after="0"/>
              <w:rPr>
                <w:sz w:val="14"/>
                <w:szCs w:val="14"/>
                <w:color w:val="auto"/>
              </w:rPr>
            </w:pPr>
          </w:p>
        </w:tc>
        <w:tc>
          <w:tcPr>
            <w:tcW w:w="200" w:type="dxa"/>
            <w:vAlign w:val="bottom"/>
            <w:tcBorders>
              <w:right w:val="single" w:sz="8" w:color="00C1DE"/>
            </w:tcBorders>
          </w:tcPr>
          <w:p>
            <w:pPr>
              <w:spacing w:after="0"/>
              <w:rPr>
                <w:sz w:val="14"/>
                <w:szCs w:val="14"/>
                <w:color w:val="auto"/>
              </w:rPr>
            </w:pPr>
          </w:p>
        </w:tc>
        <w:tc>
          <w:tcPr>
            <w:tcW w:w="0" w:type="dxa"/>
            <w:vAlign w:val="bottom"/>
          </w:tcPr>
          <w:p>
            <w:pPr>
              <w:spacing w:after="0"/>
              <w:rPr>
                <w:sz w:val="1"/>
                <w:szCs w:val="1"/>
                <w:color w:val="auto"/>
              </w:rPr>
            </w:pPr>
          </w:p>
        </w:tc>
      </w:tr>
      <w:tr>
        <w:trPr>
          <w:trHeight w:val="416"/>
        </w:trPr>
        <w:tc>
          <w:tcPr>
            <w:tcW w:w="200" w:type="dxa"/>
            <w:vAlign w:val="bottom"/>
            <w:tcBorders>
              <w:left w:val="single" w:sz="8" w:color="00C1DE"/>
            </w:tcBorders>
          </w:tcPr>
          <w:p>
            <w:pPr>
              <w:spacing w:after="0"/>
              <w:rPr>
                <w:sz w:val="24"/>
                <w:szCs w:val="24"/>
                <w:color w:val="auto"/>
              </w:rPr>
            </w:pPr>
          </w:p>
        </w:tc>
        <w:tc>
          <w:tcPr>
            <w:tcW w:w="5240" w:type="dxa"/>
            <w:vAlign w:val="bottom"/>
          </w:tcPr>
          <w:p>
            <w:pPr>
              <w:ind w:left="1260"/>
              <w:spacing w:after="0"/>
              <w:rPr>
                <w:sz w:val="20"/>
                <w:szCs w:val="20"/>
                <w:color w:val="auto"/>
              </w:rPr>
            </w:pPr>
            <w:r>
              <w:rPr>
                <w:rFonts w:ascii="Arial" w:cs="Arial" w:eastAsia="Arial" w:hAnsi="Arial"/>
                <w:sz w:val="16"/>
                <w:szCs w:val="16"/>
                <w:b w:val="1"/>
                <w:bCs w:val="1"/>
                <w:color w:val="0071CE"/>
              </w:rPr>
              <w:t>Aneel Bhusri</w:t>
            </w:r>
          </w:p>
        </w:tc>
        <w:tc>
          <w:tcPr>
            <w:tcW w:w="640" w:type="dxa"/>
            <w:vAlign w:val="bottom"/>
            <w:vMerge w:val="restart"/>
          </w:tcPr>
          <w:p>
            <w:pPr>
              <w:jc w:val="center"/>
              <w:ind w:right="88"/>
              <w:spacing w:after="0"/>
              <w:rPr>
                <w:sz w:val="20"/>
                <w:szCs w:val="20"/>
                <w:color w:val="auto"/>
              </w:rPr>
            </w:pPr>
            <w:r>
              <w:rPr>
                <w:rFonts w:ascii="Arial" w:cs="Arial" w:eastAsia="Arial" w:hAnsi="Arial"/>
                <w:sz w:val="14"/>
                <w:szCs w:val="14"/>
                <w:color w:val="3E3935"/>
              </w:rPr>
              <w:t>57</w:t>
            </w:r>
          </w:p>
        </w:tc>
        <w:tc>
          <w:tcPr>
            <w:tcW w:w="1060" w:type="dxa"/>
            <w:vAlign w:val="bottom"/>
            <w:vMerge w:val="restart"/>
          </w:tcPr>
          <w:p>
            <w:pPr>
              <w:jc w:val="center"/>
              <w:spacing w:after="0"/>
              <w:rPr>
                <w:sz w:val="20"/>
                <w:szCs w:val="20"/>
                <w:color w:val="auto"/>
              </w:rPr>
            </w:pPr>
            <w:r>
              <w:rPr>
                <w:rFonts w:ascii="Arial" w:cs="Arial" w:eastAsia="Arial" w:hAnsi="Arial"/>
                <w:sz w:val="14"/>
                <w:szCs w:val="14"/>
                <w:color w:val="3E3935"/>
              </w:rPr>
              <w:t>2021</w:t>
            </w:r>
          </w:p>
        </w:tc>
        <w:tc>
          <w:tcPr>
            <w:tcW w:w="1300" w:type="dxa"/>
            <w:vAlign w:val="bottom"/>
          </w:tcPr>
          <w:p>
            <w:pPr>
              <w:spacing w:after="0"/>
              <w:rPr>
                <w:sz w:val="24"/>
                <w:szCs w:val="24"/>
                <w:color w:val="auto"/>
              </w:rPr>
            </w:pPr>
          </w:p>
        </w:tc>
        <w:tc>
          <w:tcPr>
            <w:tcW w:w="2560" w:type="dxa"/>
            <w:vAlign w:val="bottom"/>
            <w:tcBorders>
              <w:right w:val="single" w:sz="8" w:color="00C1DE"/>
            </w:tcBorders>
            <w:gridSpan w:val="2"/>
            <w:vMerge w:val="restart"/>
          </w:tcPr>
          <w:p>
            <w:pPr>
              <w:ind w:left="160"/>
              <w:spacing w:after="0"/>
              <w:rPr>
                <w:sz w:val="20"/>
                <w:szCs w:val="20"/>
                <w:color w:val="auto"/>
              </w:rPr>
            </w:pPr>
            <w:r>
              <w:rPr>
                <w:rFonts w:ascii="Arial" w:cs="Arial" w:eastAsia="Arial" w:hAnsi="Arial"/>
                <w:sz w:val="14"/>
                <w:szCs w:val="14"/>
                <w:color w:val="3E3935"/>
              </w:rPr>
              <w:t>Compensation</w:t>
            </w:r>
          </w:p>
        </w:tc>
        <w:tc>
          <w:tcPr>
            <w:tcW w:w="0" w:type="dxa"/>
            <w:vAlign w:val="bottom"/>
          </w:tcPr>
          <w:p>
            <w:pPr>
              <w:spacing w:after="0"/>
              <w:rPr>
                <w:sz w:val="1"/>
                <w:szCs w:val="1"/>
                <w:color w:val="auto"/>
              </w:rPr>
            </w:pPr>
          </w:p>
        </w:tc>
      </w:tr>
      <w:tr>
        <w:trPr>
          <w:trHeight w:val="68"/>
        </w:trPr>
        <w:tc>
          <w:tcPr>
            <w:tcW w:w="200" w:type="dxa"/>
            <w:vAlign w:val="bottom"/>
            <w:tcBorders>
              <w:left w:val="single" w:sz="8" w:color="00C1DE"/>
            </w:tcBorders>
          </w:tcPr>
          <w:p>
            <w:pPr>
              <w:spacing w:after="0"/>
              <w:rPr>
                <w:sz w:val="5"/>
                <w:szCs w:val="5"/>
                <w:color w:val="auto"/>
              </w:rPr>
            </w:pPr>
          </w:p>
        </w:tc>
        <w:tc>
          <w:tcPr>
            <w:tcW w:w="5240" w:type="dxa"/>
            <w:vAlign w:val="bottom"/>
            <w:vMerge w:val="restart"/>
          </w:tcPr>
          <w:p>
            <w:pPr>
              <w:ind w:left="1260"/>
              <w:spacing w:after="0"/>
              <w:rPr>
                <w:sz w:val="20"/>
                <w:szCs w:val="20"/>
                <w:color w:val="auto"/>
              </w:rPr>
            </w:pPr>
            <w:r>
              <w:rPr>
                <w:rFonts w:ascii="Arial" w:cs="Arial" w:eastAsia="Arial" w:hAnsi="Arial"/>
                <w:sz w:val="14"/>
                <w:szCs w:val="14"/>
                <w:color w:val="3E3935"/>
              </w:rPr>
              <w:t>Chairman, Co-Founder &amp; Co-Chief Executive  Officer</w:t>
            </w:r>
          </w:p>
        </w:tc>
        <w:tc>
          <w:tcPr>
            <w:tcW w:w="640" w:type="dxa"/>
            <w:vAlign w:val="bottom"/>
            <w:vMerge w:val="continue"/>
          </w:tcPr>
          <w:p>
            <w:pPr>
              <w:spacing w:after="0"/>
              <w:rPr>
                <w:sz w:val="5"/>
                <w:szCs w:val="5"/>
                <w:color w:val="auto"/>
              </w:rPr>
            </w:pPr>
          </w:p>
        </w:tc>
        <w:tc>
          <w:tcPr>
            <w:tcW w:w="1060" w:type="dxa"/>
            <w:vAlign w:val="bottom"/>
            <w:vMerge w:val="continue"/>
          </w:tcPr>
          <w:p>
            <w:pPr>
              <w:spacing w:after="0"/>
              <w:rPr>
                <w:sz w:val="5"/>
                <w:szCs w:val="5"/>
                <w:color w:val="auto"/>
              </w:rPr>
            </w:pPr>
          </w:p>
        </w:tc>
        <w:tc>
          <w:tcPr>
            <w:tcW w:w="1300" w:type="dxa"/>
            <w:vAlign w:val="bottom"/>
          </w:tcPr>
          <w:p>
            <w:pPr>
              <w:spacing w:after="0"/>
              <w:rPr>
                <w:sz w:val="5"/>
                <w:szCs w:val="5"/>
                <w:color w:val="auto"/>
              </w:rPr>
            </w:pPr>
          </w:p>
        </w:tc>
        <w:tc>
          <w:tcPr>
            <w:tcW w:w="2560" w:type="dxa"/>
            <w:vAlign w:val="bottom"/>
            <w:tcBorders>
              <w:right w:val="single" w:sz="8" w:color="00C1DE"/>
            </w:tcBorders>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4"/>
        </w:trPr>
        <w:tc>
          <w:tcPr>
            <w:tcW w:w="200" w:type="dxa"/>
            <w:vAlign w:val="bottom"/>
            <w:tcBorders>
              <w:left w:val="single" w:sz="8" w:color="00C1DE"/>
            </w:tcBorders>
          </w:tcPr>
          <w:p>
            <w:pPr>
              <w:spacing w:after="0"/>
              <w:rPr>
                <w:sz w:val="8"/>
                <w:szCs w:val="8"/>
                <w:color w:val="auto"/>
              </w:rPr>
            </w:pPr>
          </w:p>
        </w:tc>
        <w:tc>
          <w:tcPr>
            <w:tcW w:w="5240" w:type="dxa"/>
            <w:vAlign w:val="bottom"/>
            <w:vMerge w:val="continue"/>
          </w:tcPr>
          <w:p>
            <w:pPr>
              <w:spacing w:after="0"/>
              <w:rPr>
                <w:sz w:val="8"/>
                <w:szCs w:val="8"/>
                <w:color w:val="auto"/>
              </w:rPr>
            </w:pPr>
          </w:p>
        </w:tc>
        <w:tc>
          <w:tcPr>
            <w:tcW w:w="640" w:type="dxa"/>
            <w:vAlign w:val="bottom"/>
            <w:vMerge w:val="continue"/>
          </w:tcPr>
          <w:p>
            <w:pPr>
              <w:spacing w:after="0"/>
              <w:rPr>
                <w:sz w:val="8"/>
                <w:szCs w:val="8"/>
                <w:color w:val="auto"/>
              </w:rPr>
            </w:pPr>
          </w:p>
        </w:tc>
        <w:tc>
          <w:tcPr>
            <w:tcW w:w="1060" w:type="dxa"/>
            <w:vAlign w:val="bottom"/>
            <w:vMerge w:val="continue"/>
          </w:tcPr>
          <w:p>
            <w:pPr>
              <w:spacing w:after="0"/>
              <w:rPr>
                <w:sz w:val="8"/>
                <w:szCs w:val="8"/>
                <w:color w:val="auto"/>
              </w:rPr>
            </w:pPr>
          </w:p>
        </w:tc>
        <w:tc>
          <w:tcPr>
            <w:tcW w:w="1300" w:type="dxa"/>
            <w:vAlign w:val="bottom"/>
          </w:tcPr>
          <w:p>
            <w:pPr>
              <w:spacing w:after="0"/>
              <w:rPr>
                <w:sz w:val="8"/>
                <w:szCs w:val="8"/>
                <w:color w:val="auto"/>
              </w:rPr>
            </w:pPr>
          </w:p>
        </w:tc>
        <w:tc>
          <w:tcPr>
            <w:tcW w:w="2560" w:type="dxa"/>
            <w:vAlign w:val="bottom"/>
            <w:tcBorders>
              <w:right w:val="single" w:sz="8" w:color="00C1DE"/>
            </w:tcBorders>
            <w:gridSpan w:val="2"/>
            <w:vMerge w:val="restart"/>
          </w:tcPr>
          <w:p>
            <w:pPr>
              <w:ind w:left="160"/>
              <w:spacing w:after="0"/>
              <w:rPr>
                <w:sz w:val="20"/>
                <w:szCs w:val="20"/>
                <w:color w:val="auto"/>
              </w:rPr>
            </w:pPr>
            <w:r>
              <w:rPr>
                <w:rFonts w:ascii="Arial" w:cs="Arial" w:eastAsia="Arial" w:hAnsi="Arial"/>
                <w:sz w:val="14"/>
                <w:szCs w:val="14"/>
                <w:color w:val="3E3935"/>
              </w:rPr>
              <w:t>Governance</w:t>
            </w:r>
          </w:p>
        </w:tc>
        <w:tc>
          <w:tcPr>
            <w:tcW w:w="0" w:type="dxa"/>
            <w:vAlign w:val="bottom"/>
          </w:tcPr>
          <w:p>
            <w:pPr>
              <w:spacing w:after="0"/>
              <w:rPr>
                <w:sz w:val="1"/>
                <w:szCs w:val="1"/>
                <w:color w:val="auto"/>
              </w:rPr>
            </w:pPr>
          </w:p>
        </w:tc>
      </w:tr>
      <w:tr>
        <w:trPr>
          <w:trHeight w:val="96"/>
        </w:trPr>
        <w:tc>
          <w:tcPr>
            <w:tcW w:w="200" w:type="dxa"/>
            <w:vAlign w:val="bottom"/>
            <w:tcBorders>
              <w:left w:val="single" w:sz="8" w:color="00C1DE"/>
            </w:tcBorders>
          </w:tcPr>
          <w:p>
            <w:pPr>
              <w:spacing w:after="0"/>
              <w:rPr>
                <w:sz w:val="8"/>
                <w:szCs w:val="8"/>
                <w:color w:val="auto"/>
              </w:rPr>
            </w:pPr>
          </w:p>
        </w:tc>
        <w:tc>
          <w:tcPr>
            <w:tcW w:w="5240" w:type="dxa"/>
            <w:vAlign w:val="bottom"/>
            <w:vMerge w:val="restart"/>
          </w:tcPr>
          <w:p>
            <w:pPr>
              <w:ind w:left="1260"/>
              <w:spacing w:after="0"/>
              <w:rPr>
                <w:sz w:val="20"/>
                <w:szCs w:val="20"/>
                <w:color w:val="auto"/>
              </w:rPr>
            </w:pPr>
            <w:r>
              <w:rPr>
                <w:rFonts w:ascii="Arial" w:cs="Arial" w:eastAsia="Arial" w:hAnsi="Arial"/>
                <w:sz w:val="14"/>
                <w:szCs w:val="14"/>
                <w:color w:val="3E3935"/>
              </w:rPr>
              <w:t>Workday, Inc.</w:t>
            </w:r>
          </w:p>
        </w:tc>
        <w:tc>
          <w:tcPr>
            <w:tcW w:w="6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300" w:type="dxa"/>
            <w:vAlign w:val="bottom"/>
          </w:tcPr>
          <w:p>
            <w:pPr>
              <w:spacing w:after="0"/>
              <w:rPr>
                <w:sz w:val="8"/>
                <w:szCs w:val="8"/>
                <w:color w:val="auto"/>
              </w:rPr>
            </w:pPr>
          </w:p>
        </w:tc>
        <w:tc>
          <w:tcPr>
            <w:tcW w:w="2560" w:type="dxa"/>
            <w:vAlign w:val="bottom"/>
            <w:tcBorders>
              <w:right w:val="single" w:sz="8" w:color="00C1DE"/>
            </w:tcBorders>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0" w:type="dxa"/>
            <w:vAlign w:val="bottom"/>
            <w:tcBorders>
              <w:left w:val="single" w:sz="8" w:color="00C1DE"/>
            </w:tcBorders>
          </w:tcPr>
          <w:p>
            <w:pPr>
              <w:spacing w:after="0"/>
              <w:rPr>
                <w:sz w:val="8"/>
                <w:szCs w:val="8"/>
                <w:color w:val="auto"/>
              </w:rPr>
            </w:pPr>
          </w:p>
        </w:tc>
        <w:tc>
          <w:tcPr>
            <w:tcW w:w="5240" w:type="dxa"/>
            <w:vAlign w:val="bottom"/>
            <w:vMerge w:val="continue"/>
          </w:tcPr>
          <w:p>
            <w:pPr>
              <w:spacing w:after="0"/>
              <w:rPr>
                <w:sz w:val="8"/>
                <w:szCs w:val="8"/>
                <w:color w:val="auto"/>
              </w:rPr>
            </w:pPr>
          </w:p>
        </w:tc>
        <w:tc>
          <w:tcPr>
            <w:tcW w:w="6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300" w:type="dxa"/>
            <w:vAlign w:val="bottom"/>
          </w:tcPr>
          <w:p>
            <w:pPr>
              <w:spacing w:after="0"/>
              <w:rPr>
                <w:sz w:val="8"/>
                <w:szCs w:val="8"/>
                <w:color w:val="auto"/>
              </w:rPr>
            </w:pPr>
          </w:p>
        </w:tc>
        <w:tc>
          <w:tcPr>
            <w:tcW w:w="2360" w:type="dxa"/>
            <w:vAlign w:val="bottom"/>
          </w:tcPr>
          <w:p>
            <w:pPr>
              <w:spacing w:after="0"/>
              <w:rPr>
                <w:sz w:val="8"/>
                <w:szCs w:val="8"/>
                <w:color w:val="auto"/>
              </w:rPr>
            </w:pPr>
          </w:p>
        </w:tc>
        <w:tc>
          <w:tcPr>
            <w:tcW w:w="200" w:type="dxa"/>
            <w:vAlign w:val="bottom"/>
            <w:tcBorders>
              <w:right w:val="single" w:sz="8" w:color="00C1DE"/>
            </w:tcBorders>
          </w:tcPr>
          <w:p>
            <w:pPr>
              <w:spacing w:after="0"/>
              <w:rPr>
                <w:sz w:val="8"/>
                <w:szCs w:val="8"/>
                <w:color w:val="auto"/>
              </w:rPr>
            </w:pPr>
          </w:p>
        </w:tc>
        <w:tc>
          <w:tcPr>
            <w:tcW w:w="0" w:type="dxa"/>
            <w:vAlign w:val="bottom"/>
          </w:tcPr>
          <w:p>
            <w:pPr>
              <w:spacing w:after="0"/>
              <w:rPr>
                <w:sz w:val="1"/>
                <w:szCs w:val="1"/>
                <w:color w:val="auto"/>
              </w:rPr>
            </w:pPr>
          </w:p>
        </w:tc>
      </w:tr>
      <w:tr>
        <w:trPr>
          <w:trHeight w:val="197"/>
        </w:trPr>
        <w:tc>
          <w:tcPr>
            <w:tcW w:w="200" w:type="dxa"/>
            <w:vAlign w:val="bottom"/>
            <w:tcBorders>
              <w:left w:val="single" w:sz="8" w:color="00C1DE"/>
            </w:tcBorders>
          </w:tcPr>
          <w:p>
            <w:pPr>
              <w:spacing w:after="0"/>
              <w:rPr>
                <w:sz w:val="17"/>
                <w:szCs w:val="17"/>
                <w:color w:val="auto"/>
              </w:rPr>
            </w:pPr>
          </w:p>
        </w:tc>
        <w:tc>
          <w:tcPr>
            <w:tcW w:w="5240" w:type="dxa"/>
            <w:vAlign w:val="bottom"/>
            <w:tcBorders>
              <w:bottom w:val="single" w:sz="8" w:color="3E3935"/>
            </w:tcBorders>
          </w:tcPr>
          <w:p>
            <w:pPr>
              <w:spacing w:after="0"/>
              <w:rPr>
                <w:sz w:val="17"/>
                <w:szCs w:val="17"/>
                <w:color w:val="auto"/>
              </w:rPr>
            </w:pPr>
          </w:p>
        </w:tc>
        <w:tc>
          <w:tcPr>
            <w:tcW w:w="640" w:type="dxa"/>
            <w:vAlign w:val="bottom"/>
            <w:tcBorders>
              <w:bottom w:val="single" w:sz="8" w:color="3E3935"/>
            </w:tcBorders>
          </w:tcPr>
          <w:p>
            <w:pPr>
              <w:spacing w:after="0"/>
              <w:rPr>
                <w:sz w:val="17"/>
                <w:szCs w:val="17"/>
                <w:color w:val="auto"/>
              </w:rPr>
            </w:pPr>
          </w:p>
        </w:tc>
        <w:tc>
          <w:tcPr>
            <w:tcW w:w="1060" w:type="dxa"/>
            <w:vAlign w:val="bottom"/>
            <w:tcBorders>
              <w:bottom w:val="single" w:sz="8" w:color="3E3935"/>
            </w:tcBorders>
          </w:tcPr>
          <w:p>
            <w:pPr>
              <w:spacing w:after="0"/>
              <w:rPr>
                <w:sz w:val="17"/>
                <w:szCs w:val="17"/>
                <w:color w:val="auto"/>
              </w:rPr>
            </w:pPr>
          </w:p>
        </w:tc>
        <w:tc>
          <w:tcPr>
            <w:tcW w:w="1300" w:type="dxa"/>
            <w:vAlign w:val="bottom"/>
            <w:tcBorders>
              <w:bottom w:val="single" w:sz="8" w:color="3E3935"/>
            </w:tcBorders>
          </w:tcPr>
          <w:p>
            <w:pPr>
              <w:spacing w:after="0"/>
              <w:rPr>
                <w:sz w:val="17"/>
                <w:szCs w:val="17"/>
                <w:color w:val="auto"/>
              </w:rPr>
            </w:pPr>
          </w:p>
        </w:tc>
        <w:tc>
          <w:tcPr>
            <w:tcW w:w="2360" w:type="dxa"/>
            <w:vAlign w:val="bottom"/>
            <w:tcBorders>
              <w:bottom w:val="single" w:sz="8" w:color="3E3935"/>
            </w:tcBorders>
          </w:tcPr>
          <w:p>
            <w:pPr>
              <w:spacing w:after="0"/>
              <w:rPr>
                <w:sz w:val="17"/>
                <w:szCs w:val="17"/>
                <w:color w:val="auto"/>
              </w:rPr>
            </w:pPr>
          </w:p>
        </w:tc>
        <w:tc>
          <w:tcPr>
            <w:tcW w:w="200" w:type="dxa"/>
            <w:vAlign w:val="bottom"/>
            <w:tcBorders>
              <w:right w:val="single" w:sz="8" w:color="00C1DE"/>
            </w:tcBorders>
          </w:tcPr>
          <w:p>
            <w:pPr>
              <w:spacing w:after="0"/>
              <w:rPr>
                <w:sz w:val="17"/>
                <w:szCs w:val="17"/>
                <w:color w:val="auto"/>
              </w:rPr>
            </w:pPr>
          </w:p>
        </w:tc>
        <w:tc>
          <w:tcPr>
            <w:tcW w:w="0" w:type="dxa"/>
            <w:vAlign w:val="bottom"/>
          </w:tcPr>
          <w:p>
            <w:pPr>
              <w:spacing w:after="0"/>
              <w:rPr>
                <w:sz w:val="1"/>
                <w:szCs w:val="1"/>
                <w:color w:val="auto"/>
              </w:rPr>
            </w:pPr>
          </w:p>
        </w:tc>
      </w:tr>
      <w:tr>
        <w:trPr>
          <w:trHeight w:val="322"/>
        </w:trPr>
        <w:tc>
          <w:tcPr>
            <w:tcW w:w="200" w:type="dxa"/>
            <w:vAlign w:val="bottom"/>
            <w:tcBorders>
              <w:left w:val="single" w:sz="8" w:color="00C1DE"/>
            </w:tcBorders>
          </w:tcPr>
          <w:p>
            <w:pPr>
              <w:spacing w:after="0"/>
              <w:rPr>
                <w:sz w:val="24"/>
                <w:szCs w:val="24"/>
                <w:color w:val="auto"/>
              </w:rPr>
            </w:pPr>
          </w:p>
        </w:tc>
        <w:tc>
          <w:tcPr>
            <w:tcW w:w="5240" w:type="dxa"/>
            <w:vAlign w:val="bottom"/>
            <w:vMerge w:val="restart"/>
          </w:tcPr>
          <w:p>
            <w:pPr>
              <w:ind w:left="1260"/>
              <w:spacing w:after="0"/>
              <w:rPr>
                <w:sz w:val="20"/>
                <w:szCs w:val="20"/>
                <w:color w:val="auto"/>
              </w:rPr>
            </w:pPr>
            <w:r>
              <w:rPr>
                <w:rFonts w:ascii="Arial" w:cs="Arial" w:eastAsia="Arial" w:hAnsi="Arial"/>
                <w:sz w:val="16"/>
                <w:szCs w:val="16"/>
                <w:b w:val="1"/>
                <w:bCs w:val="1"/>
                <w:color w:val="0071CE"/>
              </w:rPr>
              <w:t>Wesley G. Bush</w:t>
            </w:r>
          </w:p>
        </w:tc>
        <w:tc>
          <w:tcPr>
            <w:tcW w:w="6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560" w:type="dxa"/>
            <w:vAlign w:val="bottom"/>
            <w:tcBorders>
              <w:right w:val="single" w:sz="8" w:color="00C1DE"/>
            </w:tcBorders>
            <w:gridSpan w:val="2"/>
          </w:tcPr>
          <w:p>
            <w:pPr>
              <w:ind w:left="160"/>
              <w:spacing w:after="0"/>
              <w:rPr>
                <w:sz w:val="20"/>
                <w:szCs w:val="20"/>
                <w:color w:val="auto"/>
              </w:rPr>
            </w:pPr>
            <w:r>
              <w:rPr>
                <w:rFonts w:ascii="Arial" w:cs="Arial" w:eastAsia="Arial" w:hAnsi="Arial"/>
                <w:sz w:val="14"/>
                <w:szCs w:val="14"/>
                <w:color w:val="3E3935"/>
              </w:rPr>
              <w:t>Audit</w:t>
            </w:r>
          </w:p>
        </w:tc>
        <w:tc>
          <w:tcPr>
            <w:tcW w:w="0" w:type="dxa"/>
            <w:vAlign w:val="bottom"/>
          </w:tcPr>
          <w:p>
            <w:pPr>
              <w:spacing w:after="0"/>
              <w:rPr>
                <w:sz w:val="1"/>
                <w:szCs w:val="1"/>
                <w:color w:val="auto"/>
              </w:rPr>
            </w:pPr>
          </w:p>
        </w:tc>
      </w:tr>
      <w:tr>
        <w:trPr>
          <w:trHeight w:val="94"/>
        </w:trPr>
        <w:tc>
          <w:tcPr>
            <w:tcW w:w="200" w:type="dxa"/>
            <w:vAlign w:val="bottom"/>
            <w:tcBorders>
              <w:left w:val="single" w:sz="8" w:color="00C1DE"/>
            </w:tcBorders>
          </w:tcPr>
          <w:p>
            <w:pPr>
              <w:spacing w:after="0"/>
              <w:rPr>
                <w:sz w:val="8"/>
                <w:szCs w:val="8"/>
                <w:color w:val="auto"/>
              </w:rPr>
            </w:pPr>
          </w:p>
        </w:tc>
        <w:tc>
          <w:tcPr>
            <w:tcW w:w="5240" w:type="dxa"/>
            <w:vAlign w:val="bottom"/>
            <w:vMerge w:val="continue"/>
          </w:tcPr>
          <w:p>
            <w:pPr>
              <w:spacing w:after="0"/>
              <w:rPr>
                <w:sz w:val="8"/>
                <w:szCs w:val="8"/>
                <w:color w:val="auto"/>
              </w:rPr>
            </w:pPr>
          </w:p>
        </w:tc>
        <w:tc>
          <w:tcPr>
            <w:tcW w:w="640" w:type="dxa"/>
            <w:vAlign w:val="bottom"/>
            <w:vMerge w:val="restart"/>
          </w:tcPr>
          <w:p>
            <w:pPr>
              <w:jc w:val="center"/>
              <w:ind w:right="88"/>
              <w:spacing w:after="0"/>
              <w:rPr>
                <w:sz w:val="20"/>
                <w:szCs w:val="20"/>
                <w:color w:val="auto"/>
              </w:rPr>
            </w:pPr>
            <w:r>
              <w:rPr>
                <w:rFonts w:ascii="Arial" w:cs="Arial" w:eastAsia="Arial" w:hAnsi="Arial"/>
                <w:sz w:val="14"/>
                <w:szCs w:val="14"/>
                <w:color w:val="3E3935"/>
              </w:rPr>
              <w:t>62</w:t>
            </w:r>
          </w:p>
        </w:tc>
        <w:tc>
          <w:tcPr>
            <w:tcW w:w="1060" w:type="dxa"/>
            <w:vAlign w:val="bottom"/>
            <w:vMerge w:val="restart"/>
          </w:tcPr>
          <w:p>
            <w:pPr>
              <w:jc w:val="center"/>
              <w:spacing w:after="0"/>
              <w:rPr>
                <w:sz w:val="20"/>
                <w:szCs w:val="20"/>
                <w:color w:val="auto"/>
              </w:rPr>
            </w:pPr>
            <w:r>
              <w:rPr>
                <w:rFonts w:ascii="Arial" w:cs="Arial" w:eastAsia="Arial" w:hAnsi="Arial"/>
                <w:sz w:val="14"/>
                <w:szCs w:val="14"/>
                <w:color w:val="3E3935"/>
              </w:rPr>
              <w:t>2019</w:t>
            </w:r>
          </w:p>
        </w:tc>
        <w:tc>
          <w:tcPr>
            <w:tcW w:w="1300" w:type="dxa"/>
            <w:vAlign w:val="bottom"/>
          </w:tcPr>
          <w:p>
            <w:pPr>
              <w:spacing w:after="0"/>
              <w:rPr>
                <w:sz w:val="8"/>
                <w:szCs w:val="8"/>
                <w:color w:val="auto"/>
              </w:rPr>
            </w:pPr>
          </w:p>
        </w:tc>
        <w:tc>
          <w:tcPr>
            <w:tcW w:w="2560" w:type="dxa"/>
            <w:vAlign w:val="bottom"/>
            <w:tcBorders>
              <w:right w:val="single" w:sz="8" w:color="00C1DE"/>
            </w:tcBorders>
            <w:gridSpan w:val="2"/>
            <w:vMerge w:val="restart"/>
          </w:tcPr>
          <w:p>
            <w:pPr>
              <w:ind w:left="160"/>
              <w:spacing w:after="0"/>
              <w:rPr>
                <w:sz w:val="20"/>
                <w:szCs w:val="20"/>
                <w:color w:val="auto"/>
              </w:rPr>
            </w:pPr>
            <w:r>
              <w:rPr>
                <w:rFonts w:ascii="Arial" w:cs="Arial" w:eastAsia="Arial" w:hAnsi="Arial"/>
                <w:sz w:val="14"/>
                <w:szCs w:val="14"/>
                <w:color w:val="3E3935"/>
              </w:rPr>
              <w:t xml:space="preserve">Compensation – </w:t>
            </w:r>
            <w:r>
              <w:rPr>
                <w:rFonts w:ascii="Arial" w:cs="Arial" w:eastAsia="Arial" w:hAnsi="Arial"/>
                <w:sz w:val="14"/>
                <w:szCs w:val="14"/>
                <w:b w:val="1"/>
                <w:bCs w:val="1"/>
                <w:color w:val="00C1DE"/>
              </w:rPr>
              <w:t>Chair</w:t>
            </w:r>
          </w:p>
        </w:tc>
        <w:tc>
          <w:tcPr>
            <w:tcW w:w="0" w:type="dxa"/>
            <w:vAlign w:val="bottom"/>
          </w:tcPr>
          <w:p>
            <w:pPr>
              <w:spacing w:after="0"/>
              <w:rPr>
                <w:sz w:val="1"/>
                <w:szCs w:val="1"/>
                <w:color w:val="auto"/>
              </w:rPr>
            </w:pPr>
          </w:p>
        </w:tc>
      </w:tr>
      <w:tr>
        <w:trPr>
          <w:trHeight w:val="68"/>
        </w:trPr>
        <w:tc>
          <w:tcPr>
            <w:tcW w:w="200" w:type="dxa"/>
            <w:vAlign w:val="bottom"/>
            <w:tcBorders>
              <w:left w:val="single" w:sz="8" w:color="00C1DE"/>
            </w:tcBorders>
          </w:tcPr>
          <w:p>
            <w:pPr>
              <w:spacing w:after="0"/>
              <w:rPr>
                <w:sz w:val="5"/>
                <w:szCs w:val="5"/>
                <w:color w:val="auto"/>
              </w:rPr>
            </w:pPr>
          </w:p>
        </w:tc>
        <w:tc>
          <w:tcPr>
            <w:tcW w:w="5240" w:type="dxa"/>
            <w:vAlign w:val="bottom"/>
            <w:vMerge w:val="restart"/>
          </w:tcPr>
          <w:p>
            <w:pPr>
              <w:ind w:left="1260"/>
              <w:spacing w:after="0"/>
              <w:rPr>
                <w:sz w:val="20"/>
                <w:szCs w:val="20"/>
                <w:color w:val="auto"/>
              </w:rPr>
            </w:pPr>
            <w:r>
              <w:rPr>
                <w:rFonts w:ascii="Arial" w:cs="Arial" w:eastAsia="Arial" w:hAnsi="Arial"/>
                <w:sz w:val="14"/>
                <w:szCs w:val="14"/>
                <w:color w:val="3E3935"/>
              </w:rPr>
              <w:t>Retired Chairman &amp; Chief Executive Officer</w:t>
            </w:r>
          </w:p>
        </w:tc>
        <w:tc>
          <w:tcPr>
            <w:tcW w:w="640" w:type="dxa"/>
            <w:vAlign w:val="bottom"/>
            <w:vMerge w:val="continue"/>
          </w:tcPr>
          <w:p>
            <w:pPr>
              <w:spacing w:after="0"/>
              <w:rPr>
                <w:sz w:val="5"/>
                <w:szCs w:val="5"/>
                <w:color w:val="auto"/>
              </w:rPr>
            </w:pPr>
          </w:p>
        </w:tc>
        <w:tc>
          <w:tcPr>
            <w:tcW w:w="1060" w:type="dxa"/>
            <w:vAlign w:val="bottom"/>
            <w:vMerge w:val="continue"/>
          </w:tcPr>
          <w:p>
            <w:pPr>
              <w:spacing w:after="0"/>
              <w:rPr>
                <w:sz w:val="5"/>
                <w:szCs w:val="5"/>
                <w:color w:val="auto"/>
              </w:rPr>
            </w:pPr>
          </w:p>
        </w:tc>
        <w:tc>
          <w:tcPr>
            <w:tcW w:w="1300" w:type="dxa"/>
            <w:vAlign w:val="bottom"/>
          </w:tcPr>
          <w:p>
            <w:pPr>
              <w:spacing w:after="0"/>
              <w:rPr>
                <w:sz w:val="5"/>
                <w:szCs w:val="5"/>
                <w:color w:val="auto"/>
              </w:rPr>
            </w:pPr>
          </w:p>
        </w:tc>
        <w:tc>
          <w:tcPr>
            <w:tcW w:w="2560" w:type="dxa"/>
            <w:vAlign w:val="bottom"/>
            <w:tcBorders>
              <w:right w:val="single" w:sz="8" w:color="00C1DE"/>
            </w:tcBorders>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5"/>
        </w:trPr>
        <w:tc>
          <w:tcPr>
            <w:tcW w:w="200" w:type="dxa"/>
            <w:vAlign w:val="bottom"/>
            <w:tcBorders>
              <w:left w:val="single" w:sz="8" w:color="00C1DE"/>
            </w:tcBorders>
          </w:tcPr>
          <w:p>
            <w:pPr>
              <w:spacing w:after="0"/>
              <w:rPr>
                <w:sz w:val="8"/>
                <w:szCs w:val="8"/>
                <w:color w:val="auto"/>
              </w:rPr>
            </w:pPr>
          </w:p>
        </w:tc>
        <w:tc>
          <w:tcPr>
            <w:tcW w:w="5240" w:type="dxa"/>
            <w:vAlign w:val="bottom"/>
            <w:vMerge w:val="continue"/>
          </w:tcPr>
          <w:p>
            <w:pPr>
              <w:spacing w:after="0"/>
              <w:rPr>
                <w:sz w:val="8"/>
                <w:szCs w:val="8"/>
                <w:color w:val="auto"/>
              </w:rPr>
            </w:pPr>
          </w:p>
        </w:tc>
        <w:tc>
          <w:tcPr>
            <w:tcW w:w="640" w:type="dxa"/>
            <w:vAlign w:val="bottom"/>
            <w:vMerge w:val="continue"/>
          </w:tcPr>
          <w:p>
            <w:pPr>
              <w:spacing w:after="0"/>
              <w:rPr>
                <w:sz w:val="8"/>
                <w:szCs w:val="8"/>
                <w:color w:val="auto"/>
              </w:rPr>
            </w:pPr>
          </w:p>
        </w:tc>
        <w:tc>
          <w:tcPr>
            <w:tcW w:w="1060" w:type="dxa"/>
            <w:vAlign w:val="bottom"/>
            <w:vMerge w:val="continue"/>
          </w:tcPr>
          <w:p>
            <w:pPr>
              <w:spacing w:after="0"/>
              <w:rPr>
                <w:sz w:val="8"/>
                <w:szCs w:val="8"/>
                <w:color w:val="auto"/>
              </w:rPr>
            </w:pPr>
          </w:p>
        </w:tc>
        <w:tc>
          <w:tcPr>
            <w:tcW w:w="1300" w:type="dxa"/>
            <w:vAlign w:val="bottom"/>
          </w:tcPr>
          <w:p>
            <w:pPr>
              <w:spacing w:after="0"/>
              <w:rPr>
                <w:sz w:val="8"/>
                <w:szCs w:val="8"/>
                <w:color w:val="auto"/>
              </w:rPr>
            </w:pPr>
          </w:p>
        </w:tc>
        <w:tc>
          <w:tcPr>
            <w:tcW w:w="2560" w:type="dxa"/>
            <w:vAlign w:val="bottom"/>
            <w:tcBorders>
              <w:right w:val="single" w:sz="8" w:color="00C1DE"/>
            </w:tcBorders>
            <w:gridSpan w:val="2"/>
            <w:vMerge w:val="restart"/>
          </w:tcPr>
          <w:p>
            <w:pPr>
              <w:ind w:left="160"/>
              <w:spacing w:after="0"/>
              <w:rPr>
                <w:sz w:val="20"/>
                <w:szCs w:val="20"/>
                <w:color w:val="auto"/>
              </w:rPr>
            </w:pPr>
            <w:r>
              <w:rPr>
                <w:rFonts w:ascii="Arial" w:cs="Arial" w:eastAsia="Arial" w:hAnsi="Arial"/>
                <w:sz w:val="14"/>
                <w:szCs w:val="14"/>
                <w:color w:val="3E3935"/>
              </w:rPr>
              <w:t>Executive</w:t>
            </w:r>
          </w:p>
        </w:tc>
        <w:tc>
          <w:tcPr>
            <w:tcW w:w="0" w:type="dxa"/>
            <w:vAlign w:val="bottom"/>
          </w:tcPr>
          <w:p>
            <w:pPr>
              <w:spacing w:after="0"/>
              <w:rPr>
                <w:sz w:val="1"/>
                <w:szCs w:val="1"/>
                <w:color w:val="auto"/>
              </w:rPr>
            </w:pPr>
          </w:p>
        </w:tc>
      </w:tr>
      <w:tr>
        <w:trPr>
          <w:trHeight w:val="68"/>
        </w:trPr>
        <w:tc>
          <w:tcPr>
            <w:tcW w:w="200" w:type="dxa"/>
            <w:vAlign w:val="bottom"/>
            <w:tcBorders>
              <w:left w:val="single" w:sz="8" w:color="00C1DE"/>
            </w:tcBorders>
          </w:tcPr>
          <w:p>
            <w:pPr>
              <w:spacing w:after="0"/>
              <w:rPr>
                <w:sz w:val="5"/>
                <w:szCs w:val="5"/>
                <w:color w:val="auto"/>
              </w:rPr>
            </w:pPr>
          </w:p>
        </w:tc>
        <w:tc>
          <w:tcPr>
            <w:tcW w:w="5240" w:type="dxa"/>
            <w:vAlign w:val="bottom"/>
            <w:vMerge w:val="restart"/>
          </w:tcPr>
          <w:p>
            <w:pPr>
              <w:ind w:left="1260"/>
              <w:spacing w:after="0"/>
              <w:rPr>
                <w:sz w:val="20"/>
                <w:szCs w:val="20"/>
                <w:color w:val="auto"/>
              </w:rPr>
            </w:pPr>
            <w:r>
              <w:rPr>
                <w:rFonts w:ascii="Arial" w:cs="Arial" w:eastAsia="Arial" w:hAnsi="Arial"/>
                <w:sz w:val="14"/>
                <w:szCs w:val="14"/>
                <w:color w:val="3E3935"/>
              </w:rPr>
              <w:t>Northrop Grumman Corporation</w:t>
            </w:r>
          </w:p>
        </w:tc>
        <w:tc>
          <w:tcPr>
            <w:tcW w:w="6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300" w:type="dxa"/>
            <w:vAlign w:val="bottom"/>
          </w:tcPr>
          <w:p>
            <w:pPr>
              <w:spacing w:after="0"/>
              <w:rPr>
                <w:sz w:val="5"/>
                <w:szCs w:val="5"/>
                <w:color w:val="auto"/>
              </w:rPr>
            </w:pPr>
          </w:p>
        </w:tc>
        <w:tc>
          <w:tcPr>
            <w:tcW w:w="2560" w:type="dxa"/>
            <w:vAlign w:val="bottom"/>
            <w:tcBorders>
              <w:right w:val="single" w:sz="8" w:color="00C1DE"/>
            </w:tcBorders>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3"/>
        </w:trPr>
        <w:tc>
          <w:tcPr>
            <w:tcW w:w="200" w:type="dxa"/>
            <w:vAlign w:val="bottom"/>
            <w:tcBorders>
              <w:left w:val="single" w:sz="8" w:color="00C1DE"/>
            </w:tcBorders>
          </w:tcPr>
          <w:p>
            <w:pPr>
              <w:spacing w:after="0"/>
              <w:rPr>
                <w:sz w:val="10"/>
                <w:szCs w:val="10"/>
                <w:color w:val="auto"/>
              </w:rPr>
            </w:pPr>
          </w:p>
        </w:tc>
        <w:tc>
          <w:tcPr>
            <w:tcW w:w="5240" w:type="dxa"/>
            <w:vAlign w:val="bottom"/>
            <w:vMerge w:val="continue"/>
          </w:tcPr>
          <w:p>
            <w:pPr>
              <w:spacing w:after="0"/>
              <w:rPr>
                <w:sz w:val="10"/>
                <w:szCs w:val="10"/>
                <w:color w:val="auto"/>
              </w:rPr>
            </w:pPr>
          </w:p>
        </w:tc>
        <w:tc>
          <w:tcPr>
            <w:tcW w:w="6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2560" w:type="dxa"/>
            <w:vAlign w:val="bottom"/>
            <w:tcBorders>
              <w:right w:val="single" w:sz="8" w:color="00C1DE"/>
            </w:tcBorders>
            <w:gridSpan w:val="2"/>
            <w:vMerge w:val="restart"/>
          </w:tcPr>
          <w:p>
            <w:pPr>
              <w:ind w:left="160"/>
              <w:spacing w:after="0"/>
              <w:rPr>
                <w:sz w:val="20"/>
                <w:szCs w:val="20"/>
                <w:color w:val="auto"/>
              </w:rPr>
            </w:pPr>
            <w:r>
              <w:rPr>
                <w:rFonts w:ascii="Arial" w:cs="Arial" w:eastAsia="Arial" w:hAnsi="Arial"/>
                <w:sz w:val="14"/>
                <w:szCs w:val="14"/>
                <w:color w:val="3E3935"/>
              </w:rPr>
              <w:t>Finance</w:t>
            </w:r>
          </w:p>
        </w:tc>
        <w:tc>
          <w:tcPr>
            <w:tcW w:w="0" w:type="dxa"/>
            <w:vAlign w:val="bottom"/>
          </w:tcPr>
          <w:p>
            <w:pPr>
              <w:spacing w:after="0"/>
              <w:rPr>
                <w:sz w:val="1"/>
                <w:szCs w:val="1"/>
                <w:color w:val="auto"/>
              </w:rPr>
            </w:pPr>
          </w:p>
        </w:tc>
      </w:tr>
      <w:tr>
        <w:trPr>
          <w:trHeight w:val="68"/>
        </w:trPr>
        <w:tc>
          <w:tcPr>
            <w:tcW w:w="200" w:type="dxa"/>
            <w:vAlign w:val="bottom"/>
            <w:tcBorders>
              <w:left w:val="single" w:sz="8" w:color="00C1DE"/>
            </w:tcBorders>
          </w:tcPr>
          <w:p>
            <w:pPr>
              <w:spacing w:after="0"/>
              <w:rPr>
                <w:sz w:val="5"/>
                <w:szCs w:val="5"/>
                <w:color w:val="auto"/>
              </w:rPr>
            </w:pPr>
          </w:p>
        </w:tc>
        <w:tc>
          <w:tcPr>
            <w:tcW w:w="5240" w:type="dxa"/>
            <w:vAlign w:val="bottom"/>
          </w:tcPr>
          <w:p>
            <w:pPr>
              <w:spacing w:after="0"/>
              <w:rPr>
                <w:sz w:val="5"/>
                <w:szCs w:val="5"/>
                <w:color w:val="auto"/>
              </w:rPr>
            </w:pPr>
          </w:p>
        </w:tc>
        <w:tc>
          <w:tcPr>
            <w:tcW w:w="6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300" w:type="dxa"/>
            <w:vAlign w:val="bottom"/>
          </w:tcPr>
          <w:p>
            <w:pPr>
              <w:spacing w:after="0"/>
              <w:rPr>
                <w:sz w:val="5"/>
                <w:szCs w:val="5"/>
                <w:color w:val="auto"/>
              </w:rPr>
            </w:pPr>
          </w:p>
        </w:tc>
        <w:tc>
          <w:tcPr>
            <w:tcW w:w="2560" w:type="dxa"/>
            <w:vAlign w:val="bottom"/>
            <w:tcBorders>
              <w:right w:val="single" w:sz="8" w:color="00C1DE"/>
            </w:tcBorders>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30"/>
        </w:trPr>
        <w:tc>
          <w:tcPr>
            <w:tcW w:w="200" w:type="dxa"/>
            <w:vAlign w:val="bottom"/>
            <w:tcBorders>
              <w:left w:val="single" w:sz="8" w:color="00C1DE"/>
            </w:tcBorders>
          </w:tcPr>
          <w:p>
            <w:pPr>
              <w:spacing w:after="0"/>
              <w:rPr>
                <w:sz w:val="11"/>
                <w:szCs w:val="11"/>
                <w:color w:val="auto"/>
              </w:rPr>
            </w:pPr>
          </w:p>
        </w:tc>
        <w:tc>
          <w:tcPr>
            <w:tcW w:w="5240" w:type="dxa"/>
            <w:vAlign w:val="bottom"/>
            <w:tcBorders>
              <w:bottom w:val="single" w:sz="8" w:color="3E3935"/>
            </w:tcBorders>
          </w:tcPr>
          <w:p>
            <w:pPr>
              <w:spacing w:after="0"/>
              <w:rPr>
                <w:sz w:val="11"/>
                <w:szCs w:val="11"/>
                <w:color w:val="auto"/>
              </w:rPr>
            </w:pPr>
          </w:p>
        </w:tc>
        <w:tc>
          <w:tcPr>
            <w:tcW w:w="640" w:type="dxa"/>
            <w:vAlign w:val="bottom"/>
            <w:tcBorders>
              <w:bottom w:val="single" w:sz="8" w:color="3E3935"/>
            </w:tcBorders>
          </w:tcPr>
          <w:p>
            <w:pPr>
              <w:spacing w:after="0"/>
              <w:rPr>
                <w:sz w:val="11"/>
                <w:szCs w:val="11"/>
                <w:color w:val="auto"/>
              </w:rPr>
            </w:pPr>
          </w:p>
        </w:tc>
        <w:tc>
          <w:tcPr>
            <w:tcW w:w="1060" w:type="dxa"/>
            <w:vAlign w:val="bottom"/>
            <w:tcBorders>
              <w:bottom w:val="single" w:sz="8" w:color="3E3935"/>
            </w:tcBorders>
          </w:tcPr>
          <w:p>
            <w:pPr>
              <w:spacing w:after="0"/>
              <w:rPr>
                <w:sz w:val="11"/>
                <w:szCs w:val="11"/>
                <w:color w:val="auto"/>
              </w:rPr>
            </w:pPr>
          </w:p>
        </w:tc>
        <w:tc>
          <w:tcPr>
            <w:tcW w:w="1300" w:type="dxa"/>
            <w:vAlign w:val="bottom"/>
            <w:tcBorders>
              <w:bottom w:val="single" w:sz="8" w:color="3E3935"/>
            </w:tcBorders>
          </w:tcPr>
          <w:p>
            <w:pPr>
              <w:spacing w:after="0"/>
              <w:rPr>
                <w:sz w:val="11"/>
                <w:szCs w:val="11"/>
                <w:color w:val="auto"/>
              </w:rPr>
            </w:pPr>
          </w:p>
        </w:tc>
        <w:tc>
          <w:tcPr>
            <w:tcW w:w="2360" w:type="dxa"/>
            <w:vAlign w:val="bottom"/>
            <w:tcBorders>
              <w:bottom w:val="single" w:sz="8" w:color="3E3935"/>
            </w:tcBorders>
          </w:tcPr>
          <w:p>
            <w:pPr>
              <w:spacing w:after="0"/>
              <w:rPr>
                <w:sz w:val="11"/>
                <w:szCs w:val="11"/>
                <w:color w:val="auto"/>
              </w:rPr>
            </w:pPr>
          </w:p>
        </w:tc>
        <w:tc>
          <w:tcPr>
            <w:tcW w:w="200" w:type="dxa"/>
            <w:vAlign w:val="bottom"/>
            <w:tcBorders>
              <w:right w:val="single" w:sz="8" w:color="00C1DE"/>
            </w:tcBorders>
          </w:tcPr>
          <w:p>
            <w:pPr>
              <w:spacing w:after="0"/>
              <w:rPr>
                <w:sz w:val="11"/>
                <w:szCs w:val="11"/>
                <w:color w:val="auto"/>
              </w:rPr>
            </w:pPr>
          </w:p>
        </w:tc>
        <w:tc>
          <w:tcPr>
            <w:tcW w:w="0" w:type="dxa"/>
            <w:vAlign w:val="bottom"/>
          </w:tcPr>
          <w:p>
            <w:pPr>
              <w:spacing w:after="0"/>
              <w:rPr>
                <w:sz w:val="1"/>
                <w:szCs w:val="1"/>
                <w:color w:val="auto"/>
              </w:rPr>
            </w:pPr>
          </w:p>
        </w:tc>
      </w:tr>
      <w:tr>
        <w:trPr>
          <w:trHeight w:val="403"/>
        </w:trPr>
        <w:tc>
          <w:tcPr>
            <w:tcW w:w="200" w:type="dxa"/>
            <w:vAlign w:val="bottom"/>
            <w:tcBorders>
              <w:left w:val="single" w:sz="8" w:color="00C1DE"/>
            </w:tcBorders>
          </w:tcPr>
          <w:p>
            <w:pPr>
              <w:spacing w:after="0"/>
              <w:rPr>
                <w:sz w:val="24"/>
                <w:szCs w:val="24"/>
                <w:color w:val="auto"/>
              </w:rPr>
            </w:pPr>
          </w:p>
        </w:tc>
        <w:tc>
          <w:tcPr>
            <w:tcW w:w="5240" w:type="dxa"/>
            <w:vAlign w:val="bottom"/>
          </w:tcPr>
          <w:p>
            <w:pPr>
              <w:ind w:left="1260"/>
              <w:spacing w:after="0"/>
              <w:rPr>
                <w:sz w:val="20"/>
                <w:szCs w:val="20"/>
                <w:color w:val="auto"/>
              </w:rPr>
            </w:pPr>
            <w:r>
              <w:rPr>
                <w:rFonts w:ascii="Arial" w:cs="Arial" w:eastAsia="Arial" w:hAnsi="Arial"/>
                <w:sz w:val="16"/>
                <w:szCs w:val="16"/>
                <w:b w:val="1"/>
                <w:bCs w:val="1"/>
                <w:color w:val="0071CE"/>
              </w:rPr>
              <w:t>Joanne C. Crevoiserat</w:t>
            </w:r>
          </w:p>
        </w:tc>
        <w:tc>
          <w:tcPr>
            <w:tcW w:w="6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560" w:type="dxa"/>
            <w:vAlign w:val="bottom"/>
            <w:tcBorders>
              <w:right w:val="single" w:sz="8" w:color="00C1DE"/>
            </w:tcBorders>
            <w:gridSpan w:val="2"/>
          </w:tcPr>
          <w:p>
            <w:pPr>
              <w:ind w:left="160"/>
              <w:spacing w:after="0"/>
              <w:rPr>
                <w:sz w:val="20"/>
                <w:szCs w:val="20"/>
                <w:color w:val="auto"/>
              </w:rPr>
            </w:pPr>
            <w:r>
              <w:rPr>
                <w:rFonts w:ascii="Arial" w:cs="Arial" w:eastAsia="Arial" w:hAnsi="Arial"/>
                <w:sz w:val="14"/>
                <w:szCs w:val="14"/>
                <w:color w:val="3E3935"/>
              </w:rPr>
              <w:t>Audit</w:t>
            </w:r>
          </w:p>
        </w:tc>
        <w:tc>
          <w:tcPr>
            <w:tcW w:w="0" w:type="dxa"/>
            <w:vAlign w:val="bottom"/>
          </w:tcPr>
          <w:p>
            <w:pPr>
              <w:spacing w:after="0"/>
              <w:rPr>
                <w:sz w:val="1"/>
                <w:szCs w:val="1"/>
                <w:color w:val="auto"/>
              </w:rPr>
            </w:pPr>
          </w:p>
        </w:tc>
      </w:tr>
      <w:tr>
        <w:trPr>
          <w:trHeight w:val="162"/>
        </w:trPr>
        <w:tc>
          <w:tcPr>
            <w:tcW w:w="200" w:type="dxa"/>
            <w:vAlign w:val="bottom"/>
            <w:tcBorders>
              <w:left w:val="single" w:sz="8" w:color="00C1DE"/>
            </w:tcBorders>
          </w:tcPr>
          <w:p>
            <w:pPr>
              <w:spacing w:after="0"/>
              <w:rPr>
                <w:sz w:val="14"/>
                <w:szCs w:val="14"/>
                <w:color w:val="auto"/>
              </w:rPr>
            </w:pPr>
          </w:p>
        </w:tc>
        <w:tc>
          <w:tcPr>
            <w:tcW w:w="5240" w:type="dxa"/>
            <w:vAlign w:val="bottom"/>
          </w:tcPr>
          <w:p>
            <w:pPr>
              <w:ind w:left="1260"/>
              <w:spacing w:after="0"/>
              <w:rPr>
                <w:sz w:val="20"/>
                <w:szCs w:val="20"/>
                <w:color w:val="auto"/>
              </w:rPr>
            </w:pPr>
            <w:r>
              <w:rPr>
                <w:rFonts w:ascii="Arial" w:cs="Arial" w:eastAsia="Arial" w:hAnsi="Arial"/>
                <w:sz w:val="14"/>
                <w:szCs w:val="14"/>
                <w:color w:val="3E3935"/>
              </w:rPr>
              <w:t>Chief Executive Officer</w:t>
            </w:r>
          </w:p>
        </w:tc>
        <w:tc>
          <w:tcPr>
            <w:tcW w:w="640" w:type="dxa"/>
            <w:vAlign w:val="bottom"/>
          </w:tcPr>
          <w:p>
            <w:pPr>
              <w:jc w:val="center"/>
              <w:ind w:right="88"/>
              <w:spacing w:after="0"/>
              <w:rPr>
                <w:sz w:val="20"/>
                <w:szCs w:val="20"/>
                <w:color w:val="auto"/>
              </w:rPr>
            </w:pPr>
            <w:r>
              <w:rPr>
                <w:rFonts w:ascii="Arial" w:cs="Arial" w:eastAsia="Arial" w:hAnsi="Arial"/>
                <w:sz w:val="14"/>
                <w:szCs w:val="14"/>
                <w:color w:val="3E3935"/>
              </w:rPr>
              <w:t>59</w:t>
            </w:r>
          </w:p>
        </w:tc>
        <w:tc>
          <w:tcPr>
            <w:tcW w:w="1060" w:type="dxa"/>
            <w:vAlign w:val="bottom"/>
          </w:tcPr>
          <w:p>
            <w:pPr>
              <w:jc w:val="center"/>
              <w:spacing w:after="0"/>
              <w:rPr>
                <w:sz w:val="20"/>
                <w:szCs w:val="20"/>
                <w:color w:val="auto"/>
              </w:rPr>
            </w:pPr>
            <w:r>
              <w:rPr>
                <w:rFonts w:ascii="Arial" w:cs="Arial" w:eastAsia="Arial" w:hAnsi="Arial"/>
                <w:sz w:val="14"/>
                <w:szCs w:val="14"/>
                <w:color w:val="3E3935"/>
              </w:rPr>
              <w:t>2022</w:t>
            </w:r>
          </w:p>
        </w:tc>
        <w:tc>
          <w:tcPr>
            <w:tcW w:w="1300" w:type="dxa"/>
            <w:vAlign w:val="bottom"/>
          </w:tcPr>
          <w:p>
            <w:pPr>
              <w:spacing w:after="0"/>
              <w:rPr>
                <w:sz w:val="14"/>
                <w:szCs w:val="14"/>
                <w:color w:val="auto"/>
              </w:rPr>
            </w:pPr>
          </w:p>
        </w:tc>
        <w:tc>
          <w:tcPr>
            <w:tcW w:w="2560" w:type="dxa"/>
            <w:vAlign w:val="bottom"/>
            <w:tcBorders>
              <w:right w:val="single" w:sz="8" w:color="00C1DE"/>
            </w:tcBorders>
            <w:gridSpan w:val="2"/>
          </w:tcPr>
          <w:p>
            <w:pPr>
              <w:ind w:left="160"/>
              <w:spacing w:after="0"/>
              <w:rPr>
                <w:sz w:val="20"/>
                <w:szCs w:val="20"/>
                <w:color w:val="auto"/>
              </w:rPr>
            </w:pPr>
            <w:r>
              <w:rPr>
                <w:rFonts w:ascii="Arial" w:cs="Arial" w:eastAsia="Arial" w:hAnsi="Arial"/>
                <w:sz w:val="14"/>
                <w:szCs w:val="14"/>
                <w:color w:val="3E3935"/>
              </w:rPr>
              <w:t>Finance</w:t>
            </w:r>
          </w:p>
        </w:tc>
        <w:tc>
          <w:tcPr>
            <w:tcW w:w="0" w:type="dxa"/>
            <w:vAlign w:val="bottom"/>
          </w:tcPr>
          <w:p>
            <w:pPr>
              <w:spacing w:after="0"/>
              <w:rPr>
                <w:sz w:val="1"/>
                <w:szCs w:val="1"/>
                <w:color w:val="auto"/>
              </w:rPr>
            </w:pPr>
          </w:p>
        </w:tc>
      </w:tr>
      <w:tr>
        <w:trPr>
          <w:trHeight w:val="204"/>
        </w:trPr>
        <w:tc>
          <w:tcPr>
            <w:tcW w:w="200" w:type="dxa"/>
            <w:vAlign w:val="bottom"/>
            <w:tcBorders>
              <w:left w:val="single" w:sz="8" w:color="00C1DE"/>
            </w:tcBorders>
          </w:tcPr>
          <w:p>
            <w:pPr>
              <w:spacing w:after="0"/>
              <w:rPr>
                <w:sz w:val="17"/>
                <w:szCs w:val="17"/>
                <w:color w:val="auto"/>
              </w:rPr>
            </w:pPr>
          </w:p>
        </w:tc>
        <w:tc>
          <w:tcPr>
            <w:tcW w:w="5240" w:type="dxa"/>
            <w:vAlign w:val="bottom"/>
          </w:tcPr>
          <w:p>
            <w:pPr>
              <w:ind w:left="1260"/>
              <w:spacing w:after="0"/>
              <w:rPr>
                <w:sz w:val="20"/>
                <w:szCs w:val="20"/>
                <w:color w:val="auto"/>
              </w:rPr>
            </w:pPr>
            <w:r>
              <w:rPr>
                <w:rFonts w:ascii="Arial" w:cs="Arial" w:eastAsia="Arial" w:hAnsi="Arial"/>
                <w:sz w:val="14"/>
                <w:szCs w:val="14"/>
                <w:color w:val="3E3935"/>
              </w:rPr>
              <w:t>Tapestry, Inc.</w:t>
            </w:r>
          </w:p>
        </w:tc>
        <w:tc>
          <w:tcPr>
            <w:tcW w:w="6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560" w:type="dxa"/>
            <w:vAlign w:val="bottom"/>
            <w:tcBorders>
              <w:right w:val="single" w:sz="8" w:color="00C1DE"/>
            </w:tcBorders>
            <w:gridSpan w:val="2"/>
          </w:tcPr>
          <w:p>
            <w:pPr>
              <w:ind w:left="160"/>
              <w:spacing w:after="0"/>
              <w:rPr>
                <w:sz w:val="20"/>
                <w:szCs w:val="20"/>
                <w:color w:val="auto"/>
              </w:rPr>
            </w:pPr>
            <w:r>
              <w:rPr>
                <w:rFonts w:ascii="Arial" w:cs="Arial" w:eastAsia="Arial" w:hAnsi="Arial"/>
                <w:sz w:val="14"/>
                <w:szCs w:val="14"/>
                <w:color w:val="3E3935"/>
              </w:rPr>
              <w:t>Governance</w:t>
            </w:r>
          </w:p>
        </w:tc>
        <w:tc>
          <w:tcPr>
            <w:tcW w:w="0" w:type="dxa"/>
            <w:vAlign w:val="bottom"/>
          </w:tcPr>
          <w:p>
            <w:pPr>
              <w:spacing w:after="0"/>
              <w:rPr>
                <w:sz w:val="1"/>
                <w:szCs w:val="1"/>
                <w:color w:val="auto"/>
              </w:rPr>
            </w:pPr>
          </w:p>
        </w:tc>
      </w:tr>
      <w:tr>
        <w:trPr>
          <w:trHeight w:val="197"/>
        </w:trPr>
        <w:tc>
          <w:tcPr>
            <w:tcW w:w="200" w:type="dxa"/>
            <w:vAlign w:val="bottom"/>
            <w:tcBorders>
              <w:left w:val="single" w:sz="8" w:color="00C1DE"/>
            </w:tcBorders>
          </w:tcPr>
          <w:p>
            <w:pPr>
              <w:spacing w:after="0"/>
              <w:rPr>
                <w:sz w:val="17"/>
                <w:szCs w:val="17"/>
                <w:color w:val="auto"/>
              </w:rPr>
            </w:pPr>
          </w:p>
        </w:tc>
        <w:tc>
          <w:tcPr>
            <w:tcW w:w="5240" w:type="dxa"/>
            <w:vAlign w:val="bottom"/>
            <w:tcBorders>
              <w:bottom w:val="single" w:sz="8" w:color="3E3935"/>
            </w:tcBorders>
          </w:tcPr>
          <w:p>
            <w:pPr>
              <w:spacing w:after="0"/>
              <w:rPr>
                <w:sz w:val="17"/>
                <w:szCs w:val="17"/>
                <w:color w:val="auto"/>
              </w:rPr>
            </w:pPr>
          </w:p>
        </w:tc>
        <w:tc>
          <w:tcPr>
            <w:tcW w:w="640" w:type="dxa"/>
            <w:vAlign w:val="bottom"/>
            <w:tcBorders>
              <w:bottom w:val="single" w:sz="8" w:color="3E3935"/>
            </w:tcBorders>
          </w:tcPr>
          <w:p>
            <w:pPr>
              <w:spacing w:after="0"/>
              <w:rPr>
                <w:sz w:val="17"/>
                <w:szCs w:val="17"/>
                <w:color w:val="auto"/>
              </w:rPr>
            </w:pPr>
          </w:p>
        </w:tc>
        <w:tc>
          <w:tcPr>
            <w:tcW w:w="1060" w:type="dxa"/>
            <w:vAlign w:val="bottom"/>
            <w:tcBorders>
              <w:bottom w:val="single" w:sz="8" w:color="3E3935"/>
            </w:tcBorders>
          </w:tcPr>
          <w:p>
            <w:pPr>
              <w:spacing w:after="0"/>
              <w:rPr>
                <w:sz w:val="17"/>
                <w:szCs w:val="17"/>
                <w:color w:val="auto"/>
              </w:rPr>
            </w:pPr>
          </w:p>
        </w:tc>
        <w:tc>
          <w:tcPr>
            <w:tcW w:w="1300" w:type="dxa"/>
            <w:vAlign w:val="bottom"/>
            <w:tcBorders>
              <w:bottom w:val="single" w:sz="8" w:color="3E3935"/>
            </w:tcBorders>
          </w:tcPr>
          <w:p>
            <w:pPr>
              <w:spacing w:after="0"/>
              <w:rPr>
                <w:sz w:val="17"/>
                <w:szCs w:val="17"/>
                <w:color w:val="auto"/>
              </w:rPr>
            </w:pPr>
          </w:p>
        </w:tc>
        <w:tc>
          <w:tcPr>
            <w:tcW w:w="2360" w:type="dxa"/>
            <w:vAlign w:val="bottom"/>
            <w:tcBorders>
              <w:bottom w:val="single" w:sz="8" w:color="3E3935"/>
            </w:tcBorders>
          </w:tcPr>
          <w:p>
            <w:pPr>
              <w:spacing w:after="0"/>
              <w:rPr>
                <w:sz w:val="17"/>
                <w:szCs w:val="17"/>
                <w:color w:val="auto"/>
              </w:rPr>
            </w:pPr>
          </w:p>
        </w:tc>
        <w:tc>
          <w:tcPr>
            <w:tcW w:w="200" w:type="dxa"/>
            <w:vAlign w:val="bottom"/>
            <w:tcBorders>
              <w:right w:val="single" w:sz="8" w:color="00C1DE"/>
            </w:tcBorders>
          </w:tcPr>
          <w:p>
            <w:pPr>
              <w:spacing w:after="0"/>
              <w:rPr>
                <w:sz w:val="17"/>
                <w:szCs w:val="17"/>
                <w:color w:val="auto"/>
              </w:rPr>
            </w:pPr>
          </w:p>
        </w:tc>
        <w:tc>
          <w:tcPr>
            <w:tcW w:w="0" w:type="dxa"/>
            <w:vAlign w:val="bottom"/>
          </w:tcPr>
          <w:p>
            <w:pPr>
              <w:spacing w:after="0"/>
              <w:rPr>
                <w:sz w:val="1"/>
                <w:szCs w:val="1"/>
                <w:color w:val="auto"/>
              </w:rPr>
            </w:pPr>
          </w:p>
        </w:tc>
      </w:tr>
      <w:tr>
        <w:trPr>
          <w:trHeight w:val="335"/>
        </w:trPr>
        <w:tc>
          <w:tcPr>
            <w:tcW w:w="200" w:type="dxa"/>
            <w:vAlign w:val="bottom"/>
            <w:tcBorders>
              <w:left w:val="single" w:sz="8" w:color="00C1DE"/>
            </w:tcBorders>
          </w:tcPr>
          <w:p>
            <w:pPr>
              <w:spacing w:after="0"/>
              <w:rPr>
                <w:sz w:val="24"/>
                <w:szCs w:val="24"/>
                <w:color w:val="auto"/>
              </w:rPr>
            </w:pPr>
          </w:p>
        </w:tc>
        <w:tc>
          <w:tcPr>
            <w:tcW w:w="5240" w:type="dxa"/>
            <w:vAlign w:val="bottom"/>
          </w:tcPr>
          <w:p>
            <w:pPr>
              <w:ind w:left="1260"/>
              <w:spacing w:after="0"/>
              <w:rPr>
                <w:sz w:val="20"/>
                <w:szCs w:val="20"/>
                <w:color w:val="auto"/>
              </w:rPr>
            </w:pPr>
            <w:r>
              <w:rPr>
                <w:rFonts w:ascii="Arial" w:cs="Arial" w:eastAsia="Arial" w:hAnsi="Arial"/>
                <w:sz w:val="16"/>
                <w:szCs w:val="16"/>
                <w:b w:val="1"/>
                <w:bCs w:val="1"/>
                <w:color w:val="0071CE"/>
              </w:rPr>
              <w:t>Linda R. Gooden</w:t>
            </w:r>
          </w:p>
        </w:tc>
        <w:tc>
          <w:tcPr>
            <w:tcW w:w="6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560" w:type="dxa"/>
            <w:vAlign w:val="bottom"/>
            <w:tcBorders>
              <w:right w:val="single" w:sz="8" w:color="00C1DE"/>
            </w:tcBorders>
            <w:gridSpan w:val="2"/>
            <w:vMerge w:val="restart"/>
          </w:tcPr>
          <w:p>
            <w:pPr>
              <w:ind w:left="160"/>
              <w:spacing w:after="0"/>
              <w:rPr>
                <w:sz w:val="20"/>
                <w:szCs w:val="20"/>
                <w:color w:val="auto"/>
              </w:rPr>
            </w:pPr>
            <w:r>
              <w:rPr>
                <w:rFonts w:ascii="Arial" w:cs="Arial" w:eastAsia="Arial" w:hAnsi="Arial"/>
                <w:sz w:val="14"/>
                <w:szCs w:val="14"/>
                <w:color w:val="3E3935"/>
              </w:rPr>
              <w:t>Audit</w:t>
            </w:r>
          </w:p>
        </w:tc>
        <w:tc>
          <w:tcPr>
            <w:tcW w:w="0" w:type="dxa"/>
            <w:vAlign w:val="bottom"/>
          </w:tcPr>
          <w:p>
            <w:pPr>
              <w:spacing w:after="0"/>
              <w:rPr>
                <w:sz w:val="1"/>
                <w:szCs w:val="1"/>
                <w:color w:val="auto"/>
              </w:rPr>
            </w:pPr>
          </w:p>
        </w:tc>
      </w:tr>
      <w:tr>
        <w:trPr>
          <w:trHeight w:val="68"/>
        </w:trPr>
        <w:tc>
          <w:tcPr>
            <w:tcW w:w="200" w:type="dxa"/>
            <w:vAlign w:val="bottom"/>
            <w:tcBorders>
              <w:left w:val="single" w:sz="8" w:color="00C1DE"/>
            </w:tcBorders>
          </w:tcPr>
          <w:p>
            <w:pPr>
              <w:spacing w:after="0"/>
              <w:rPr>
                <w:sz w:val="5"/>
                <w:szCs w:val="5"/>
                <w:color w:val="auto"/>
              </w:rPr>
            </w:pPr>
          </w:p>
        </w:tc>
        <w:tc>
          <w:tcPr>
            <w:tcW w:w="5240" w:type="dxa"/>
            <w:vAlign w:val="bottom"/>
            <w:vMerge w:val="restart"/>
          </w:tcPr>
          <w:p>
            <w:pPr>
              <w:ind w:left="1260"/>
              <w:spacing w:after="0"/>
              <w:rPr>
                <w:sz w:val="20"/>
                <w:szCs w:val="20"/>
                <w:color w:val="auto"/>
              </w:rPr>
            </w:pPr>
            <w:r>
              <w:rPr>
                <w:rFonts w:ascii="Arial" w:cs="Arial" w:eastAsia="Arial" w:hAnsi="Arial"/>
                <w:sz w:val="14"/>
                <w:szCs w:val="14"/>
                <w:color w:val="3E3935"/>
              </w:rPr>
              <w:t>Retired Executive Vice President,</w:t>
            </w:r>
          </w:p>
        </w:tc>
        <w:tc>
          <w:tcPr>
            <w:tcW w:w="6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300" w:type="dxa"/>
            <w:vAlign w:val="bottom"/>
          </w:tcPr>
          <w:p>
            <w:pPr>
              <w:spacing w:after="0"/>
              <w:rPr>
                <w:sz w:val="5"/>
                <w:szCs w:val="5"/>
                <w:color w:val="auto"/>
              </w:rPr>
            </w:pPr>
          </w:p>
        </w:tc>
        <w:tc>
          <w:tcPr>
            <w:tcW w:w="2560" w:type="dxa"/>
            <w:vAlign w:val="bottom"/>
            <w:tcBorders>
              <w:right w:val="single" w:sz="8" w:color="00C1DE"/>
            </w:tcBorders>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5"/>
        </w:trPr>
        <w:tc>
          <w:tcPr>
            <w:tcW w:w="200" w:type="dxa"/>
            <w:vAlign w:val="bottom"/>
            <w:tcBorders>
              <w:left w:val="single" w:sz="8" w:color="00C1DE"/>
            </w:tcBorders>
          </w:tcPr>
          <w:p>
            <w:pPr>
              <w:spacing w:after="0"/>
              <w:rPr>
                <w:sz w:val="8"/>
                <w:szCs w:val="8"/>
                <w:color w:val="auto"/>
              </w:rPr>
            </w:pPr>
          </w:p>
        </w:tc>
        <w:tc>
          <w:tcPr>
            <w:tcW w:w="5240" w:type="dxa"/>
            <w:vAlign w:val="bottom"/>
            <w:vMerge w:val="continue"/>
          </w:tcPr>
          <w:p>
            <w:pPr>
              <w:spacing w:after="0"/>
              <w:rPr>
                <w:sz w:val="8"/>
                <w:szCs w:val="8"/>
                <w:color w:val="auto"/>
              </w:rPr>
            </w:pPr>
          </w:p>
        </w:tc>
        <w:tc>
          <w:tcPr>
            <w:tcW w:w="640" w:type="dxa"/>
            <w:vAlign w:val="bottom"/>
            <w:vMerge w:val="restart"/>
          </w:tcPr>
          <w:p>
            <w:pPr>
              <w:jc w:val="center"/>
              <w:ind w:right="88"/>
              <w:spacing w:after="0"/>
              <w:rPr>
                <w:sz w:val="20"/>
                <w:szCs w:val="20"/>
                <w:color w:val="auto"/>
              </w:rPr>
            </w:pPr>
            <w:r>
              <w:rPr>
                <w:rFonts w:ascii="Arial" w:cs="Arial" w:eastAsia="Arial" w:hAnsi="Arial"/>
                <w:sz w:val="14"/>
                <w:szCs w:val="14"/>
                <w:color w:val="3E3935"/>
              </w:rPr>
              <w:t>70</w:t>
            </w:r>
          </w:p>
        </w:tc>
        <w:tc>
          <w:tcPr>
            <w:tcW w:w="1060" w:type="dxa"/>
            <w:vAlign w:val="bottom"/>
            <w:vMerge w:val="restart"/>
          </w:tcPr>
          <w:p>
            <w:pPr>
              <w:jc w:val="center"/>
              <w:spacing w:after="0"/>
              <w:rPr>
                <w:sz w:val="20"/>
                <w:szCs w:val="20"/>
                <w:color w:val="auto"/>
              </w:rPr>
            </w:pPr>
            <w:r>
              <w:rPr>
                <w:rFonts w:ascii="Arial" w:cs="Arial" w:eastAsia="Arial" w:hAnsi="Arial"/>
                <w:sz w:val="14"/>
                <w:szCs w:val="14"/>
                <w:color w:val="3E3935"/>
              </w:rPr>
              <w:t>2015</w:t>
            </w:r>
          </w:p>
        </w:tc>
        <w:tc>
          <w:tcPr>
            <w:tcW w:w="1300" w:type="dxa"/>
            <w:vAlign w:val="bottom"/>
          </w:tcPr>
          <w:p>
            <w:pPr>
              <w:spacing w:after="0"/>
              <w:rPr>
                <w:sz w:val="8"/>
                <w:szCs w:val="8"/>
                <w:color w:val="auto"/>
              </w:rPr>
            </w:pPr>
          </w:p>
        </w:tc>
        <w:tc>
          <w:tcPr>
            <w:tcW w:w="2560" w:type="dxa"/>
            <w:vAlign w:val="bottom"/>
            <w:tcBorders>
              <w:right w:val="single" w:sz="8" w:color="00C1DE"/>
            </w:tcBorders>
            <w:gridSpan w:val="2"/>
            <w:vMerge w:val="restart"/>
          </w:tcPr>
          <w:p>
            <w:pPr>
              <w:ind w:left="160"/>
              <w:spacing w:after="0"/>
              <w:rPr>
                <w:sz w:val="20"/>
                <w:szCs w:val="20"/>
                <w:color w:val="auto"/>
              </w:rPr>
            </w:pPr>
            <w:r>
              <w:rPr>
                <w:rFonts w:ascii="Arial" w:cs="Arial" w:eastAsia="Arial" w:hAnsi="Arial"/>
                <w:sz w:val="14"/>
                <w:szCs w:val="14"/>
                <w:color w:val="3E3935"/>
              </w:rPr>
              <w:t>Executive</w:t>
            </w:r>
          </w:p>
        </w:tc>
        <w:tc>
          <w:tcPr>
            <w:tcW w:w="0" w:type="dxa"/>
            <w:vAlign w:val="bottom"/>
          </w:tcPr>
          <w:p>
            <w:pPr>
              <w:spacing w:after="0"/>
              <w:rPr>
                <w:sz w:val="1"/>
                <w:szCs w:val="1"/>
                <w:color w:val="auto"/>
              </w:rPr>
            </w:pPr>
          </w:p>
        </w:tc>
      </w:tr>
      <w:tr>
        <w:trPr>
          <w:trHeight w:val="68"/>
        </w:trPr>
        <w:tc>
          <w:tcPr>
            <w:tcW w:w="200" w:type="dxa"/>
            <w:vAlign w:val="bottom"/>
            <w:tcBorders>
              <w:left w:val="single" w:sz="8" w:color="00C1DE"/>
            </w:tcBorders>
          </w:tcPr>
          <w:p>
            <w:pPr>
              <w:spacing w:after="0"/>
              <w:rPr>
                <w:sz w:val="5"/>
                <w:szCs w:val="5"/>
                <w:color w:val="auto"/>
              </w:rPr>
            </w:pPr>
          </w:p>
        </w:tc>
        <w:tc>
          <w:tcPr>
            <w:tcW w:w="5240" w:type="dxa"/>
            <w:vAlign w:val="bottom"/>
            <w:vMerge w:val="restart"/>
          </w:tcPr>
          <w:p>
            <w:pPr>
              <w:ind w:left="1340"/>
              <w:spacing w:after="0"/>
              <w:rPr>
                <w:sz w:val="20"/>
                <w:szCs w:val="20"/>
                <w:color w:val="auto"/>
              </w:rPr>
            </w:pPr>
            <w:r>
              <w:rPr>
                <w:rFonts w:ascii="Arial" w:cs="Arial" w:eastAsia="Arial" w:hAnsi="Arial"/>
                <w:sz w:val="14"/>
                <w:szCs w:val="14"/>
                <w:color w:val="3E3935"/>
              </w:rPr>
              <w:t>Information Systems &amp; Global Solutions</w:t>
            </w:r>
          </w:p>
        </w:tc>
        <w:tc>
          <w:tcPr>
            <w:tcW w:w="640" w:type="dxa"/>
            <w:vAlign w:val="bottom"/>
            <w:vMerge w:val="continue"/>
          </w:tcPr>
          <w:p>
            <w:pPr>
              <w:spacing w:after="0"/>
              <w:rPr>
                <w:sz w:val="5"/>
                <w:szCs w:val="5"/>
                <w:color w:val="auto"/>
              </w:rPr>
            </w:pPr>
          </w:p>
        </w:tc>
        <w:tc>
          <w:tcPr>
            <w:tcW w:w="1060" w:type="dxa"/>
            <w:vAlign w:val="bottom"/>
            <w:vMerge w:val="continue"/>
          </w:tcPr>
          <w:p>
            <w:pPr>
              <w:spacing w:after="0"/>
              <w:rPr>
                <w:sz w:val="5"/>
                <w:szCs w:val="5"/>
                <w:color w:val="auto"/>
              </w:rPr>
            </w:pPr>
          </w:p>
        </w:tc>
        <w:tc>
          <w:tcPr>
            <w:tcW w:w="1300" w:type="dxa"/>
            <w:vAlign w:val="bottom"/>
          </w:tcPr>
          <w:p>
            <w:pPr>
              <w:spacing w:after="0"/>
              <w:rPr>
                <w:sz w:val="5"/>
                <w:szCs w:val="5"/>
                <w:color w:val="auto"/>
              </w:rPr>
            </w:pPr>
          </w:p>
        </w:tc>
        <w:tc>
          <w:tcPr>
            <w:tcW w:w="2560" w:type="dxa"/>
            <w:vAlign w:val="bottom"/>
            <w:tcBorders>
              <w:right w:val="single" w:sz="8" w:color="00C1DE"/>
            </w:tcBorders>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4"/>
        </w:trPr>
        <w:tc>
          <w:tcPr>
            <w:tcW w:w="200" w:type="dxa"/>
            <w:vAlign w:val="bottom"/>
            <w:tcBorders>
              <w:left w:val="single" w:sz="8" w:color="00C1DE"/>
            </w:tcBorders>
          </w:tcPr>
          <w:p>
            <w:pPr>
              <w:spacing w:after="0"/>
              <w:rPr>
                <w:sz w:val="8"/>
                <w:szCs w:val="8"/>
                <w:color w:val="auto"/>
              </w:rPr>
            </w:pPr>
          </w:p>
        </w:tc>
        <w:tc>
          <w:tcPr>
            <w:tcW w:w="5240" w:type="dxa"/>
            <w:vAlign w:val="bottom"/>
            <w:vMerge w:val="continue"/>
          </w:tcPr>
          <w:p>
            <w:pPr>
              <w:spacing w:after="0"/>
              <w:rPr>
                <w:sz w:val="8"/>
                <w:szCs w:val="8"/>
                <w:color w:val="auto"/>
              </w:rPr>
            </w:pPr>
          </w:p>
        </w:tc>
        <w:tc>
          <w:tcPr>
            <w:tcW w:w="6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300" w:type="dxa"/>
            <w:vAlign w:val="bottom"/>
          </w:tcPr>
          <w:p>
            <w:pPr>
              <w:spacing w:after="0"/>
              <w:rPr>
                <w:sz w:val="8"/>
                <w:szCs w:val="8"/>
                <w:color w:val="auto"/>
              </w:rPr>
            </w:pPr>
          </w:p>
        </w:tc>
        <w:tc>
          <w:tcPr>
            <w:tcW w:w="2560" w:type="dxa"/>
            <w:vAlign w:val="bottom"/>
            <w:tcBorders>
              <w:right w:val="single" w:sz="8" w:color="00C1DE"/>
            </w:tcBorders>
            <w:gridSpan w:val="2"/>
            <w:vMerge w:val="restart"/>
          </w:tcPr>
          <w:p>
            <w:pPr>
              <w:ind w:left="160"/>
              <w:spacing w:after="0"/>
              <w:rPr>
                <w:sz w:val="20"/>
                <w:szCs w:val="20"/>
                <w:color w:val="auto"/>
              </w:rPr>
            </w:pPr>
            <w:r>
              <w:rPr>
                <w:rFonts w:ascii="Arial" w:cs="Arial" w:eastAsia="Arial" w:hAnsi="Arial"/>
                <w:sz w:val="14"/>
                <w:szCs w:val="14"/>
                <w:color w:val="3E3935"/>
              </w:rPr>
              <w:t xml:space="preserve">Risk and Cybersecurity – </w:t>
            </w:r>
            <w:r>
              <w:rPr>
                <w:rFonts w:ascii="Arial" w:cs="Arial" w:eastAsia="Arial" w:hAnsi="Arial"/>
                <w:sz w:val="14"/>
                <w:szCs w:val="14"/>
                <w:b w:val="1"/>
                <w:bCs w:val="1"/>
                <w:color w:val="00C1DE"/>
              </w:rPr>
              <w:t>Chair</w:t>
            </w:r>
          </w:p>
        </w:tc>
        <w:tc>
          <w:tcPr>
            <w:tcW w:w="0" w:type="dxa"/>
            <w:vAlign w:val="bottom"/>
          </w:tcPr>
          <w:p>
            <w:pPr>
              <w:spacing w:after="0"/>
              <w:rPr>
                <w:sz w:val="1"/>
                <w:szCs w:val="1"/>
                <w:color w:val="auto"/>
              </w:rPr>
            </w:pPr>
          </w:p>
        </w:tc>
      </w:tr>
      <w:tr>
        <w:trPr>
          <w:trHeight w:val="102"/>
        </w:trPr>
        <w:tc>
          <w:tcPr>
            <w:tcW w:w="200" w:type="dxa"/>
            <w:vAlign w:val="bottom"/>
            <w:tcBorders>
              <w:left w:val="single" w:sz="8" w:color="00C1DE"/>
            </w:tcBorders>
          </w:tcPr>
          <w:p>
            <w:pPr>
              <w:spacing w:after="0"/>
              <w:rPr>
                <w:sz w:val="8"/>
                <w:szCs w:val="8"/>
                <w:color w:val="auto"/>
              </w:rPr>
            </w:pPr>
          </w:p>
        </w:tc>
        <w:tc>
          <w:tcPr>
            <w:tcW w:w="5240" w:type="dxa"/>
            <w:vAlign w:val="bottom"/>
            <w:vMerge w:val="restart"/>
          </w:tcPr>
          <w:p>
            <w:pPr>
              <w:ind w:left="1260"/>
              <w:spacing w:after="0"/>
              <w:rPr>
                <w:sz w:val="20"/>
                <w:szCs w:val="20"/>
                <w:color w:val="auto"/>
              </w:rPr>
            </w:pPr>
            <w:r>
              <w:rPr>
                <w:rFonts w:ascii="Arial" w:cs="Arial" w:eastAsia="Arial" w:hAnsi="Arial"/>
                <w:sz w:val="14"/>
                <w:szCs w:val="14"/>
                <w:color w:val="3E3935"/>
              </w:rPr>
              <w:t>Lockheed Martin Corporation</w:t>
            </w:r>
          </w:p>
        </w:tc>
        <w:tc>
          <w:tcPr>
            <w:tcW w:w="6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300" w:type="dxa"/>
            <w:vAlign w:val="bottom"/>
          </w:tcPr>
          <w:p>
            <w:pPr>
              <w:spacing w:after="0"/>
              <w:rPr>
                <w:sz w:val="8"/>
                <w:szCs w:val="8"/>
                <w:color w:val="auto"/>
              </w:rPr>
            </w:pPr>
          </w:p>
        </w:tc>
        <w:tc>
          <w:tcPr>
            <w:tcW w:w="2560" w:type="dxa"/>
            <w:vAlign w:val="bottom"/>
            <w:tcBorders>
              <w:right w:val="single" w:sz="8" w:color="00C1DE"/>
            </w:tcBorders>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8"/>
        </w:trPr>
        <w:tc>
          <w:tcPr>
            <w:tcW w:w="200" w:type="dxa"/>
            <w:vAlign w:val="bottom"/>
            <w:tcBorders>
              <w:left w:val="single" w:sz="8" w:color="00C1DE"/>
            </w:tcBorders>
          </w:tcPr>
          <w:p>
            <w:pPr>
              <w:spacing w:after="0"/>
              <w:rPr>
                <w:sz w:val="7"/>
                <w:szCs w:val="7"/>
                <w:color w:val="auto"/>
              </w:rPr>
            </w:pPr>
          </w:p>
        </w:tc>
        <w:tc>
          <w:tcPr>
            <w:tcW w:w="5240" w:type="dxa"/>
            <w:vAlign w:val="bottom"/>
            <w:vMerge w:val="continue"/>
          </w:tcPr>
          <w:p>
            <w:pPr>
              <w:spacing w:after="0"/>
              <w:rPr>
                <w:sz w:val="7"/>
                <w:szCs w:val="7"/>
                <w:color w:val="auto"/>
              </w:rPr>
            </w:pPr>
          </w:p>
        </w:tc>
        <w:tc>
          <w:tcPr>
            <w:tcW w:w="6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300" w:type="dxa"/>
            <w:vAlign w:val="bottom"/>
          </w:tcPr>
          <w:p>
            <w:pPr>
              <w:spacing w:after="0"/>
              <w:rPr>
                <w:sz w:val="7"/>
                <w:szCs w:val="7"/>
                <w:color w:val="auto"/>
              </w:rPr>
            </w:pPr>
          </w:p>
        </w:tc>
        <w:tc>
          <w:tcPr>
            <w:tcW w:w="2360" w:type="dxa"/>
            <w:vAlign w:val="bottom"/>
          </w:tcPr>
          <w:p>
            <w:pPr>
              <w:spacing w:after="0"/>
              <w:rPr>
                <w:sz w:val="7"/>
                <w:szCs w:val="7"/>
                <w:color w:val="auto"/>
              </w:rPr>
            </w:pPr>
          </w:p>
        </w:tc>
        <w:tc>
          <w:tcPr>
            <w:tcW w:w="200" w:type="dxa"/>
            <w:vAlign w:val="bottom"/>
            <w:tcBorders>
              <w:right w:val="single" w:sz="8" w:color="00C1DE"/>
            </w:tcBorders>
          </w:tcPr>
          <w:p>
            <w:pPr>
              <w:spacing w:after="0"/>
              <w:rPr>
                <w:sz w:val="7"/>
                <w:szCs w:val="7"/>
                <w:color w:val="auto"/>
              </w:rPr>
            </w:pPr>
          </w:p>
        </w:tc>
        <w:tc>
          <w:tcPr>
            <w:tcW w:w="0" w:type="dxa"/>
            <w:vAlign w:val="bottom"/>
          </w:tcPr>
          <w:p>
            <w:pPr>
              <w:spacing w:after="0"/>
              <w:rPr>
                <w:sz w:val="1"/>
                <w:szCs w:val="1"/>
                <w:color w:val="auto"/>
              </w:rPr>
            </w:pPr>
          </w:p>
        </w:tc>
      </w:tr>
      <w:tr>
        <w:trPr>
          <w:trHeight w:val="116"/>
        </w:trPr>
        <w:tc>
          <w:tcPr>
            <w:tcW w:w="200" w:type="dxa"/>
            <w:vAlign w:val="bottom"/>
            <w:tcBorders>
              <w:left w:val="single" w:sz="8" w:color="00C1DE"/>
            </w:tcBorders>
          </w:tcPr>
          <w:p>
            <w:pPr>
              <w:spacing w:after="0"/>
              <w:rPr>
                <w:sz w:val="10"/>
                <w:szCs w:val="10"/>
                <w:color w:val="auto"/>
              </w:rPr>
            </w:pPr>
          </w:p>
        </w:tc>
        <w:tc>
          <w:tcPr>
            <w:tcW w:w="5240" w:type="dxa"/>
            <w:vAlign w:val="bottom"/>
            <w:tcBorders>
              <w:bottom w:val="single" w:sz="8" w:color="3E3935"/>
            </w:tcBorders>
          </w:tcPr>
          <w:p>
            <w:pPr>
              <w:spacing w:after="0"/>
              <w:rPr>
                <w:sz w:val="10"/>
                <w:szCs w:val="10"/>
                <w:color w:val="auto"/>
              </w:rPr>
            </w:pPr>
          </w:p>
        </w:tc>
        <w:tc>
          <w:tcPr>
            <w:tcW w:w="640" w:type="dxa"/>
            <w:vAlign w:val="bottom"/>
            <w:tcBorders>
              <w:bottom w:val="single" w:sz="8" w:color="3E3935"/>
            </w:tcBorders>
          </w:tcPr>
          <w:p>
            <w:pPr>
              <w:spacing w:after="0"/>
              <w:rPr>
                <w:sz w:val="10"/>
                <w:szCs w:val="10"/>
                <w:color w:val="auto"/>
              </w:rPr>
            </w:pPr>
          </w:p>
        </w:tc>
        <w:tc>
          <w:tcPr>
            <w:tcW w:w="1060" w:type="dxa"/>
            <w:vAlign w:val="bottom"/>
            <w:tcBorders>
              <w:bottom w:val="single" w:sz="8" w:color="3E3935"/>
            </w:tcBorders>
          </w:tcPr>
          <w:p>
            <w:pPr>
              <w:spacing w:after="0"/>
              <w:rPr>
                <w:sz w:val="10"/>
                <w:szCs w:val="10"/>
                <w:color w:val="auto"/>
              </w:rPr>
            </w:pPr>
          </w:p>
        </w:tc>
        <w:tc>
          <w:tcPr>
            <w:tcW w:w="1300" w:type="dxa"/>
            <w:vAlign w:val="bottom"/>
            <w:tcBorders>
              <w:bottom w:val="single" w:sz="8" w:color="3E3935"/>
            </w:tcBorders>
          </w:tcPr>
          <w:p>
            <w:pPr>
              <w:spacing w:after="0"/>
              <w:rPr>
                <w:sz w:val="10"/>
                <w:szCs w:val="10"/>
                <w:color w:val="auto"/>
              </w:rPr>
            </w:pPr>
          </w:p>
        </w:tc>
        <w:tc>
          <w:tcPr>
            <w:tcW w:w="2360" w:type="dxa"/>
            <w:vAlign w:val="bottom"/>
            <w:tcBorders>
              <w:bottom w:val="single" w:sz="8" w:color="3E3935"/>
            </w:tcBorders>
          </w:tcPr>
          <w:p>
            <w:pPr>
              <w:spacing w:after="0"/>
              <w:rPr>
                <w:sz w:val="10"/>
                <w:szCs w:val="10"/>
                <w:color w:val="auto"/>
              </w:rPr>
            </w:pPr>
          </w:p>
        </w:tc>
        <w:tc>
          <w:tcPr>
            <w:tcW w:w="200" w:type="dxa"/>
            <w:vAlign w:val="bottom"/>
            <w:tcBorders>
              <w:right w:val="single" w:sz="8" w:color="00C1DE"/>
            </w:tcBorders>
          </w:tcPr>
          <w:p>
            <w:pPr>
              <w:spacing w:after="0"/>
              <w:rPr>
                <w:sz w:val="10"/>
                <w:szCs w:val="10"/>
                <w:color w:val="auto"/>
              </w:rPr>
            </w:pPr>
          </w:p>
        </w:tc>
        <w:tc>
          <w:tcPr>
            <w:tcW w:w="0" w:type="dxa"/>
            <w:vAlign w:val="bottom"/>
          </w:tcPr>
          <w:p>
            <w:pPr>
              <w:spacing w:after="0"/>
              <w:rPr>
                <w:sz w:val="1"/>
                <w:szCs w:val="1"/>
                <w:color w:val="auto"/>
              </w:rPr>
            </w:pPr>
          </w:p>
        </w:tc>
      </w:tr>
      <w:tr>
        <w:trPr>
          <w:trHeight w:val="322"/>
        </w:trPr>
        <w:tc>
          <w:tcPr>
            <w:tcW w:w="200" w:type="dxa"/>
            <w:vAlign w:val="bottom"/>
            <w:tcBorders>
              <w:left w:val="single" w:sz="8" w:color="00C1DE"/>
            </w:tcBorders>
          </w:tcPr>
          <w:p>
            <w:pPr>
              <w:spacing w:after="0"/>
              <w:rPr>
                <w:sz w:val="24"/>
                <w:szCs w:val="24"/>
                <w:color w:val="auto"/>
              </w:rPr>
            </w:pPr>
          </w:p>
        </w:tc>
        <w:tc>
          <w:tcPr>
            <w:tcW w:w="5240" w:type="dxa"/>
            <w:vAlign w:val="bottom"/>
            <w:vMerge w:val="restart"/>
          </w:tcPr>
          <w:p>
            <w:pPr>
              <w:ind w:left="1260"/>
              <w:spacing w:after="0"/>
              <w:rPr>
                <w:sz w:val="20"/>
                <w:szCs w:val="20"/>
                <w:color w:val="auto"/>
              </w:rPr>
            </w:pPr>
            <w:r>
              <w:rPr>
                <w:rFonts w:ascii="Arial" w:cs="Arial" w:eastAsia="Arial" w:hAnsi="Arial"/>
                <w:sz w:val="16"/>
                <w:szCs w:val="16"/>
                <w:b w:val="1"/>
                <w:bCs w:val="1"/>
                <w:color w:val="0071CE"/>
              </w:rPr>
              <w:t>Joseph Jimenez</w:t>
            </w:r>
          </w:p>
        </w:tc>
        <w:tc>
          <w:tcPr>
            <w:tcW w:w="6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560" w:type="dxa"/>
            <w:vAlign w:val="bottom"/>
            <w:tcBorders>
              <w:right w:val="single" w:sz="8" w:color="00C1DE"/>
            </w:tcBorders>
            <w:gridSpan w:val="2"/>
          </w:tcPr>
          <w:p>
            <w:pPr>
              <w:ind w:left="160"/>
              <w:spacing w:after="0"/>
              <w:rPr>
                <w:sz w:val="20"/>
                <w:szCs w:val="20"/>
                <w:color w:val="auto"/>
              </w:rPr>
            </w:pPr>
            <w:r>
              <w:rPr>
                <w:rFonts w:ascii="Arial" w:cs="Arial" w:eastAsia="Arial" w:hAnsi="Arial"/>
                <w:sz w:val="14"/>
                <w:szCs w:val="14"/>
                <w:color w:val="3E3935"/>
              </w:rPr>
              <w:t>Compensation</w:t>
            </w:r>
          </w:p>
        </w:tc>
        <w:tc>
          <w:tcPr>
            <w:tcW w:w="0" w:type="dxa"/>
            <w:vAlign w:val="bottom"/>
          </w:tcPr>
          <w:p>
            <w:pPr>
              <w:spacing w:after="0"/>
              <w:rPr>
                <w:sz w:val="1"/>
                <w:szCs w:val="1"/>
                <w:color w:val="auto"/>
              </w:rPr>
            </w:pPr>
          </w:p>
        </w:tc>
      </w:tr>
      <w:tr>
        <w:trPr>
          <w:trHeight w:val="95"/>
        </w:trPr>
        <w:tc>
          <w:tcPr>
            <w:tcW w:w="200" w:type="dxa"/>
            <w:vAlign w:val="bottom"/>
            <w:tcBorders>
              <w:left w:val="single" w:sz="8" w:color="00C1DE"/>
            </w:tcBorders>
          </w:tcPr>
          <w:p>
            <w:pPr>
              <w:spacing w:after="0"/>
              <w:rPr>
                <w:sz w:val="8"/>
                <w:szCs w:val="8"/>
                <w:color w:val="auto"/>
              </w:rPr>
            </w:pPr>
          </w:p>
        </w:tc>
        <w:tc>
          <w:tcPr>
            <w:tcW w:w="5240" w:type="dxa"/>
            <w:vAlign w:val="bottom"/>
            <w:vMerge w:val="continue"/>
          </w:tcPr>
          <w:p>
            <w:pPr>
              <w:spacing w:after="0"/>
              <w:rPr>
                <w:sz w:val="8"/>
                <w:szCs w:val="8"/>
                <w:color w:val="auto"/>
              </w:rPr>
            </w:pPr>
          </w:p>
        </w:tc>
        <w:tc>
          <w:tcPr>
            <w:tcW w:w="640" w:type="dxa"/>
            <w:vAlign w:val="bottom"/>
            <w:vMerge w:val="restart"/>
          </w:tcPr>
          <w:p>
            <w:pPr>
              <w:jc w:val="center"/>
              <w:ind w:right="88"/>
              <w:spacing w:after="0"/>
              <w:rPr>
                <w:sz w:val="20"/>
                <w:szCs w:val="20"/>
                <w:color w:val="auto"/>
              </w:rPr>
            </w:pPr>
            <w:r>
              <w:rPr>
                <w:rFonts w:ascii="Arial" w:cs="Arial" w:eastAsia="Arial" w:hAnsi="Arial"/>
                <w:sz w:val="14"/>
                <w:szCs w:val="14"/>
                <w:color w:val="3E3935"/>
              </w:rPr>
              <w:t>63</w:t>
            </w:r>
          </w:p>
        </w:tc>
        <w:tc>
          <w:tcPr>
            <w:tcW w:w="1060" w:type="dxa"/>
            <w:vAlign w:val="bottom"/>
            <w:vMerge w:val="restart"/>
          </w:tcPr>
          <w:p>
            <w:pPr>
              <w:jc w:val="center"/>
              <w:spacing w:after="0"/>
              <w:rPr>
                <w:sz w:val="20"/>
                <w:szCs w:val="20"/>
                <w:color w:val="auto"/>
              </w:rPr>
            </w:pPr>
            <w:r>
              <w:rPr>
                <w:rFonts w:ascii="Arial" w:cs="Arial" w:eastAsia="Arial" w:hAnsi="Arial"/>
                <w:sz w:val="14"/>
                <w:szCs w:val="14"/>
                <w:color w:val="3E3935"/>
              </w:rPr>
              <w:t>2015</w:t>
            </w:r>
          </w:p>
        </w:tc>
        <w:tc>
          <w:tcPr>
            <w:tcW w:w="1300" w:type="dxa"/>
            <w:vAlign w:val="bottom"/>
          </w:tcPr>
          <w:p>
            <w:pPr>
              <w:spacing w:after="0"/>
              <w:rPr>
                <w:sz w:val="8"/>
                <w:szCs w:val="8"/>
                <w:color w:val="auto"/>
              </w:rPr>
            </w:pPr>
          </w:p>
        </w:tc>
        <w:tc>
          <w:tcPr>
            <w:tcW w:w="2560" w:type="dxa"/>
            <w:vAlign w:val="bottom"/>
            <w:tcBorders>
              <w:right w:val="single" w:sz="8" w:color="00C1DE"/>
            </w:tcBorders>
            <w:gridSpan w:val="2"/>
            <w:vMerge w:val="restart"/>
          </w:tcPr>
          <w:p>
            <w:pPr>
              <w:ind w:left="160"/>
              <w:spacing w:after="0"/>
              <w:rPr>
                <w:sz w:val="20"/>
                <w:szCs w:val="20"/>
                <w:color w:val="auto"/>
              </w:rPr>
            </w:pPr>
            <w:r>
              <w:rPr>
                <w:rFonts w:ascii="Arial" w:cs="Arial" w:eastAsia="Arial" w:hAnsi="Arial"/>
                <w:sz w:val="14"/>
                <w:szCs w:val="14"/>
                <w:color w:val="3E3935"/>
              </w:rPr>
              <w:t>Executive</w:t>
            </w:r>
          </w:p>
        </w:tc>
        <w:tc>
          <w:tcPr>
            <w:tcW w:w="0" w:type="dxa"/>
            <w:vAlign w:val="bottom"/>
          </w:tcPr>
          <w:p>
            <w:pPr>
              <w:spacing w:after="0"/>
              <w:rPr>
                <w:sz w:val="1"/>
                <w:szCs w:val="1"/>
                <w:color w:val="auto"/>
              </w:rPr>
            </w:pPr>
          </w:p>
        </w:tc>
      </w:tr>
      <w:tr>
        <w:trPr>
          <w:trHeight w:val="68"/>
        </w:trPr>
        <w:tc>
          <w:tcPr>
            <w:tcW w:w="200" w:type="dxa"/>
            <w:vAlign w:val="bottom"/>
            <w:tcBorders>
              <w:left w:val="single" w:sz="8" w:color="00C1DE"/>
            </w:tcBorders>
          </w:tcPr>
          <w:p>
            <w:pPr>
              <w:spacing w:after="0"/>
              <w:rPr>
                <w:sz w:val="5"/>
                <w:szCs w:val="5"/>
                <w:color w:val="auto"/>
              </w:rPr>
            </w:pPr>
          </w:p>
        </w:tc>
        <w:tc>
          <w:tcPr>
            <w:tcW w:w="5240" w:type="dxa"/>
            <w:vAlign w:val="bottom"/>
            <w:vMerge w:val="restart"/>
          </w:tcPr>
          <w:p>
            <w:pPr>
              <w:ind w:left="1260"/>
              <w:spacing w:after="0"/>
              <w:rPr>
                <w:sz w:val="20"/>
                <w:szCs w:val="20"/>
                <w:color w:val="auto"/>
              </w:rPr>
            </w:pPr>
            <w:r>
              <w:rPr>
                <w:rFonts w:ascii="Arial" w:cs="Arial" w:eastAsia="Arial" w:hAnsi="Arial"/>
                <w:sz w:val="14"/>
                <w:szCs w:val="14"/>
                <w:color w:val="3E3935"/>
              </w:rPr>
              <w:t>Retired Chief Executive Officer</w:t>
            </w:r>
          </w:p>
        </w:tc>
        <w:tc>
          <w:tcPr>
            <w:tcW w:w="640" w:type="dxa"/>
            <w:vAlign w:val="bottom"/>
            <w:vMerge w:val="continue"/>
          </w:tcPr>
          <w:p>
            <w:pPr>
              <w:spacing w:after="0"/>
              <w:rPr>
                <w:sz w:val="5"/>
                <w:szCs w:val="5"/>
                <w:color w:val="auto"/>
              </w:rPr>
            </w:pPr>
          </w:p>
        </w:tc>
        <w:tc>
          <w:tcPr>
            <w:tcW w:w="1060" w:type="dxa"/>
            <w:vAlign w:val="bottom"/>
            <w:vMerge w:val="continue"/>
          </w:tcPr>
          <w:p>
            <w:pPr>
              <w:spacing w:after="0"/>
              <w:rPr>
                <w:sz w:val="5"/>
                <w:szCs w:val="5"/>
                <w:color w:val="auto"/>
              </w:rPr>
            </w:pPr>
          </w:p>
        </w:tc>
        <w:tc>
          <w:tcPr>
            <w:tcW w:w="1300" w:type="dxa"/>
            <w:vAlign w:val="bottom"/>
          </w:tcPr>
          <w:p>
            <w:pPr>
              <w:spacing w:after="0"/>
              <w:rPr>
                <w:sz w:val="5"/>
                <w:szCs w:val="5"/>
                <w:color w:val="auto"/>
              </w:rPr>
            </w:pPr>
          </w:p>
        </w:tc>
        <w:tc>
          <w:tcPr>
            <w:tcW w:w="2560" w:type="dxa"/>
            <w:vAlign w:val="bottom"/>
            <w:tcBorders>
              <w:right w:val="single" w:sz="8" w:color="00C1DE"/>
            </w:tcBorders>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4"/>
        </w:trPr>
        <w:tc>
          <w:tcPr>
            <w:tcW w:w="200" w:type="dxa"/>
            <w:vAlign w:val="bottom"/>
            <w:tcBorders>
              <w:left w:val="single" w:sz="8" w:color="00C1DE"/>
            </w:tcBorders>
          </w:tcPr>
          <w:p>
            <w:pPr>
              <w:spacing w:after="0"/>
              <w:rPr>
                <w:sz w:val="8"/>
                <w:szCs w:val="8"/>
                <w:color w:val="auto"/>
              </w:rPr>
            </w:pPr>
          </w:p>
        </w:tc>
        <w:tc>
          <w:tcPr>
            <w:tcW w:w="5240" w:type="dxa"/>
            <w:vAlign w:val="bottom"/>
            <w:vMerge w:val="continue"/>
          </w:tcPr>
          <w:p>
            <w:pPr>
              <w:spacing w:after="0"/>
              <w:rPr>
                <w:sz w:val="8"/>
                <w:szCs w:val="8"/>
                <w:color w:val="auto"/>
              </w:rPr>
            </w:pPr>
          </w:p>
        </w:tc>
        <w:tc>
          <w:tcPr>
            <w:tcW w:w="640" w:type="dxa"/>
            <w:vAlign w:val="bottom"/>
            <w:vMerge w:val="continue"/>
          </w:tcPr>
          <w:p>
            <w:pPr>
              <w:spacing w:after="0"/>
              <w:rPr>
                <w:sz w:val="8"/>
                <w:szCs w:val="8"/>
                <w:color w:val="auto"/>
              </w:rPr>
            </w:pPr>
          </w:p>
        </w:tc>
        <w:tc>
          <w:tcPr>
            <w:tcW w:w="1060" w:type="dxa"/>
            <w:vAlign w:val="bottom"/>
            <w:vMerge w:val="continue"/>
          </w:tcPr>
          <w:p>
            <w:pPr>
              <w:spacing w:after="0"/>
              <w:rPr>
                <w:sz w:val="8"/>
                <w:szCs w:val="8"/>
                <w:color w:val="auto"/>
              </w:rPr>
            </w:pPr>
          </w:p>
        </w:tc>
        <w:tc>
          <w:tcPr>
            <w:tcW w:w="1300" w:type="dxa"/>
            <w:vAlign w:val="bottom"/>
          </w:tcPr>
          <w:p>
            <w:pPr>
              <w:spacing w:after="0"/>
              <w:rPr>
                <w:sz w:val="8"/>
                <w:szCs w:val="8"/>
                <w:color w:val="auto"/>
              </w:rPr>
            </w:pPr>
          </w:p>
        </w:tc>
        <w:tc>
          <w:tcPr>
            <w:tcW w:w="2560" w:type="dxa"/>
            <w:vAlign w:val="bottom"/>
            <w:tcBorders>
              <w:right w:val="single" w:sz="8" w:color="00C1DE"/>
            </w:tcBorders>
            <w:gridSpan w:val="2"/>
            <w:vMerge w:val="restart"/>
          </w:tcPr>
          <w:p>
            <w:pPr>
              <w:ind w:left="160"/>
              <w:spacing w:after="0"/>
              <w:rPr>
                <w:sz w:val="20"/>
                <w:szCs w:val="20"/>
                <w:color w:val="auto"/>
              </w:rPr>
            </w:pPr>
            <w:r>
              <w:rPr>
                <w:rFonts w:ascii="Arial" w:cs="Arial" w:eastAsia="Arial" w:hAnsi="Arial"/>
                <w:sz w:val="14"/>
                <w:szCs w:val="14"/>
                <w:color w:val="3E3935"/>
              </w:rPr>
              <w:t xml:space="preserve">Finance – </w:t>
            </w:r>
            <w:r>
              <w:rPr>
                <w:rFonts w:ascii="Arial" w:cs="Arial" w:eastAsia="Arial" w:hAnsi="Arial"/>
                <w:sz w:val="14"/>
                <w:szCs w:val="14"/>
                <w:b w:val="1"/>
                <w:bCs w:val="1"/>
                <w:color w:val="00C1DE"/>
              </w:rPr>
              <w:t>Chair</w:t>
            </w:r>
          </w:p>
        </w:tc>
        <w:tc>
          <w:tcPr>
            <w:tcW w:w="0" w:type="dxa"/>
            <w:vAlign w:val="bottom"/>
          </w:tcPr>
          <w:p>
            <w:pPr>
              <w:spacing w:after="0"/>
              <w:rPr>
                <w:sz w:val="1"/>
                <w:szCs w:val="1"/>
                <w:color w:val="auto"/>
              </w:rPr>
            </w:pPr>
          </w:p>
        </w:tc>
      </w:tr>
      <w:tr>
        <w:trPr>
          <w:trHeight w:val="68"/>
        </w:trPr>
        <w:tc>
          <w:tcPr>
            <w:tcW w:w="200" w:type="dxa"/>
            <w:vAlign w:val="bottom"/>
            <w:tcBorders>
              <w:left w:val="single" w:sz="8" w:color="00C1DE"/>
            </w:tcBorders>
          </w:tcPr>
          <w:p>
            <w:pPr>
              <w:spacing w:after="0"/>
              <w:rPr>
                <w:sz w:val="5"/>
                <w:szCs w:val="5"/>
                <w:color w:val="auto"/>
              </w:rPr>
            </w:pPr>
          </w:p>
        </w:tc>
        <w:tc>
          <w:tcPr>
            <w:tcW w:w="5240" w:type="dxa"/>
            <w:vAlign w:val="bottom"/>
            <w:vMerge w:val="restart"/>
          </w:tcPr>
          <w:p>
            <w:pPr>
              <w:ind w:left="1260"/>
              <w:spacing w:after="0"/>
              <w:rPr>
                <w:sz w:val="20"/>
                <w:szCs w:val="20"/>
                <w:color w:val="auto"/>
              </w:rPr>
            </w:pPr>
            <w:r>
              <w:rPr>
                <w:rFonts w:ascii="Arial" w:cs="Arial" w:eastAsia="Arial" w:hAnsi="Arial"/>
                <w:sz w:val="14"/>
                <w:szCs w:val="14"/>
                <w:color w:val="3E3935"/>
              </w:rPr>
              <w:t>Novartis AG</w:t>
            </w:r>
          </w:p>
        </w:tc>
        <w:tc>
          <w:tcPr>
            <w:tcW w:w="6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300" w:type="dxa"/>
            <w:vAlign w:val="bottom"/>
          </w:tcPr>
          <w:p>
            <w:pPr>
              <w:spacing w:after="0"/>
              <w:rPr>
                <w:sz w:val="5"/>
                <w:szCs w:val="5"/>
                <w:color w:val="auto"/>
              </w:rPr>
            </w:pPr>
          </w:p>
        </w:tc>
        <w:tc>
          <w:tcPr>
            <w:tcW w:w="2560" w:type="dxa"/>
            <w:vAlign w:val="bottom"/>
            <w:tcBorders>
              <w:right w:val="single" w:sz="8" w:color="00C1DE"/>
            </w:tcBorders>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3"/>
        </w:trPr>
        <w:tc>
          <w:tcPr>
            <w:tcW w:w="200" w:type="dxa"/>
            <w:vAlign w:val="bottom"/>
            <w:tcBorders>
              <w:left w:val="single" w:sz="8" w:color="00C1DE"/>
            </w:tcBorders>
          </w:tcPr>
          <w:p>
            <w:pPr>
              <w:spacing w:after="0"/>
              <w:rPr>
                <w:sz w:val="10"/>
                <w:szCs w:val="10"/>
                <w:color w:val="auto"/>
              </w:rPr>
            </w:pPr>
          </w:p>
        </w:tc>
        <w:tc>
          <w:tcPr>
            <w:tcW w:w="5240" w:type="dxa"/>
            <w:vAlign w:val="bottom"/>
            <w:vMerge w:val="continue"/>
          </w:tcPr>
          <w:p>
            <w:pPr>
              <w:spacing w:after="0"/>
              <w:rPr>
                <w:sz w:val="10"/>
                <w:szCs w:val="10"/>
                <w:color w:val="auto"/>
              </w:rPr>
            </w:pPr>
          </w:p>
        </w:tc>
        <w:tc>
          <w:tcPr>
            <w:tcW w:w="6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2560" w:type="dxa"/>
            <w:vAlign w:val="bottom"/>
            <w:tcBorders>
              <w:right w:val="single" w:sz="8" w:color="00C1DE"/>
            </w:tcBorders>
            <w:gridSpan w:val="2"/>
            <w:vMerge w:val="restart"/>
          </w:tcPr>
          <w:p>
            <w:pPr>
              <w:ind w:left="160"/>
              <w:spacing w:after="0"/>
              <w:rPr>
                <w:sz w:val="20"/>
                <w:szCs w:val="20"/>
                <w:color w:val="auto"/>
              </w:rPr>
            </w:pPr>
            <w:r>
              <w:rPr>
                <w:rFonts w:ascii="Arial" w:cs="Arial" w:eastAsia="Arial" w:hAnsi="Arial"/>
                <w:sz w:val="14"/>
                <w:szCs w:val="14"/>
                <w:color w:val="3E3935"/>
              </w:rPr>
              <w:t>Risk and Cybersecurity</w:t>
            </w:r>
          </w:p>
        </w:tc>
        <w:tc>
          <w:tcPr>
            <w:tcW w:w="0" w:type="dxa"/>
            <w:vAlign w:val="bottom"/>
          </w:tcPr>
          <w:p>
            <w:pPr>
              <w:spacing w:after="0"/>
              <w:rPr>
                <w:sz w:val="1"/>
                <w:szCs w:val="1"/>
                <w:color w:val="auto"/>
              </w:rPr>
            </w:pPr>
          </w:p>
        </w:tc>
      </w:tr>
      <w:tr>
        <w:trPr>
          <w:trHeight w:val="68"/>
        </w:trPr>
        <w:tc>
          <w:tcPr>
            <w:tcW w:w="200" w:type="dxa"/>
            <w:vAlign w:val="bottom"/>
            <w:tcBorders>
              <w:left w:val="single" w:sz="8" w:color="00C1DE"/>
            </w:tcBorders>
          </w:tcPr>
          <w:p>
            <w:pPr>
              <w:spacing w:after="0"/>
              <w:rPr>
                <w:sz w:val="5"/>
                <w:szCs w:val="5"/>
                <w:color w:val="auto"/>
              </w:rPr>
            </w:pPr>
          </w:p>
        </w:tc>
        <w:tc>
          <w:tcPr>
            <w:tcW w:w="5240" w:type="dxa"/>
            <w:vAlign w:val="bottom"/>
          </w:tcPr>
          <w:p>
            <w:pPr>
              <w:spacing w:after="0"/>
              <w:rPr>
                <w:sz w:val="5"/>
                <w:szCs w:val="5"/>
                <w:color w:val="auto"/>
              </w:rPr>
            </w:pPr>
          </w:p>
        </w:tc>
        <w:tc>
          <w:tcPr>
            <w:tcW w:w="6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300" w:type="dxa"/>
            <w:vAlign w:val="bottom"/>
          </w:tcPr>
          <w:p>
            <w:pPr>
              <w:spacing w:after="0"/>
              <w:rPr>
                <w:sz w:val="5"/>
                <w:szCs w:val="5"/>
                <w:color w:val="auto"/>
              </w:rPr>
            </w:pPr>
          </w:p>
        </w:tc>
        <w:tc>
          <w:tcPr>
            <w:tcW w:w="2560" w:type="dxa"/>
            <w:vAlign w:val="bottom"/>
            <w:tcBorders>
              <w:right w:val="single" w:sz="8" w:color="00C1DE"/>
            </w:tcBorders>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30"/>
        </w:trPr>
        <w:tc>
          <w:tcPr>
            <w:tcW w:w="200" w:type="dxa"/>
            <w:vAlign w:val="bottom"/>
            <w:tcBorders>
              <w:left w:val="single" w:sz="8" w:color="00C1DE"/>
            </w:tcBorders>
          </w:tcPr>
          <w:p>
            <w:pPr>
              <w:spacing w:after="0"/>
              <w:rPr>
                <w:sz w:val="11"/>
                <w:szCs w:val="11"/>
                <w:color w:val="auto"/>
              </w:rPr>
            </w:pPr>
          </w:p>
        </w:tc>
        <w:tc>
          <w:tcPr>
            <w:tcW w:w="5240" w:type="dxa"/>
            <w:vAlign w:val="bottom"/>
            <w:tcBorders>
              <w:bottom w:val="single" w:sz="8" w:color="3E3935"/>
            </w:tcBorders>
          </w:tcPr>
          <w:p>
            <w:pPr>
              <w:spacing w:after="0"/>
              <w:rPr>
                <w:sz w:val="11"/>
                <w:szCs w:val="11"/>
                <w:color w:val="auto"/>
              </w:rPr>
            </w:pPr>
          </w:p>
        </w:tc>
        <w:tc>
          <w:tcPr>
            <w:tcW w:w="640" w:type="dxa"/>
            <w:vAlign w:val="bottom"/>
            <w:tcBorders>
              <w:bottom w:val="single" w:sz="8" w:color="3E3935"/>
            </w:tcBorders>
          </w:tcPr>
          <w:p>
            <w:pPr>
              <w:spacing w:after="0"/>
              <w:rPr>
                <w:sz w:val="11"/>
                <w:szCs w:val="11"/>
                <w:color w:val="auto"/>
              </w:rPr>
            </w:pPr>
          </w:p>
        </w:tc>
        <w:tc>
          <w:tcPr>
            <w:tcW w:w="1060" w:type="dxa"/>
            <w:vAlign w:val="bottom"/>
            <w:tcBorders>
              <w:bottom w:val="single" w:sz="8" w:color="3E3935"/>
            </w:tcBorders>
          </w:tcPr>
          <w:p>
            <w:pPr>
              <w:spacing w:after="0"/>
              <w:rPr>
                <w:sz w:val="11"/>
                <w:szCs w:val="11"/>
                <w:color w:val="auto"/>
              </w:rPr>
            </w:pPr>
          </w:p>
        </w:tc>
        <w:tc>
          <w:tcPr>
            <w:tcW w:w="1300" w:type="dxa"/>
            <w:vAlign w:val="bottom"/>
            <w:tcBorders>
              <w:bottom w:val="single" w:sz="8" w:color="3E3935"/>
            </w:tcBorders>
          </w:tcPr>
          <w:p>
            <w:pPr>
              <w:spacing w:after="0"/>
              <w:rPr>
                <w:sz w:val="11"/>
                <w:szCs w:val="11"/>
                <w:color w:val="auto"/>
              </w:rPr>
            </w:pPr>
          </w:p>
        </w:tc>
        <w:tc>
          <w:tcPr>
            <w:tcW w:w="2360" w:type="dxa"/>
            <w:vAlign w:val="bottom"/>
            <w:tcBorders>
              <w:bottom w:val="single" w:sz="8" w:color="3E3935"/>
            </w:tcBorders>
          </w:tcPr>
          <w:p>
            <w:pPr>
              <w:spacing w:after="0"/>
              <w:rPr>
                <w:sz w:val="11"/>
                <w:szCs w:val="11"/>
                <w:color w:val="auto"/>
              </w:rPr>
            </w:pPr>
          </w:p>
        </w:tc>
        <w:tc>
          <w:tcPr>
            <w:tcW w:w="200" w:type="dxa"/>
            <w:vAlign w:val="bottom"/>
            <w:tcBorders>
              <w:right w:val="single" w:sz="8" w:color="00C1DE"/>
            </w:tcBorders>
          </w:tcPr>
          <w:p>
            <w:pPr>
              <w:spacing w:after="0"/>
              <w:rPr>
                <w:sz w:val="11"/>
                <w:szCs w:val="11"/>
                <w:color w:val="auto"/>
              </w:rPr>
            </w:pPr>
          </w:p>
        </w:tc>
        <w:tc>
          <w:tcPr>
            <w:tcW w:w="0" w:type="dxa"/>
            <w:vAlign w:val="bottom"/>
          </w:tcPr>
          <w:p>
            <w:pPr>
              <w:spacing w:after="0"/>
              <w:rPr>
                <w:sz w:val="1"/>
                <w:szCs w:val="1"/>
                <w:color w:val="auto"/>
              </w:rPr>
            </w:pPr>
          </w:p>
        </w:tc>
      </w:tr>
      <w:tr>
        <w:trPr>
          <w:trHeight w:val="416"/>
        </w:trPr>
        <w:tc>
          <w:tcPr>
            <w:tcW w:w="200" w:type="dxa"/>
            <w:vAlign w:val="bottom"/>
            <w:tcBorders>
              <w:left w:val="single" w:sz="8" w:color="00C1DE"/>
            </w:tcBorders>
          </w:tcPr>
          <w:p>
            <w:pPr>
              <w:spacing w:after="0"/>
              <w:rPr>
                <w:sz w:val="24"/>
                <w:szCs w:val="24"/>
                <w:color w:val="auto"/>
              </w:rPr>
            </w:pPr>
          </w:p>
        </w:tc>
        <w:tc>
          <w:tcPr>
            <w:tcW w:w="5240" w:type="dxa"/>
            <w:vAlign w:val="bottom"/>
          </w:tcPr>
          <w:p>
            <w:pPr>
              <w:ind w:left="1260"/>
              <w:spacing w:after="0"/>
              <w:rPr>
                <w:sz w:val="20"/>
                <w:szCs w:val="20"/>
                <w:color w:val="auto"/>
              </w:rPr>
            </w:pPr>
            <w:r>
              <w:rPr>
                <w:rFonts w:ascii="Arial" w:cs="Arial" w:eastAsia="Arial" w:hAnsi="Arial"/>
                <w:sz w:val="16"/>
                <w:szCs w:val="16"/>
                <w:b w:val="1"/>
                <w:bCs w:val="1"/>
                <w:color w:val="0071CE"/>
              </w:rPr>
              <w:t>Jonathan McNeill</w:t>
            </w:r>
          </w:p>
        </w:tc>
        <w:tc>
          <w:tcPr>
            <w:tcW w:w="640" w:type="dxa"/>
            <w:vAlign w:val="bottom"/>
            <w:vMerge w:val="restart"/>
          </w:tcPr>
          <w:p>
            <w:pPr>
              <w:jc w:val="center"/>
              <w:ind w:right="88"/>
              <w:spacing w:after="0"/>
              <w:rPr>
                <w:sz w:val="20"/>
                <w:szCs w:val="20"/>
                <w:color w:val="auto"/>
              </w:rPr>
            </w:pPr>
            <w:r>
              <w:rPr>
                <w:rFonts w:ascii="Arial" w:cs="Arial" w:eastAsia="Arial" w:hAnsi="Arial"/>
                <w:sz w:val="14"/>
                <w:szCs w:val="14"/>
                <w:color w:val="3E3935"/>
              </w:rPr>
              <w:t>55</w:t>
            </w:r>
          </w:p>
        </w:tc>
        <w:tc>
          <w:tcPr>
            <w:tcW w:w="1060" w:type="dxa"/>
            <w:vAlign w:val="bottom"/>
            <w:vMerge w:val="restart"/>
          </w:tcPr>
          <w:p>
            <w:pPr>
              <w:jc w:val="center"/>
              <w:spacing w:after="0"/>
              <w:rPr>
                <w:sz w:val="20"/>
                <w:szCs w:val="20"/>
                <w:color w:val="auto"/>
              </w:rPr>
            </w:pPr>
            <w:r>
              <w:rPr>
                <w:rFonts w:ascii="Arial" w:cs="Arial" w:eastAsia="Arial" w:hAnsi="Arial"/>
                <w:sz w:val="14"/>
                <w:szCs w:val="14"/>
                <w:color w:val="3E3935"/>
              </w:rPr>
              <w:t>2022</w:t>
            </w:r>
          </w:p>
        </w:tc>
        <w:tc>
          <w:tcPr>
            <w:tcW w:w="1300" w:type="dxa"/>
            <w:vAlign w:val="bottom"/>
          </w:tcPr>
          <w:p>
            <w:pPr>
              <w:spacing w:after="0"/>
              <w:rPr>
                <w:sz w:val="24"/>
                <w:szCs w:val="24"/>
                <w:color w:val="auto"/>
              </w:rPr>
            </w:pPr>
          </w:p>
        </w:tc>
        <w:tc>
          <w:tcPr>
            <w:tcW w:w="2560" w:type="dxa"/>
            <w:vAlign w:val="bottom"/>
            <w:tcBorders>
              <w:right w:val="single" w:sz="8" w:color="00C1DE"/>
            </w:tcBorders>
            <w:gridSpan w:val="2"/>
            <w:vMerge w:val="restart"/>
          </w:tcPr>
          <w:p>
            <w:pPr>
              <w:ind w:left="160"/>
              <w:spacing w:after="0"/>
              <w:rPr>
                <w:sz w:val="20"/>
                <w:szCs w:val="20"/>
                <w:color w:val="auto"/>
              </w:rPr>
            </w:pPr>
            <w:r>
              <w:rPr>
                <w:rFonts w:ascii="Arial" w:cs="Arial" w:eastAsia="Arial" w:hAnsi="Arial"/>
                <w:sz w:val="14"/>
                <w:szCs w:val="14"/>
                <w:color w:val="3E3935"/>
              </w:rPr>
              <w:t>None</w:t>
            </w:r>
          </w:p>
        </w:tc>
        <w:tc>
          <w:tcPr>
            <w:tcW w:w="0" w:type="dxa"/>
            <w:vAlign w:val="bottom"/>
          </w:tcPr>
          <w:p>
            <w:pPr>
              <w:spacing w:after="0"/>
              <w:rPr>
                <w:sz w:val="1"/>
                <w:szCs w:val="1"/>
                <w:color w:val="auto"/>
              </w:rPr>
            </w:pPr>
          </w:p>
        </w:tc>
      </w:tr>
      <w:tr>
        <w:trPr>
          <w:trHeight w:val="162"/>
        </w:trPr>
        <w:tc>
          <w:tcPr>
            <w:tcW w:w="200" w:type="dxa"/>
            <w:vAlign w:val="bottom"/>
            <w:tcBorders>
              <w:left w:val="single" w:sz="8" w:color="00C1DE"/>
            </w:tcBorders>
          </w:tcPr>
          <w:p>
            <w:pPr>
              <w:spacing w:after="0"/>
              <w:rPr>
                <w:sz w:val="14"/>
                <w:szCs w:val="14"/>
                <w:color w:val="auto"/>
              </w:rPr>
            </w:pPr>
          </w:p>
        </w:tc>
        <w:tc>
          <w:tcPr>
            <w:tcW w:w="5240" w:type="dxa"/>
            <w:vAlign w:val="bottom"/>
          </w:tcPr>
          <w:p>
            <w:pPr>
              <w:ind w:left="1260"/>
              <w:spacing w:after="0"/>
              <w:rPr>
                <w:sz w:val="20"/>
                <w:szCs w:val="20"/>
                <w:color w:val="auto"/>
              </w:rPr>
            </w:pPr>
            <w:r>
              <w:rPr>
                <w:rFonts w:ascii="Arial" w:cs="Arial" w:eastAsia="Arial" w:hAnsi="Arial"/>
                <w:sz w:val="14"/>
                <w:szCs w:val="14"/>
                <w:color w:val="3E3935"/>
              </w:rPr>
              <w:t>Co-Founder and Chief Executive Officer</w:t>
            </w:r>
          </w:p>
        </w:tc>
        <w:tc>
          <w:tcPr>
            <w:tcW w:w="640" w:type="dxa"/>
            <w:vAlign w:val="bottom"/>
            <w:vMerge w:val="continue"/>
          </w:tcPr>
          <w:p>
            <w:pPr>
              <w:spacing w:after="0"/>
              <w:rPr>
                <w:sz w:val="14"/>
                <w:szCs w:val="14"/>
                <w:color w:val="auto"/>
              </w:rPr>
            </w:pPr>
          </w:p>
        </w:tc>
        <w:tc>
          <w:tcPr>
            <w:tcW w:w="1060" w:type="dxa"/>
            <w:vAlign w:val="bottom"/>
            <w:vMerge w:val="continue"/>
          </w:tcPr>
          <w:p>
            <w:pPr>
              <w:spacing w:after="0"/>
              <w:rPr>
                <w:sz w:val="14"/>
                <w:szCs w:val="14"/>
                <w:color w:val="auto"/>
              </w:rPr>
            </w:pPr>
          </w:p>
        </w:tc>
        <w:tc>
          <w:tcPr>
            <w:tcW w:w="1300" w:type="dxa"/>
            <w:vAlign w:val="bottom"/>
          </w:tcPr>
          <w:p>
            <w:pPr>
              <w:spacing w:after="0"/>
              <w:rPr>
                <w:sz w:val="14"/>
                <w:szCs w:val="14"/>
                <w:color w:val="auto"/>
              </w:rPr>
            </w:pPr>
          </w:p>
        </w:tc>
        <w:tc>
          <w:tcPr>
            <w:tcW w:w="2560" w:type="dxa"/>
            <w:vAlign w:val="bottom"/>
            <w:tcBorders>
              <w:right w:val="single" w:sz="8" w:color="00C1DE"/>
            </w:tcBorders>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200" w:type="dxa"/>
            <w:vAlign w:val="bottom"/>
            <w:tcBorders>
              <w:left w:val="single" w:sz="8" w:color="00C1DE"/>
            </w:tcBorders>
          </w:tcPr>
          <w:p>
            <w:pPr>
              <w:spacing w:after="0"/>
              <w:rPr>
                <w:sz w:val="16"/>
                <w:szCs w:val="16"/>
                <w:color w:val="auto"/>
              </w:rPr>
            </w:pPr>
          </w:p>
        </w:tc>
        <w:tc>
          <w:tcPr>
            <w:tcW w:w="5240" w:type="dxa"/>
            <w:vAlign w:val="bottom"/>
          </w:tcPr>
          <w:p>
            <w:pPr>
              <w:ind w:left="1260"/>
              <w:spacing w:after="0"/>
              <w:rPr>
                <w:sz w:val="20"/>
                <w:szCs w:val="20"/>
                <w:color w:val="auto"/>
              </w:rPr>
            </w:pPr>
            <w:r>
              <w:rPr>
                <w:rFonts w:ascii="Arial" w:cs="Arial" w:eastAsia="Arial" w:hAnsi="Arial"/>
                <w:sz w:val="14"/>
                <w:szCs w:val="14"/>
                <w:color w:val="3E3935"/>
              </w:rPr>
              <w:t>DVx Ventures</w:t>
            </w:r>
          </w:p>
        </w:tc>
        <w:tc>
          <w:tcPr>
            <w:tcW w:w="6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200" w:type="dxa"/>
            <w:vAlign w:val="bottom"/>
            <w:tcBorders>
              <w:right w:val="single" w:sz="8" w:color="00C1DE"/>
            </w:tcBorders>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200" w:type="dxa"/>
            <w:vAlign w:val="bottom"/>
            <w:tcBorders>
              <w:left w:val="single" w:sz="8" w:color="00C1DE"/>
            </w:tcBorders>
          </w:tcPr>
          <w:p>
            <w:pPr>
              <w:spacing w:after="0"/>
              <w:rPr>
                <w:sz w:val="17"/>
                <w:szCs w:val="17"/>
                <w:color w:val="auto"/>
              </w:rPr>
            </w:pPr>
          </w:p>
        </w:tc>
        <w:tc>
          <w:tcPr>
            <w:tcW w:w="5240" w:type="dxa"/>
            <w:vAlign w:val="bottom"/>
            <w:tcBorders>
              <w:bottom w:val="single" w:sz="8" w:color="3E3935"/>
            </w:tcBorders>
          </w:tcPr>
          <w:p>
            <w:pPr>
              <w:spacing w:after="0"/>
              <w:rPr>
                <w:sz w:val="17"/>
                <w:szCs w:val="17"/>
                <w:color w:val="auto"/>
              </w:rPr>
            </w:pPr>
          </w:p>
        </w:tc>
        <w:tc>
          <w:tcPr>
            <w:tcW w:w="640" w:type="dxa"/>
            <w:vAlign w:val="bottom"/>
            <w:tcBorders>
              <w:bottom w:val="single" w:sz="8" w:color="3E3935"/>
            </w:tcBorders>
          </w:tcPr>
          <w:p>
            <w:pPr>
              <w:spacing w:after="0"/>
              <w:rPr>
                <w:sz w:val="17"/>
                <w:szCs w:val="17"/>
                <w:color w:val="auto"/>
              </w:rPr>
            </w:pPr>
          </w:p>
        </w:tc>
        <w:tc>
          <w:tcPr>
            <w:tcW w:w="1060" w:type="dxa"/>
            <w:vAlign w:val="bottom"/>
            <w:tcBorders>
              <w:bottom w:val="single" w:sz="8" w:color="3E3935"/>
            </w:tcBorders>
          </w:tcPr>
          <w:p>
            <w:pPr>
              <w:spacing w:after="0"/>
              <w:rPr>
                <w:sz w:val="17"/>
                <w:szCs w:val="17"/>
                <w:color w:val="auto"/>
              </w:rPr>
            </w:pPr>
          </w:p>
        </w:tc>
        <w:tc>
          <w:tcPr>
            <w:tcW w:w="1300" w:type="dxa"/>
            <w:vAlign w:val="bottom"/>
            <w:tcBorders>
              <w:bottom w:val="single" w:sz="8" w:color="3E3935"/>
            </w:tcBorders>
          </w:tcPr>
          <w:p>
            <w:pPr>
              <w:spacing w:after="0"/>
              <w:rPr>
                <w:sz w:val="17"/>
                <w:szCs w:val="17"/>
                <w:color w:val="auto"/>
              </w:rPr>
            </w:pPr>
          </w:p>
        </w:tc>
        <w:tc>
          <w:tcPr>
            <w:tcW w:w="2360" w:type="dxa"/>
            <w:vAlign w:val="bottom"/>
            <w:tcBorders>
              <w:bottom w:val="single" w:sz="8" w:color="3E3935"/>
            </w:tcBorders>
          </w:tcPr>
          <w:p>
            <w:pPr>
              <w:spacing w:after="0"/>
              <w:rPr>
                <w:sz w:val="17"/>
                <w:szCs w:val="17"/>
                <w:color w:val="auto"/>
              </w:rPr>
            </w:pPr>
          </w:p>
        </w:tc>
        <w:tc>
          <w:tcPr>
            <w:tcW w:w="200" w:type="dxa"/>
            <w:vAlign w:val="bottom"/>
            <w:tcBorders>
              <w:right w:val="single" w:sz="8" w:color="00C1DE"/>
            </w:tcBorders>
          </w:tcPr>
          <w:p>
            <w:pPr>
              <w:spacing w:after="0"/>
              <w:rPr>
                <w:sz w:val="17"/>
                <w:szCs w:val="17"/>
                <w:color w:val="auto"/>
              </w:rPr>
            </w:pPr>
          </w:p>
        </w:tc>
        <w:tc>
          <w:tcPr>
            <w:tcW w:w="0" w:type="dxa"/>
            <w:vAlign w:val="bottom"/>
          </w:tcPr>
          <w:p>
            <w:pPr>
              <w:spacing w:after="0"/>
              <w:rPr>
                <w:sz w:val="1"/>
                <w:szCs w:val="1"/>
                <w:color w:val="auto"/>
              </w:rPr>
            </w:pPr>
          </w:p>
        </w:tc>
      </w:tr>
      <w:tr>
        <w:trPr>
          <w:trHeight w:val="416"/>
        </w:trPr>
        <w:tc>
          <w:tcPr>
            <w:tcW w:w="200" w:type="dxa"/>
            <w:vAlign w:val="bottom"/>
            <w:tcBorders>
              <w:left w:val="single" w:sz="8" w:color="00C1DE"/>
            </w:tcBorders>
          </w:tcPr>
          <w:p>
            <w:pPr>
              <w:spacing w:after="0"/>
              <w:rPr>
                <w:sz w:val="24"/>
                <w:szCs w:val="24"/>
                <w:color w:val="auto"/>
              </w:rPr>
            </w:pPr>
          </w:p>
        </w:tc>
        <w:tc>
          <w:tcPr>
            <w:tcW w:w="5240" w:type="dxa"/>
            <w:vAlign w:val="bottom"/>
          </w:tcPr>
          <w:p>
            <w:pPr>
              <w:ind w:left="1260"/>
              <w:spacing w:after="0"/>
              <w:rPr>
                <w:sz w:val="20"/>
                <w:szCs w:val="20"/>
                <w:color w:val="auto"/>
              </w:rPr>
            </w:pPr>
            <w:r>
              <w:rPr>
                <w:rFonts w:ascii="Arial" w:cs="Arial" w:eastAsia="Arial" w:hAnsi="Arial"/>
                <w:sz w:val="16"/>
                <w:szCs w:val="16"/>
                <w:b w:val="1"/>
                <w:bCs w:val="1"/>
                <w:color w:val="0071CE"/>
              </w:rPr>
              <w:t>Judith A. Miscik</w:t>
            </w:r>
          </w:p>
        </w:tc>
        <w:tc>
          <w:tcPr>
            <w:tcW w:w="640" w:type="dxa"/>
            <w:vAlign w:val="bottom"/>
            <w:vMerge w:val="restart"/>
          </w:tcPr>
          <w:p>
            <w:pPr>
              <w:jc w:val="center"/>
              <w:ind w:right="88"/>
              <w:spacing w:after="0"/>
              <w:rPr>
                <w:sz w:val="20"/>
                <w:szCs w:val="20"/>
                <w:color w:val="auto"/>
              </w:rPr>
            </w:pPr>
            <w:r>
              <w:rPr>
                <w:rFonts w:ascii="Arial" w:cs="Arial" w:eastAsia="Arial" w:hAnsi="Arial"/>
                <w:sz w:val="14"/>
                <w:szCs w:val="14"/>
                <w:color w:val="3E3935"/>
              </w:rPr>
              <w:t>64</w:t>
            </w:r>
          </w:p>
        </w:tc>
        <w:tc>
          <w:tcPr>
            <w:tcW w:w="1060" w:type="dxa"/>
            <w:vAlign w:val="bottom"/>
            <w:vMerge w:val="restart"/>
          </w:tcPr>
          <w:p>
            <w:pPr>
              <w:jc w:val="center"/>
              <w:spacing w:after="0"/>
              <w:rPr>
                <w:sz w:val="20"/>
                <w:szCs w:val="20"/>
                <w:color w:val="auto"/>
              </w:rPr>
            </w:pPr>
            <w:r>
              <w:rPr>
                <w:rFonts w:ascii="Arial" w:cs="Arial" w:eastAsia="Arial" w:hAnsi="Arial"/>
                <w:sz w:val="14"/>
                <w:szCs w:val="14"/>
                <w:color w:val="3E3935"/>
              </w:rPr>
              <w:t>2018</w:t>
            </w:r>
          </w:p>
        </w:tc>
        <w:tc>
          <w:tcPr>
            <w:tcW w:w="1300" w:type="dxa"/>
            <w:vAlign w:val="bottom"/>
          </w:tcPr>
          <w:p>
            <w:pPr>
              <w:spacing w:after="0"/>
              <w:rPr>
                <w:sz w:val="24"/>
                <w:szCs w:val="24"/>
                <w:color w:val="auto"/>
              </w:rPr>
            </w:pPr>
          </w:p>
        </w:tc>
        <w:tc>
          <w:tcPr>
            <w:tcW w:w="2560" w:type="dxa"/>
            <w:vAlign w:val="bottom"/>
            <w:tcBorders>
              <w:right w:val="single" w:sz="8" w:color="00C1DE"/>
            </w:tcBorders>
            <w:gridSpan w:val="2"/>
            <w:vMerge w:val="restart"/>
          </w:tcPr>
          <w:p>
            <w:pPr>
              <w:ind w:left="160"/>
              <w:spacing w:after="0"/>
              <w:rPr>
                <w:sz w:val="20"/>
                <w:szCs w:val="20"/>
                <w:color w:val="auto"/>
              </w:rPr>
            </w:pPr>
            <w:r>
              <w:rPr>
                <w:rFonts w:ascii="Arial" w:cs="Arial" w:eastAsia="Arial" w:hAnsi="Arial"/>
                <w:sz w:val="14"/>
                <w:szCs w:val="14"/>
                <w:color w:val="3E3935"/>
              </w:rPr>
              <w:t>Finance</w:t>
            </w:r>
          </w:p>
        </w:tc>
        <w:tc>
          <w:tcPr>
            <w:tcW w:w="0" w:type="dxa"/>
            <w:vAlign w:val="bottom"/>
          </w:tcPr>
          <w:p>
            <w:pPr>
              <w:spacing w:after="0"/>
              <w:rPr>
                <w:sz w:val="1"/>
                <w:szCs w:val="1"/>
                <w:color w:val="auto"/>
              </w:rPr>
            </w:pPr>
          </w:p>
        </w:tc>
      </w:tr>
      <w:tr>
        <w:trPr>
          <w:trHeight w:val="68"/>
        </w:trPr>
        <w:tc>
          <w:tcPr>
            <w:tcW w:w="200" w:type="dxa"/>
            <w:vAlign w:val="bottom"/>
            <w:tcBorders>
              <w:left w:val="single" w:sz="8" w:color="00C1DE"/>
            </w:tcBorders>
          </w:tcPr>
          <w:p>
            <w:pPr>
              <w:spacing w:after="0"/>
              <w:rPr>
                <w:sz w:val="5"/>
                <w:szCs w:val="5"/>
                <w:color w:val="auto"/>
              </w:rPr>
            </w:pPr>
          </w:p>
        </w:tc>
        <w:tc>
          <w:tcPr>
            <w:tcW w:w="5240" w:type="dxa"/>
            <w:vAlign w:val="bottom"/>
            <w:vMerge w:val="restart"/>
          </w:tcPr>
          <w:p>
            <w:pPr>
              <w:ind w:left="1260"/>
              <w:spacing w:after="0"/>
              <w:rPr>
                <w:sz w:val="20"/>
                <w:szCs w:val="20"/>
                <w:color w:val="auto"/>
              </w:rPr>
            </w:pPr>
            <w:r>
              <w:rPr>
                <w:rFonts w:ascii="Arial" w:cs="Arial" w:eastAsia="Arial" w:hAnsi="Arial"/>
                <w:sz w:val="14"/>
                <w:szCs w:val="14"/>
                <w:color w:val="3E3935"/>
              </w:rPr>
              <w:t>Chief Executive Officer</w:t>
            </w:r>
          </w:p>
        </w:tc>
        <w:tc>
          <w:tcPr>
            <w:tcW w:w="640" w:type="dxa"/>
            <w:vAlign w:val="bottom"/>
            <w:vMerge w:val="continue"/>
          </w:tcPr>
          <w:p>
            <w:pPr>
              <w:spacing w:after="0"/>
              <w:rPr>
                <w:sz w:val="5"/>
                <w:szCs w:val="5"/>
                <w:color w:val="auto"/>
              </w:rPr>
            </w:pPr>
          </w:p>
        </w:tc>
        <w:tc>
          <w:tcPr>
            <w:tcW w:w="1060" w:type="dxa"/>
            <w:vAlign w:val="bottom"/>
            <w:vMerge w:val="continue"/>
          </w:tcPr>
          <w:p>
            <w:pPr>
              <w:spacing w:after="0"/>
              <w:rPr>
                <w:sz w:val="5"/>
                <w:szCs w:val="5"/>
                <w:color w:val="auto"/>
              </w:rPr>
            </w:pPr>
          </w:p>
        </w:tc>
        <w:tc>
          <w:tcPr>
            <w:tcW w:w="1300" w:type="dxa"/>
            <w:vAlign w:val="bottom"/>
          </w:tcPr>
          <w:p>
            <w:pPr>
              <w:spacing w:after="0"/>
              <w:rPr>
                <w:sz w:val="5"/>
                <w:szCs w:val="5"/>
                <w:color w:val="auto"/>
              </w:rPr>
            </w:pPr>
          </w:p>
        </w:tc>
        <w:tc>
          <w:tcPr>
            <w:tcW w:w="2560" w:type="dxa"/>
            <w:vAlign w:val="bottom"/>
            <w:tcBorders>
              <w:right w:val="single" w:sz="8" w:color="00C1DE"/>
            </w:tcBorders>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4"/>
        </w:trPr>
        <w:tc>
          <w:tcPr>
            <w:tcW w:w="200" w:type="dxa"/>
            <w:vAlign w:val="bottom"/>
            <w:tcBorders>
              <w:left w:val="single" w:sz="8" w:color="00C1DE"/>
            </w:tcBorders>
          </w:tcPr>
          <w:p>
            <w:pPr>
              <w:spacing w:after="0"/>
              <w:rPr>
                <w:sz w:val="8"/>
                <w:szCs w:val="8"/>
                <w:color w:val="auto"/>
              </w:rPr>
            </w:pPr>
          </w:p>
        </w:tc>
        <w:tc>
          <w:tcPr>
            <w:tcW w:w="5240" w:type="dxa"/>
            <w:vAlign w:val="bottom"/>
            <w:vMerge w:val="continue"/>
          </w:tcPr>
          <w:p>
            <w:pPr>
              <w:spacing w:after="0"/>
              <w:rPr>
                <w:sz w:val="8"/>
                <w:szCs w:val="8"/>
                <w:color w:val="auto"/>
              </w:rPr>
            </w:pPr>
          </w:p>
        </w:tc>
        <w:tc>
          <w:tcPr>
            <w:tcW w:w="640" w:type="dxa"/>
            <w:vAlign w:val="bottom"/>
            <w:vMerge w:val="continue"/>
          </w:tcPr>
          <w:p>
            <w:pPr>
              <w:spacing w:after="0"/>
              <w:rPr>
                <w:sz w:val="8"/>
                <w:szCs w:val="8"/>
                <w:color w:val="auto"/>
              </w:rPr>
            </w:pPr>
          </w:p>
        </w:tc>
        <w:tc>
          <w:tcPr>
            <w:tcW w:w="1060" w:type="dxa"/>
            <w:vAlign w:val="bottom"/>
            <w:vMerge w:val="continue"/>
          </w:tcPr>
          <w:p>
            <w:pPr>
              <w:spacing w:after="0"/>
              <w:rPr>
                <w:sz w:val="8"/>
                <w:szCs w:val="8"/>
                <w:color w:val="auto"/>
              </w:rPr>
            </w:pPr>
          </w:p>
        </w:tc>
        <w:tc>
          <w:tcPr>
            <w:tcW w:w="1300" w:type="dxa"/>
            <w:vAlign w:val="bottom"/>
          </w:tcPr>
          <w:p>
            <w:pPr>
              <w:spacing w:after="0"/>
              <w:rPr>
                <w:sz w:val="8"/>
                <w:szCs w:val="8"/>
                <w:color w:val="auto"/>
              </w:rPr>
            </w:pPr>
          </w:p>
        </w:tc>
        <w:tc>
          <w:tcPr>
            <w:tcW w:w="2560" w:type="dxa"/>
            <w:vAlign w:val="bottom"/>
            <w:tcBorders>
              <w:right w:val="single" w:sz="8" w:color="00C1DE"/>
            </w:tcBorders>
            <w:gridSpan w:val="2"/>
            <w:vMerge w:val="restart"/>
          </w:tcPr>
          <w:p>
            <w:pPr>
              <w:ind w:left="160"/>
              <w:spacing w:after="0"/>
              <w:rPr>
                <w:sz w:val="20"/>
                <w:szCs w:val="20"/>
                <w:color w:val="auto"/>
              </w:rPr>
            </w:pPr>
            <w:r>
              <w:rPr>
                <w:rFonts w:ascii="Arial" w:cs="Arial" w:eastAsia="Arial" w:hAnsi="Arial"/>
                <w:sz w:val="14"/>
                <w:szCs w:val="14"/>
                <w:color w:val="3E3935"/>
              </w:rPr>
              <w:t>Risk and Cybersecurity</w:t>
            </w:r>
          </w:p>
        </w:tc>
        <w:tc>
          <w:tcPr>
            <w:tcW w:w="0" w:type="dxa"/>
            <w:vAlign w:val="bottom"/>
          </w:tcPr>
          <w:p>
            <w:pPr>
              <w:spacing w:after="0"/>
              <w:rPr>
                <w:sz w:val="1"/>
                <w:szCs w:val="1"/>
                <w:color w:val="auto"/>
              </w:rPr>
            </w:pPr>
          </w:p>
        </w:tc>
      </w:tr>
      <w:tr>
        <w:trPr>
          <w:trHeight w:val="96"/>
        </w:trPr>
        <w:tc>
          <w:tcPr>
            <w:tcW w:w="200" w:type="dxa"/>
            <w:vAlign w:val="bottom"/>
            <w:tcBorders>
              <w:left w:val="single" w:sz="8" w:color="00C1DE"/>
            </w:tcBorders>
          </w:tcPr>
          <w:p>
            <w:pPr>
              <w:spacing w:after="0"/>
              <w:rPr>
                <w:sz w:val="8"/>
                <w:szCs w:val="8"/>
                <w:color w:val="auto"/>
              </w:rPr>
            </w:pPr>
          </w:p>
        </w:tc>
        <w:tc>
          <w:tcPr>
            <w:tcW w:w="5240" w:type="dxa"/>
            <w:vAlign w:val="bottom"/>
            <w:vMerge w:val="restart"/>
          </w:tcPr>
          <w:p>
            <w:pPr>
              <w:ind w:left="1260"/>
              <w:spacing w:after="0"/>
              <w:rPr>
                <w:sz w:val="20"/>
                <w:szCs w:val="20"/>
                <w:color w:val="auto"/>
              </w:rPr>
            </w:pPr>
            <w:r>
              <w:rPr>
                <w:rFonts w:ascii="Arial" w:cs="Arial" w:eastAsia="Arial" w:hAnsi="Arial"/>
                <w:sz w:val="14"/>
                <w:szCs w:val="14"/>
                <w:color w:val="3E3935"/>
              </w:rPr>
              <w:t>Global Strategic Insights</w:t>
            </w:r>
          </w:p>
        </w:tc>
        <w:tc>
          <w:tcPr>
            <w:tcW w:w="6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300" w:type="dxa"/>
            <w:vAlign w:val="bottom"/>
          </w:tcPr>
          <w:p>
            <w:pPr>
              <w:spacing w:after="0"/>
              <w:rPr>
                <w:sz w:val="8"/>
                <w:szCs w:val="8"/>
                <w:color w:val="auto"/>
              </w:rPr>
            </w:pPr>
          </w:p>
        </w:tc>
        <w:tc>
          <w:tcPr>
            <w:tcW w:w="2560" w:type="dxa"/>
            <w:vAlign w:val="bottom"/>
            <w:tcBorders>
              <w:right w:val="single" w:sz="8" w:color="00C1DE"/>
            </w:tcBorders>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200" w:type="dxa"/>
            <w:vAlign w:val="bottom"/>
            <w:tcBorders>
              <w:left w:val="single" w:sz="8" w:color="00C1DE"/>
            </w:tcBorders>
          </w:tcPr>
          <w:p>
            <w:pPr>
              <w:spacing w:after="0"/>
              <w:rPr>
                <w:sz w:val="8"/>
                <w:szCs w:val="8"/>
                <w:color w:val="auto"/>
              </w:rPr>
            </w:pPr>
          </w:p>
        </w:tc>
        <w:tc>
          <w:tcPr>
            <w:tcW w:w="5240" w:type="dxa"/>
            <w:vAlign w:val="bottom"/>
            <w:vMerge w:val="continue"/>
          </w:tcPr>
          <w:p>
            <w:pPr>
              <w:spacing w:after="0"/>
              <w:rPr>
                <w:sz w:val="8"/>
                <w:szCs w:val="8"/>
                <w:color w:val="auto"/>
              </w:rPr>
            </w:pPr>
          </w:p>
        </w:tc>
        <w:tc>
          <w:tcPr>
            <w:tcW w:w="6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300" w:type="dxa"/>
            <w:vAlign w:val="bottom"/>
          </w:tcPr>
          <w:p>
            <w:pPr>
              <w:spacing w:after="0"/>
              <w:rPr>
                <w:sz w:val="8"/>
                <w:szCs w:val="8"/>
                <w:color w:val="auto"/>
              </w:rPr>
            </w:pPr>
          </w:p>
        </w:tc>
        <w:tc>
          <w:tcPr>
            <w:tcW w:w="2360" w:type="dxa"/>
            <w:vAlign w:val="bottom"/>
          </w:tcPr>
          <w:p>
            <w:pPr>
              <w:spacing w:after="0"/>
              <w:rPr>
                <w:sz w:val="8"/>
                <w:szCs w:val="8"/>
                <w:color w:val="auto"/>
              </w:rPr>
            </w:pPr>
          </w:p>
        </w:tc>
        <w:tc>
          <w:tcPr>
            <w:tcW w:w="200" w:type="dxa"/>
            <w:vAlign w:val="bottom"/>
            <w:tcBorders>
              <w:right w:val="single" w:sz="8" w:color="00C1DE"/>
            </w:tcBorders>
          </w:tcPr>
          <w:p>
            <w:pPr>
              <w:spacing w:after="0"/>
              <w:rPr>
                <w:sz w:val="8"/>
                <w:szCs w:val="8"/>
                <w:color w:val="auto"/>
              </w:rPr>
            </w:pPr>
          </w:p>
        </w:tc>
        <w:tc>
          <w:tcPr>
            <w:tcW w:w="0" w:type="dxa"/>
            <w:vAlign w:val="bottom"/>
          </w:tcPr>
          <w:p>
            <w:pPr>
              <w:spacing w:after="0"/>
              <w:rPr>
                <w:sz w:val="1"/>
                <w:szCs w:val="1"/>
                <w:color w:val="auto"/>
              </w:rPr>
            </w:pPr>
          </w:p>
        </w:tc>
      </w:tr>
      <w:tr>
        <w:trPr>
          <w:trHeight w:val="197"/>
        </w:trPr>
        <w:tc>
          <w:tcPr>
            <w:tcW w:w="200" w:type="dxa"/>
            <w:vAlign w:val="bottom"/>
            <w:tcBorders>
              <w:left w:val="single" w:sz="8" w:color="00C1DE"/>
            </w:tcBorders>
          </w:tcPr>
          <w:p>
            <w:pPr>
              <w:spacing w:after="0"/>
              <w:rPr>
                <w:sz w:val="17"/>
                <w:szCs w:val="17"/>
                <w:color w:val="auto"/>
              </w:rPr>
            </w:pPr>
          </w:p>
        </w:tc>
        <w:tc>
          <w:tcPr>
            <w:tcW w:w="5240" w:type="dxa"/>
            <w:vAlign w:val="bottom"/>
            <w:tcBorders>
              <w:bottom w:val="single" w:sz="8" w:color="3E3935"/>
            </w:tcBorders>
          </w:tcPr>
          <w:p>
            <w:pPr>
              <w:spacing w:after="0"/>
              <w:rPr>
                <w:sz w:val="17"/>
                <w:szCs w:val="17"/>
                <w:color w:val="auto"/>
              </w:rPr>
            </w:pPr>
          </w:p>
        </w:tc>
        <w:tc>
          <w:tcPr>
            <w:tcW w:w="640" w:type="dxa"/>
            <w:vAlign w:val="bottom"/>
            <w:tcBorders>
              <w:bottom w:val="single" w:sz="8" w:color="3E3935"/>
            </w:tcBorders>
          </w:tcPr>
          <w:p>
            <w:pPr>
              <w:spacing w:after="0"/>
              <w:rPr>
                <w:sz w:val="17"/>
                <w:szCs w:val="17"/>
                <w:color w:val="auto"/>
              </w:rPr>
            </w:pPr>
          </w:p>
        </w:tc>
        <w:tc>
          <w:tcPr>
            <w:tcW w:w="1060" w:type="dxa"/>
            <w:vAlign w:val="bottom"/>
            <w:tcBorders>
              <w:bottom w:val="single" w:sz="8" w:color="3E3935"/>
            </w:tcBorders>
          </w:tcPr>
          <w:p>
            <w:pPr>
              <w:spacing w:after="0"/>
              <w:rPr>
                <w:sz w:val="17"/>
                <w:szCs w:val="17"/>
                <w:color w:val="auto"/>
              </w:rPr>
            </w:pPr>
          </w:p>
        </w:tc>
        <w:tc>
          <w:tcPr>
            <w:tcW w:w="1300" w:type="dxa"/>
            <w:vAlign w:val="bottom"/>
            <w:tcBorders>
              <w:bottom w:val="single" w:sz="8" w:color="3E3935"/>
            </w:tcBorders>
          </w:tcPr>
          <w:p>
            <w:pPr>
              <w:spacing w:after="0"/>
              <w:rPr>
                <w:sz w:val="17"/>
                <w:szCs w:val="17"/>
                <w:color w:val="auto"/>
              </w:rPr>
            </w:pPr>
          </w:p>
        </w:tc>
        <w:tc>
          <w:tcPr>
            <w:tcW w:w="2360" w:type="dxa"/>
            <w:vAlign w:val="bottom"/>
            <w:tcBorders>
              <w:bottom w:val="single" w:sz="8" w:color="3E3935"/>
            </w:tcBorders>
          </w:tcPr>
          <w:p>
            <w:pPr>
              <w:spacing w:after="0"/>
              <w:rPr>
                <w:sz w:val="17"/>
                <w:szCs w:val="17"/>
                <w:color w:val="auto"/>
              </w:rPr>
            </w:pPr>
          </w:p>
        </w:tc>
        <w:tc>
          <w:tcPr>
            <w:tcW w:w="200" w:type="dxa"/>
            <w:vAlign w:val="bottom"/>
            <w:tcBorders>
              <w:right w:val="single" w:sz="8" w:color="00C1DE"/>
            </w:tcBorders>
          </w:tcPr>
          <w:p>
            <w:pPr>
              <w:spacing w:after="0"/>
              <w:rPr>
                <w:sz w:val="17"/>
                <w:szCs w:val="17"/>
                <w:color w:val="auto"/>
              </w:rPr>
            </w:pPr>
          </w:p>
        </w:tc>
        <w:tc>
          <w:tcPr>
            <w:tcW w:w="0" w:type="dxa"/>
            <w:vAlign w:val="bottom"/>
          </w:tcPr>
          <w:p>
            <w:pPr>
              <w:spacing w:after="0"/>
              <w:rPr>
                <w:sz w:val="1"/>
                <w:szCs w:val="1"/>
                <w:color w:val="auto"/>
              </w:rPr>
            </w:pPr>
          </w:p>
        </w:tc>
      </w:tr>
      <w:tr>
        <w:trPr>
          <w:trHeight w:val="322"/>
        </w:trPr>
        <w:tc>
          <w:tcPr>
            <w:tcW w:w="200" w:type="dxa"/>
            <w:vAlign w:val="bottom"/>
            <w:tcBorders>
              <w:left w:val="single" w:sz="8" w:color="00C1DE"/>
            </w:tcBorders>
          </w:tcPr>
          <w:p>
            <w:pPr>
              <w:spacing w:after="0"/>
              <w:rPr>
                <w:sz w:val="24"/>
                <w:szCs w:val="24"/>
                <w:color w:val="auto"/>
              </w:rPr>
            </w:pPr>
          </w:p>
        </w:tc>
        <w:tc>
          <w:tcPr>
            <w:tcW w:w="5240" w:type="dxa"/>
            <w:vAlign w:val="bottom"/>
            <w:vMerge w:val="restart"/>
          </w:tcPr>
          <w:p>
            <w:pPr>
              <w:ind w:left="1260"/>
              <w:spacing w:after="0"/>
              <w:rPr>
                <w:sz w:val="20"/>
                <w:szCs w:val="20"/>
                <w:color w:val="auto"/>
              </w:rPr>
            </w:pPr>
            <w:r>
              <w:rPr>
                <w:rFonts w:ascii="Arial" w:cs="Arial" w:eastAsia="Arial" w:hAnsi="Arial"/>
                <w:sz w:val="16"/>
                <w:szCs w:val="16"/>
                <w:b w:val="1"/>
                <w:bCs w:val="1"/>
                <w:color w:val="0071CE"/>
              </w:rPr>
              <w:t>Patricia F. Russo</w:t>
            </w:r>
          </w:p>
        </w:tc>
        <w:tc>
          <w:tcPr>
            <w:tcW w:w="6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560" w:type="dxa"/>
            <w:vAlign w:val="bottom"/>
            <w:tcBorders>
              <w:right w:val="single" w:sz="8" w:color="00C1DE"/>
            </w:tcBorders>
            <w:gridSpan w:val="2"/>
          </w:tcPr>
          <w:p>
            <w:pPr>
              <w:ind w:left="160"/>
              <w:spacing w:after="0"/>
              <w:rPr>
                <w:sz w:val="20"/>
                <w:szCs w:val="20"/>
                <w:color w:val="auto"/>
              </w:rPr>
            </w:pPr>
            <w:r>
              <w:rPr>
                <w:rFonts w:ascii="Arial" w:cs="Arial" w:eastAsia="Arial" w:hAnsi="Arial"/>
                <w:sz w:val="14"/>
                <w:szCs w:val="14"/>
                <w:color w:val="3E3935"/>
              </w:rPr>
              <w:t>Compensation</w:t>
            </w:r>
          </w:p>
        </w:tc>
        <w:tc>
          <w:tcPr>
            <w:tcW w:w="0" w:type="dxa"/>
            <w:vAlign w:val="bottom"/>
          </w:tcPr>
          <w:p>
            <w:pPr>
              <w:spacing w:after="0"/>
              <w:rPr>
                <w:sz w:val="1"/>
                <w:szCs w:val="1"/>
                <w:color w:val="auto"/>
              </w:rPr>
            </w:pPr>
          </w:p>
        </w:tc>
      </w:tr>
      <w:tr>
        <w:trPr>
          <w:trHeight w:val="95"/>
        </w:trPr>
        <w:tc>
          <w:tcPr>
            <w:tcW w:w="200" w:type="dxa"/>
            <w:vAlign w:val="bottom"/>
            <w:tcBorders>
              <w:left w:val="single" w:sz="8" w:color="00C1DE"/>
            </w:tcBorders>
          </w:tcPr>
          <w:p>
            <w:pPr>
              <w:spacing w:after="0"/>
              <w:rPr>
                <w:sz w:val="8"/>
                <w:szCs w:val="8"/>
                <w:color w:val="auto"/>
              </w:rPr>
            </w:pPr>
          </w:p>
        </w:tc>
        <w:tc>
          <w:tcPr>
            <w:tcW w:w="5240" w:type="dxa"/>
            <w:vAlign w:val="bottom"/>
            <w:vMerge w:val="continue"/>
          </w:tcPr>
          <w:p>
            <w:pPr>
              <w:spacing w:after="0"/>
              <w:rPr>
                <w:sz w:val="8"/>
                <w:szCs w:val="8"/>
                <w:color w:val="auto"/>
              </w:rPr>
            </w:pPr>
          </w:p>
        </w:tc>
        <w:tc>
          <w:tcPr>
            <w:tcW w:w="640" w:type="dxa"/>
            <w:vAlign w:val="bottom"/>
            <w:vMerge w:val="restart"/>
          </w:tcPr>
          <w:p>
            <w:pPr>
              <w:jc w:val="center"/>
              <w:ind w:right="88"/>
              <w:spacing w:after="0"/>
              <w:rPr>
                <w:sz w:val="20"/>
                <w:szCs w:val="20"/>
                <w:color w:val="auto"/>
              </w:rPr>
            </w:pPr>
            <w:r>
              <w:rPr>
                <w:rFonts w:ascii="Arial" w:cs="Arial" w:eastAsia="Arial" w:hAnsi="Arial"/>
                <w:sz w:val="14"/>
                <w:szCs w:val="14"/>
                <w:color w:val="3E3935"/>
              </w:rPr>
              <w:t>70</w:t>
            </w:r>
          </w:p>
        </w:tc>
        <w:tc>
          <w:tcPr>
            <w:tcW w:w="1060" w:type="dxa"/>
            <w:vAlign w:val="bottom"/>
            <w:vMerge w:val="restart"/>
          </w:tcPr>
          <w:p>
            <w:pPr>
              <w:jc w:val="center"/>
              <w:spacing w:after="0"/>
              <w:rPr>
                <w:sz w:val="20"/>
                <w:szCs w:val="20"/>
                <w:color w:val="auto"/>
              </w:rPr>
            </w:pPr>
            <w:r>
              <w:rPr>
                <w:rFonts w:ascii="Arial" w:cs="Arial" w:eastAsia="Arial" w:hAnsi="Arial"/>
                <w:sz w:val="14"/>
                <w:szCs w:val="14"/>
                <w:color w:val="3E3935"/>
              </w:rPr>
              <w:t>2009</w:t>
            </w:r>
          </w:p>
        </w:tc>
        <w:tc>
          <w:tcPr>
            <w:tcW w:w="1300" w:type="dxa"/>
            <w:vAlign w:val="bottom"/>
          </w:tcPr>
          <w:p>
            <w:pPr>
              <w:spacing w:after="0"/>
              <w:rPr>
                <w:sz w:val="8"/>
                <w:szCs w:val="8"/>
                <w:color w:val="auto"/>
              </w:rPr>
            </w:pPr>
          </w:p>
        </w:tc>
        <w:tc>
          <w:tcPr>
            <w:tcW w:w="2560" w:type="dxa"/>
            <w:vAlign w:val="bottom"/>
            <w:tcBorders>
              <w:right w:val="single" w:sz="8" w:color="00C1DE"/>
            </w:tcBorders>
            <w:gridSpan w:val="2"/>
            <w:vMerge w:val="restart"/>
          </w:tcPr>
          <w:p>
            <w:pPr>
              <w:ind w:left="160"/>
              <w:spacing w:after="0"/>
              <w:rPr>
                <w:sz w:val="20"/>
                <w:szCs w:val="20"/>
                <w:color w:val="auto"/>
              </w:rPr>
            </w:pPr>
            <w:r>
              <w:rPr>
                <w:rFonts w:ascii="Arial" w:cs="Arial" w:eastAsia="Arial" w:hAnsi="Arial"/>
                <w:sz w:val="14"/>
                <w:szCs w:val="14"/>
                <w:color w:val="3E3935"/>
              </w:rPr>
              <w:t>Executive</w:t>
            </w:r>
          </w:p>
        </w:tc>
        <w:tc>
          <w:tcPr>
            <w:tcW w:w="0" w:type="dxa"/>
            <w:vAlign w:val="bottom"/>
          </w:tcPr>
          <w:p>
            <w:pPr>
              <w:spacing w:after="0"/>
              <w:rPr>
                <w:sz w:val="1"/>
                <w:szCs w:val="1"/>
                <w:color w:val="auto"/>
              </w:rPr>
            </w:pPr>
          </w:p>
        </w:tc>
      </w:tr>
      <w:tr>
        <w:trPr>
          <w:trHeight w:val="68"/>
        </w:trPr>
        <w:tc>
          <w:tcPr>
            <w:tcW w:w="200" w:type="dxa"/>
            <w:vAlign w:val="bottom"/>
            <w:tcBorders>
              <w:left w:val="single" w:sz="8" w:color="00C1DE"/>
            </w:tcBorders>
          </w:tcPr>
          <w:p>
            <w:pPr>
              <w:spacing w:after="0"/>
              <w:rPr>
                <w:sz w:val="5"/>
                <w:szCs w:val="5"/>
                <w:color w:val="auto"/>
              </w:rPr>
            </w:pPr>
          </w:p>
        </w:tc>
        <w:tc>
          <w:tcPr>
            <w:tcW w:w="5240" w:type="dxa"/>
            <w:vAlign w:val="bottom"/>
            <w:vMerge w:val="restart"/>
          </w:tcPr>
          <w:p>
            <w:pPr>
              <w:ind w:left="1260"/>
              <w:spacing w:after="0"/>
              <w:rPr>
                <w:sz w:val="20"/>
                <w:szCs w:val="20"/>
                <w:color w:val="auto"/>
              </w:rPr>
            </w:pPr>
            <w:r>
              <w:rPr>
                <w:rFonts w:ascii="Arial" w:cs="Arial" w:eastAsia="Arial" w:hAnsi="Arial"/>
                <w:sz w:val="14"/>
                <w:szCs w:val="14"/>
                <w:color w:val="3E3935"/>
              </w:rPr>
              <w:t>Chair</w:t>
            </w:r>
          </w:p>
        </w:tc>
        <w:tc>
          <w:tcPr>
            <w:tcW w:w="640" w:type="dxa"/>
            <w:vAlign w:val="bottom"/>
            <w:vMerge w:val="continue"/>
          </w:tcPr>
          <w:p>
            <w:pPr>
              <w:spacing w:after="0"/>
              <w:rPr>
                <w:sz w:val="5"/>
                <w:szCs w:val="5"/>
                <w:color w:val="auto"/>
              </w:rPr>
            </w:pPr>
          </w:p>
        </w:tc>
        <w:tc>
          <w:tcPr>
            <w:tcW w:w="1060" w:type="dxa"/>
            <w:vAlign w:val="bottom"/>
            <w:vMerge w:val="continue"/>
          </w:tcPr>
          <w:p>
            <w:pPr>
              <w:spacing w:after="0"/>
              <w:rPr>
                <w:sz w:val="5"/>
                <w:szCs w:val="5"/>
                <w:color w:val="auto"/>
              </w:rPr>
            </w:pPr>
          </w:p>
        </w:tc>
        <w:tc>
          <w:tcPr>
            <w:tcW w:w="1300" w:type="dxa"/>
            <w:vAlign w:val="bottom"/>
          </w:tcPr>
          <w:p>
            <w:pPr>
              <w:spacing w:after="0"/>
              <w:rPr>
                <w:sz w:val="5"/>
                <w:szCs w:val="5"/>
                <w:color w:val="auto"/>
              </w:rPr>
            </w:pPr>
          </w:p>
        </w:tc>
        <w:tc>
          <w:tcPr>
            <w:tcW w:w="2560" w:type="dxa"/>
            <w:vAlign w:val="bottom"/>
            <w:tcBorders>
              <w:right w:val="single" w:sz="8" w:color="00C1DE"/>
            </w:tcBorders>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4"/>
        </w:trPr>
        <w:tc>
          <w:tcPr>
            <w:tcW w:w="200" w:type="dxa"/>
            <w:vAlign w:val="bottom"/>
            <w:tcBorders>
              <w:left w:val="single" w:sz="8" w:color="00C1DE"/>
            </w:tcBorders>
          </w:tcPr>
          <w:p>
            <w:pPr>
              <w:spacing w:after="0"/>
              <w:rPr>
                <w:sz w:val="8"/>
                <w:szCs w:val="8"/>
                <w:color w:val="auto"/>
              </w:rPr>
            </w:pPr>
          </w:p>
        </w:tc>
        <w:tc>
          <w:tcPr>
            <w:tcW w:w="5240" w:type="dxa"/>
            <w:vAlign w:val="bottom"/>
            <w:vMerge w:val="continue"/>
          </w:tcPr>
          <w:p>
            <w:pPr>
              <w:spacing w:after="0"/>
              <w:rPr>
                <w:sz w:val="8"/>
                <w:szCs w:val="8"/>
                <w:color w:val="auto"/>
              </w:rPr>
            </w:pPr>
          </w:p>
        </w:tc>
        <w:tc>
          <w:tcPr>
            <w:tcW w:w="640" w:type="dxa"/>
            <w:vAlign w:val="bottom"/>
            <w:vMerge w:val="continue"/>
          </w:tcPr>
          <w:p>
            <w:pPr>
              <w:spacing w:after="0"/>
              <w:rPr>
                <w:sz w:val="8"/>
                <w:szCs w:val="8"/>
                <w:color w:val="auto"/>
              </w:rPr>
            </w:pPr>
          </w:p>
        </w:tc>
        <w:tc>
          <w:tcPr>
            <w:tcW w:w="1060" w:type="dxa"/>
            <w:vAlign w:val="bottom"/>
            <w:vMerge w:val="continue"/>
          </w:tcPr>
          <w:p>
            <w:pPr>
              <w:spacing w:after="0"/>
              <w:rPr>
                <w:sz w:val="8"/>
                <w:szCs w:val="8"/>
                <w:color w:val="auto"/>
              </w:rPr>
            </w:pPr>
          </w:p>
        </w:tc>
        <w:tc>
          <w:tcPr>
            <w:tcW w:w="1300" w:type="dxa"/>
            <w:vAlign w:val="bottom"/>
          </w:tcPr>
          <w:p>
            <w:pPr>
              <w:spacing w:after="0"/>
              <w:rPr>
                <w:sz w:val="8"/>
                <w:szCs w:val="8"/>
                <w:color w:val="auto"/>
              </w:rPr>
            </w:pPr>
          </w:p>
        </w:tc>
        <w:tc>
          <w:tcPr>
            <w:tcW w:w="2560" w:type="dxa"/>
            <w:vAlign w:val="bottom"/>
            <w:tcBorders>
              <w:right w:val="single" w:sz="8" w:color="00C1DE"/>
            </w:tcBorders>
            <w:gridSpan w:val="2"/>
            <w:vMerge w:val="restart"/>
          </w:tcPr>
          <w:p>
            <w:pPr>
              <w:ind w:left="160"/>
              <w:spacing w:after="0"/>
              <w:rPr>
                <w:sz w:val="20"/>
                <w:szCs w:val="20"/>
                <w:color w:val="auto"/>
              </w:rPr>
            </w:pPr>
            <w:r>
              <w:rPr>
                <w:rFonts w:ascii="Arial" w:cs="Arial" w:eastAsia="Arial" w:hAnsi="Arial"/>
                <w:sz w:val="14"/>
                <w:szCs w:val="14"/>
                <w:color w:val="3E3935"/>
              </w:rPr>
              <w:t>Finance</w:t>
            </w:r>
          </w:p>
        </w:tc>
        <w:tc>
          <w:tcPr>
            <w:tcW w:w="0" w:type="dxa"/>
            <w:vAlign w:val="bottom"/>
          </w:tcPr>
          <w:p>
            <w:pPr>
              <w:spacing w:after="0"/>
              <w:rPr>
                <w:sz w:val="1"/>
                <w:szCs w:val="1"/>
                <w:color w:val="auto"/>
              </w:rPr>
            </w:pPr>
          </w:p>
        </w:tc>
      </w:tr>
      <w:tr>
        <w:trPr>
          <w:trHeight w:val="68"/>
        </w:trPr>
        <w:tc>
          <w:tcPr>
            <w:tcW w:w="200" w:type="dxa"/>
            <w:vAlign w:val="bottom"/>
            <w:tcBorders>
              <w:left w:val="single" w:sz="8" w:color="00C1DE"/>
            </w:tcBorders>
          </w:tcPr>
          <w:p>
            <w:pPr>
              <w:spacing w:after="0"/>
              <w:rPr>
                <w:sz w:val="5"/>
                <w:szCs w:val="5"/>
                <w:color w:val="auto"/>
              </w:rPr>
            </w:pPr>
          </w:p>
        </w:tc>
        <w:tc>
          <w:tcPr>
            <w:tcW w:w="5240" w:type="dxa"/>
            <w:vAlign w:val="bottom"/>
            <w:vMerge w:val="restart"/>
          </w:tcPr>
          <w:p>
            <w:pPr>
              <w:ind w:left="1260"/>
              <w:spacing w:after="0"/>
              <w:rPr>
                <w:sz w:val="20"/>
                <w:szCs w:val="20"/>
                <w:color w:val="auto"/>
              </w:rPr>
            </w:pPr>
            <w:r>
              <w:rPr>
                <w:rFonts w:ascii="Arial" w:cs="Arial" w:eastAsia="Arial" w:hAnsi="Arial"/>
                <w:sz w:val="14"/>
                <w:szCs w:val="14"/>
                <w:color w:val="3E3935"/>
              </w:rPr>
              <w:t>Hewlett Packard Enterprise Company</w:t>
            </w:r>
          </w:p>
        </w:tc>
        <w:tc>
          <w:tcPr>
            <w:tcW w:w="6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300" w:type="dxa"/>
            <w:vAlign w:val="bottom"/>
          </w:tcPr>
          <w:p>
            <w:pPr>
              <w:spacing w:after="0"/>
              <w:rPr>
                <w:sz w:val="5"/>
                <w:szCs w:val="5"/>
                <w:color w:val="auto"/>
              </w:rPr>
            </w:pPr>
          </w:p>
        </w:tc>
        <w:tc>
          <w:tcPr>
            <w:tcW w:w="2560" w:type="dxa"/>
            <w:vAlign w:val="bottom"/>
            <w:tcBorders>
              <w:right w:val="single" w:sz="8" w:color="00C1DE"/>
            </w:tcBorders>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3"/>
        </w:trPr>
        <w:tc>
          <w:tcPr>
            <w:tcW w:w="200" w:type="dxa"/>
            <w:vAlign w:val="bottom"/>
            <w:tcBorders>
              <w:left w:val="single" w:sz="8" w:color="00C1DE"/>
            </w:tcBorders>
          </w:tcPr>
          <w:p>
            <w:pPr>
              <w:spacing w:after="0"/>
              <w:rPr>
                <w:sz w:val="10"/>
                <w:szCs w:val="10"/>
                <w:color w:val="auto"/>
              </w:rPr>
            </w:pPr>
          </w:p>
        </w:tc>
        <w:tc>
          <w:tcPr>
            <w:tcW w:w="5240" w:type="dxa"/>
            <w:vAlign w:val="bottom"/>
            <w:vMerge w:val="continue"/>
          </w:tcPr>
          <w:p>
            <w:pPr>
              <w:spacing w:after="0"/>
              <w:rPr>
                <w:sz w:val="10"/>
                <w:szCs w:val="10"/>
                <w:color w:val="auto"/>
              </w:rPr>
            </w:pPr>
          </w:p>
        </w:tc>
        <w:tc>
          <w:tcPr>
            <w:tcW w:w="6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2560" w:type="dxa"/>
            <w:vAlign w:val="bottom"/>
            <w:tcBorders>
              <w:right w:val="single" w:sz="8" w:color="00C1DE"/>
            </w:tcBorders>
            <w:gridSpan w:val="2"/>
            <w:vMerge w:val="restart"/>
          </w:tcPr>
          <w:p>
            <w:pPr>
              <w:ind w:left="160"/>
              <w:spacing w:after="0"/>
              <w:rPr>
                <w:sz w:val="20"/>
                <w:szCs w:val="20"/>
                <w:color w:val="auto"/>
              </w:rPr>
            </w:pPr>
            <w:r>
              <w:rPr>
                <w:rFonts w:ascii="Arial" w:cs="Arial" w:eastAsia="Arial" w:hAnsi="Arial"/>
                <w:sz w:val="14"/>
                <w:szCs w:val="14"/>
                <w:color w:val="3E3935"/>
              </w:rPr>
              <w:t xml:space="preserve">Governance – </w:t>
            </w:r>
            <w:r>
              <w:rPr>
                <w:rFonts w:ascii="Arial" w:cs="Arial" w:eastAsia="Arial" w:hAnsi="Arial"/>
                <w:sz w:val="14"/>
                <w:szCs w:val="14"/>
                <w:b w:val="1"/>
                <w:bCs w:val="1"/>
                <w:color w:val="00C1DE"/>
              </w:rPr>
              <w:t>Chair</w:t>
            </w:r>
          </w:p>
        </w:tc>
        <w:tc>
          <w:tcPr>
            <w:tcW w:w="0" w:type="dxa"/>
            <w:vAlign w:val="bottom"/>
          </w:tcPr>
          <w:p>
            <w:pPr>
              <w:spacing w:after="0"/>
              <w:rPr>
                <w:sz w:val="1"/>
                <w:szCs w:val="1"/>
                <w:color w:val="auto"/>
              </w:rPr>
            </w:pPr>
          </w:p>
        </w:tc>
      </w:tr>
      <w:tr>
        <w:trPr>
          <w:trHeight w:val="74"/>
        </w:trPr>
        <w:tc>
          <w:tcPr>
            <w:tcW w:w="200" w:type="dxa"/>
            <w:vAlign w:val="bottom"/>
            <w:tcBorders>
              <w:left w:val="single" w:sz="8" w:color="00C1DE"/>
            </w:tcBorders>
          </w:tcPr>
          <w:p>
            <w:pPr>
              <w:spacing w:after="0"/>
              <w:rPr>
                <w:sz w:val="6"/>
                <w:szCs w:val="6"/>
                <w:color w:val="auto"/>
              </w:rPr>
            </w:pPr>
          </w:p>
        </w:tc>
        <w:tc>
          <w:tcPr>
            <w:tcW w:w="5240" w:type="dxa"/>
            <w:vAlign w:val="bottom"/>
          </w:tcPr>
          <w:p>
            <w:pPr>
              <w:spacing w:after="0"/>
              <w:rPr>
                <w:sz w:val="6"/>
                <w:szCs w:val="6"/>
                <w:color w:val="auto"/>
              </w:rPr>
            </w:pPr>
          </w:p>
        </w:tc>
        <w:tc>
          <w:tcPr>
            <w:tcW w:w="6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300" w:type="dxa"/>
            <w:vAlign w:val="bottom"/>
          </w:tcPr>
          <w:p>
            <w:pPr>
              <w:spacing w:after="0"/>
              <w:rPr>
                <w:sz w:val="6"/>
                <w:szCs w:val="6"/>
                <w:color w:val="auto"/>
              </w:rPr>
            </w:pPr>
          </w:p>
        </w:tc>
        <w:tc>
          <w:tcPr>
            <w:tcW w:w="2560" w:type="dxa"/>
            <w:vAlign w:val="bottom"/>
            <w:tcBorders>
              <w:right w:val="single" w:sz="8" w:color="00C1DE"/>
            </w:tcBorders>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23"/>
        </w:trPr>
        <w:tc>
          <w:tcPr>
            <w:tcW w:w="200" w:type="dxa"/>
            <w:vAlign w:val="bottom"/>
            <w:tcBorders>
              <w:left w:val="single" w:sz="8" w:color="00C1DE"/>
            </w:tcBorders>
          </w:tcPr>
          <w:p>
            <w:pPr>
              <w:spacing w:after="0"/>
              <w:rPr>
                <w:sz w:val="10"/>
                <w:szCs w:val="10"/>
                <w:color w:val="auto"/>
              </w:rPr>
            </w:pPr>
          </w:p>
        </w:tc>
        <w:tc>
          <w:tcPr>
            <w:tcW w:w="5240" w:type="dxa"/>
            <w:vAlign w:val="bottom"/>
            <w:tcBorders>
              <w:bottom w:val="single" w:sz="8" w:color="3E3935"/>
            </w:tcBorders>
          </w:tcPr>
          <w:p>
            <w:pPr>
              <w:spacing w:after="0"/>
              <w:rPr>
                <w:sz w:val="10"/>
                <w:szCs w:val="10"/>
                <w:color w:val="auto"/>
              </w:rPr>
            </w:pPr>
          </w:p>
        </w:tc>
        <w:tc>
          <w:tcPr>
            <w:tcW w:w="640" w:type="dxa"/>
            <w:vAlign w:val="bottom"/>
            <w:tcBorders>
              <w:bottom w:val="single" w:sz="8" w:color="3E3935"/>
            </w:tcBorders>
          </w:tcPr>
          <w:p>
            <w:pPr>
              <w:spacing w:after="0"/>
              <w:rPr>
                <w:sz w:val="10"/>
                <w:szCs w:val="10"/>
                <w:color w:val="auto"/>
              </w:rPr>
            </w:pPr>
          </w:p>
        </w:tc>
        <w:tc>
          <w:tcPr>
            <w:tcW w:w="1060" w:type="dxa"/>
            <w:vAlign w:val="bottom"/>
            <w:tcBorders>
              <w:bottom w:val="single" w:sz="8" w:color="3E3935"/>
            </w:tcBorders>
          </w:tcPr>
          <w:p>
            <w:pPr>
              <w:spacing w:after="0"/>
              <w:rPr>
                <w:sz w:val="10"/>
                <w:szCs w:val="10"/>
                <w:color w:val="auto"/>
              </w:rPr>
            </w:pPr>
          </w:p>
        </w:tc>
        <w:tc>
          <w:tcPr>
            <w:tcW w:w="1300" w:type="dxa"/>
            <w:vAlign w:val="bottom"/>
            <w:tcBorders>
              <w:bottom w:val="single" w:sz="8" w:color="3E3935"/>
            </w:tcBorders>
          </w:tcPr>
          <w:p>
            <w:pPr>
              <w:spacing w:after="0"/>
              <w:rPr>
                <w:sz w:val="10"/>
                <w:szCs w:val="10"/>
                <w:color w:val="auto"/>
              </w:rPr>
            </w:pPr>
          </w:p>
        </w:tc>
        <w:tc>
          <w:tcPr>
            <w:tcW w:w="2360" w:type="dxa"/>
            <w:vAlign w:val="bottom"/>
            <w:tcBorders>
              <w:bottom w:val="single" w:sz="8" w:color="3E3935"/>
            </w:tcBorders>
          </w:tcPr>
          <w:p>
            <w:pPr>
              <w:spacing w:after="0"/>
              <w:rPr>
                <w:sz w:val="10"/>
                <w:szCs w:val="10"/>
                <w:color w:val="auto"/>
              </w:rPr>
            </w:pPr>
          </w:p>
        </w:tc>
        <w:tc>
          <w:tcPr>
            <w:tcW w:w="200" w:type="dxa"/>
            <w:vAlign w:val="bottom"/>
            <w:tcBorders>
              <w:right w:val="single" w:sz="8" w:color="00C1DE"/>
            </w:tcBorders>
          </w:tcPr>
          <w:p>
            <w:pPr>
              <w:spacing w:after="0"/>
              <w:rPr>
                <w:sz w:val="10"/>
                <w:szCs w:val="10"/>
                <w:color w:val="auto"/>
              </w:rPr>
            </w:pPr>
          </w:p>
        </w:tc>
        <w:tc>
          <w:tcPr>
            <w:tcW w:w="0" w:type="dxa"/>
            <w:vAlign w:val="bottom"/>
          </w:tcPr>
          <w:p>
            <w:pPr>
              <w:spacing w:after="0"/>
              <w:rPr>
                <w:sz w:val="1"/>
                <w:szCs w:val="1"/>
                <w:color w:val="auto"/>
              </w:rPr>
            </w:pPr>
          </w:p>
        </w:tc>
      </w:tr>
      <w:tr>
        <w:trPr>
          <w:trHeight w:val="322"/>
        </w:trPr>
        <w:tc>
          <w:tcPr>
            <w:tcW w:w="200" w:type="dxa"/>
            <w:vAlign w:val="bottom"/>
            <w:tcBorders>
              <w:left w:val="single" w:sz="8" w:color="00C1DE"/>
            </w:tcBorders>
          </w:tcPr>
          <w:p>
            <w:pPr>
              <w:spacing w:after="0"/>
              <w:rPr>
                <w:sz w:val="24"/>
                <w:szCs w:val="24"/>
                <w:color w:val="auto"/>
              </w:rPr>
            </w:pPr>
          </w:p>
        </w:tc>
        <w:tc>
          <w:tcPr>
            <w:tcW w:w="5240" w:type="dxa"/>
            <w:vAlign w:val="bottom"/>
          </w:tcPr>
          <w:p>
            <w:pPr>
              <w:ind w:left="1260"/>
              <w:spacing w:after="0"/>
              <w:rPr>
                <w:sz w:val="20"/>
                <w:szCs w:val="20"/>
                <w:color w:val="auto"/>
              </w:rPr>
            </w:pPr>
            <w:r>
              <w:rPr>
                <w:rFonts w:ascii="Arial" w:cs="Arial" w:eastAsia="Arial" w:hAnsi="Arial"/>
                <w:sz w:val="16"/>
                <w:szCs w:val="16"/>
                <w:b w:val="1"/>
                <w:bCs w:val="1"/>
                <w:color w:val="0071CE"/>
              </w:rPr>
              <w:t>Thomas M. Schoewe</w:t>
            </w:r>
          </w:p>
        </w:tc>
        <w:tc>
          <w:tcPr>
            <w:tcW w:w="6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560" w:type="dxa"/>
            <w:vAlign w:val="bottom"/>
            <w:tcBorders>
              <w:right w:val="single" w:sz="8" w:color="00C1DE"/>
            </w:tcBorders>
            <w:gridSpan w:val="2"/>
          </w:tcPr>
          <w:p>
            <w:pPr>
              <w:ind w:left="160"/>
              <w:spacing w:after="0"/>
              <w:rPr>
                <w:sz w:val="20"/>
                <w:szCs w:val="20"/>
                <w:color w:val="auto"/>
              </w:rPr>
            </w:pPr>
            <w:r>
              <w:rPr>
                <w:rFonts w:ascii="Arial" w:cs="Arial" w:eastAsia="Arial" w:hAnsi="Arial"/>
                <w:sz w:val="14"/>
                <w:szCs w:val="14"/>
                <w:color w:val="3E3935"/>
              </w:rPr>
              <w:t xml:space="preserve">Audit – </w:t>
            </w:r>
            <w:r>
              <w:rPr>
                <w:rFonts w:ascii="Arial" w:cs="Arial" w:eastAsia="Arial" w:hAnsi="Arial"/>
                <w:sz w:val="14"/>
                <w:szCs w:val="14"/>
                <w:b w:val="1"/>
                <w:bCs w:val="1"/>
                <w:color w:val="00C1DE"/>
              </w:rPr>
              <w:t>Chair</w:t>
            </w:r>
          </w:p>
        </w:tc>
        <w:tc>
          <w:tcPr>
            <w:tcW w:w="0" w:type="dxa"/>
            <w:vAlign w:val="bottom"/>
          </w:tcPr>
          <w:p>
            <w:pPr>
              <w:spacing w:after="0"/>
              <w:rPr>
                <w:sz w:val="1"/>
                <w:szCs w:val="1"/>
                <w:color w:val="auto"/>
              </w:rPr>
            </w:pPr>
          </w:p>
        </w:tc>
      </w:tr>
      <w:tr>
        <w:trPr>
          <w:trHeight w:val="162"/>
        </w:trPr>
        <w:tc>
          <w:tcPr>
            <w:tcW w:w="200" w:type="dxa"/>
            <w:vAlign w:val="bottom"/>
            <w:tcBorders>
              <w:left w:val="single" w:sz="8" w:color="00C1DE"/>
            </w:tcBorders>
          </w:tcPr>
          <w:p>
            <w:pPr>
              <w:spacing w:after="0"/>
              <w:rPr>
                <w:sz w:val="14"/>
                <w:szCs w:val="14"/>
                <w:color w:val="auto"/>
              </w:rPr>
            </w:pPr>
          </w:p>
        </w:tc>
        <w:tc>
          <w:tcPr>
            <w:tcW w:w="5240" w:type="dxa"/>
            <w:vAlign w:val="bottom"/>
          </w:tcPr>
          <w:p>
            <w:pPr>
              <w:ind w:left="1260"/>
              <w:spacing w:after="0"/>
              <w:rPr>
                <w:sz w:val="20"/>
                <w:szCs w:val="20"/>
                <w:color w:val="auto"/>
              </w:rPr>
            </w:pPr>
            <w:r>
              <w:rPr>
                <w:rFonts w:ascii="Arial" w:cs="Arial" w:eastAsia="Arial" w:hAnsi="Arial"/>
                <w:sz w:val="14"/>
                <w:szCs w:val="14"/>
                <w:color w:val="3E3935"/>
              </w:rPr>
              <w:t>Retired Executive Vice President &amp;</w:t>
            </w:r>
          </w:p>
        </w:tc>
        <w:tc>
          <w:tcPr>
            <w:tcW w:w="640" w:type="dxa"/>
            <w:vAlign w:val="bottom"/>
            <w:vMerge w:val="restart"/>
          </w:tcPr>
          <w:p>
            <w:pPr>
              <w:jc w:val="center"/>
              <w:ind w:right="88"/>
              <w:spacing w:after="0"/>
              <w:rPr>
                <w:sz w:val="20"/>
                <w:szCs w:val="20"/>
                <w:color w:val="auto"/>
              </w:rPr>
            </w:pPr>
            <w:r>
              <w:rPr>
                <w:rFonts w:ascii="Arial" w:cs="Arial" w:eastAsia="Arial" w:hAnsi="Arial"/>
                <w:sz w:val="14"/>
                <w:szCs w:val="14"/>
                <w:color w:val="3E3935"/>
              </w:rPr>
              <w:t>70</w:t>
            </w:r>
          </w:p>
        </w:tc>
        <w:tc>
          <w:tcPr>
            <w:tcW w:w="1060" w:type="dxa"/>
            <w:vAlign w:val="bottom"/>
            <w:vMerge w:val="restart"/>
          </w:tcPr>
          <w:p>
            <w:pPr>
              <w:jc w:val="center"/>
              <w:spacing w:after="0"/>
              <w:rPr>
                <w:sz w:val="20"/>
                <w:szCs w:val="20"/>
                <w:color w:val="auto"/>
              </w:rPr>
            </w:pPr>
            <w:r>
              <w:rPr>
                <w:rFonts w:ascii="Arial" w:cs="Arial" w:eastAsia="Arial" w:hAnsi="Arial"/>
                <w:sz w:val="14"/>
                <w:szCs w:val="14"/>
                <w:color w:val="3E3935"/>
              </w:rPr>
              <w:t>2011</w:t>
            </w:r>
          </w:p>
        </w:tc>
        <w:tc>
          <w:tcPr>
            <w:tcW w:w="1300" w:type="dxa"/>
            <w:vAlign w:val="bottom"/>
          </w:tcPr>
          <w:p>
            <w:pPr>
              <w:spacing w:after="0"/>
              <w:rPr>
                <w:sz w:val="14"/>
                <w:szCs w:val="14"/>
                <w:color w:val="auto"/>
              </w:rPr>
            </w:pPr>
          </w:p>
        </w:tc>
        <w:tc>
          <w:tcPr>
            <w:tcW w:w="2560" w:type="dxa"/>
            <w:vAlign w:val="bottom"/>
            <w:tcBorders>
              <w:right w:val="single" w:sz="8" w:color="00C1DE"/>
            </w:tcBorders>
            <w:gridSpan w:val="2"/>
          </w:tcPr>
          <w:p>
            <w:pPr>
              <w:ind w:left="160"/>
              <w:spacing w:after="0"/>
              <w:rPr>
                <w:sz w:val="20"/>
                <w:szCs w:val="20"/>
                <w:color w:val="auto"/>
              </w:rPr>
            </w:pPr>
            <w:r>
              <w:rPr>
                <w:rFonts w:ascii="Arial" w:cs="Arial" w:eastAsia="Arial" w:hAnsi="Arial"/>
                <w:sz w:val="14"/>
                <w:szCs w:val="14"/>
                <w:color w:val="3E3935"/>
              </w:rPr>
              <w:t>Executive</w:t>
            </w:r>
          </w:p>
        </w:tc>
        <w:tc>
          <w:tcPr>
            <w:tcW w:w="0" w:type="dxa"/>
            <w:vAlign w:val="bottom"/>
          </w:tcPr>
          <w:p>
            <w:pPr>
              <w:spacing w:after="0"/>
              <w:rPr>
                <w:sz w:val="1"/>
                <w:szCs w:val="1"/>
                <w:color w:val="auto"/>
              </w:rPr>
            </w:pPr>
          </w:p>
        </w:tc>
      </w:tr>
      <w:tr>
        <w:trPr>
          <w:trHeight w:val="109"/>
        </w:trPr>
        <w:tc>
          <w:tcPr>
            <w:tcW w:w="200" w:type="dxa"/>
            <w:vAlign w:val="bottom"/>
            <w:tcBorders>
              <w:left w:val="single" w:sz="8" w:color="00C1DE"/>
            </w:tcBorders>
          </w:tcPr>
          <w:p>
            <w:pPr>
              <w:spacing w:after="0"/>
              <w:rPr>
                <w:sz w:val="9"/>
                <w:szCs w:val="9"/>
                <w:color w:val="auto"/>
              </w:rPr>
            </w:pPr>
          </w:p>
        </w:tc>
        <w:tc>
          <w:tcPr>
            <w:tcW w:w="5240" w:type="dxa"/>
            <w:vAlign w:val="bottom"/>
            <w:vMerge w:val="restart"/>
          </w:tcPr>
          <w:p>
            <w:pPr>
              <w:ind w:left="1340"/>
              <w:spacing w:after="0"/>
              <w:rPr>
                <w:sz w:val="20"/>
                <w:szCs w:val="20"/>
                <w:color w:val="auto"/>
              </w:rPr>
            </w:pPr>
            <w:r>
              <w:rPr>
                <w:rFonts w:ascii="Arial" w:cs="Arial" w:eastAsia="Arial" w:hAnsi="Arial"/>
                <w:sz w:val="14"/>
                <w:szCs w:val="14"/>
                <w:color w:val="3E3935"/>
              </w:rPr>
              <w:t>Chief Financial Officer</w:t>
            </w:r>
          </w:p>
        </w:tc>
        <w:tc>
          <w:tcPr>
            <w:tcW w:w="640" w:type="dxa"/>
            <w:vAlign w:val="bottom"/>
            <w:vMerge w:val="continue"/>
          </w:tcPr>
          <w:p>
            <w:pPr>
              <w:spacing w:after="0"/>
              <w:rPr>
                <w:sz w:val="9"/>
                <w:szCs w:val="9"/>
                <w:color w:val="auto"/>
              </w:rPr>
            </w:pPr>
          </w:p>
        </w:tc>
        <w:tc>
          <w:tcPr>
            <w:tcW w:w="1060" w:type="dxa"/>
            <w:vAlign w:val="bottom"/>
            <w:vMerge w:val="continue"/>
          </w:tcPr>
          <w:p>
            <w:pPr>
              <w:spacing w:after="0"/>
              <w:rPr>
                <w:sz w:val="9"/>
                <w:szCs w:val="9"/>
                <w:color w:val="auto"/>
              </w:rPr>
            </w:pPr>
          </w:p>
        </w:tc>
        <w:tc>
          <w:tcPr>
            <w:tcW w:w="1300" w:type="dxa"/>
            <w:vAlign w:val="bottom"/>
          </w:tcPr>
          <w:p>
            <w:pPr>
              <w:spacing w:after="0"/>
              <w:rPr>
                <w:sz w:val="9"/>
                <w:szCs w:val="9"/>
                <w:color w:val="auto"/>
              </w:rPr>
            </w:pPr>
          </w:p>
        </w:tc>
        <w:tc>
          <w:tcPr>
            <w:tcW w:w="2560" w:type="dxa"/>
            <w:vAlign w:val="bottom"/>
            <w:tcBorders>
              <w:right w:val="single" w:sz="8" w:color="00C1DE"/>
            </w:tcBorders>
            <w:gridSpan w:val="2"/>
            <w:vMerge w:val="restart"/>
          </w:tcPr>
          <w:p>
            <w:pPr>
              <w:ind w:left="160"/>
              <w:spacing w:after="0"/>
              <w:rPr>
                <w:sz w:val="20"/>
                <w:szCs w:val="20"/>
                <w:color w:val="auto"/>
              </w:rPr>
            </w:pPr>
            <w:r>
              <w:rPr>
                <w:rFonts w:ascii="Arial" w:cs="Arial" w:eastAsia="Arial" w:hAnsi="Arial"/>
                <w:sz w:val="14"/>
                <w:szCs w:val="14"/>
                <w:color w:val="3E3935"/>
              </w:rPr>
              <w:t>Finance</w:t>
            </w:r>
          </w:p>
        </w:tc>
        <w:tc>
          <w:tcPr>
            <w:tcW w:w="0" w:type="dxa"/>
            <w:vAlign w:val="bottom"/>
          </w:tcPr>
          <w:p>
            <w:pPr>
              <w:spacing w:after="0"/>
              <w:rPr>
                <w:sz w:val="1"/>
                <w:szCs w:val="1"/>
                <w:color w:val="auto"/>
              </w:rPr>
            </w:pPr>
          </w:p>
        </w:tc>
      </w:tr>
      <w:tr>
        <w:trPr>
          <w:trHeight w:val="53"/>
        </w:trPr>
        <w:tc>
          <w:tcPr>
            <w:tcW w:w="200" w:type="dxa"/>
            <w:vAlign w:val="bottom"/>
            <w:tcBorders>
              <w:left w:val="single" w:sz="8" w:color="00C1DE"/>
            </w:tcBorders>
          </w:tcPr>
          <w:p>
            <w:pPr>
              <w:spacing w:after="0"/>
              <w:rPr>
                <w:sz w:val="4"/>
                <w:szCs w:val="4"/>
                <w:color w:val="auto"/>
              </w:rPr>
            </w:pPr>
          </w:p>
        </w:tc>
        <w:tc>
          <w:tcPr>
            <w:tcW w:w="5240" w:type="dxa"/>
            <w:vAlign w:val="bottom"/>
            <w:vMerge w:val="continue"/>
          </w:tcPr>
          <w:p>
            <w:pPr>
              <w:spacing w:after="0"/>
              <w:rPr>
                <w:sz w:val="4"/>
                <w:szCs w:val="4"/>
                <w:color w:val="auto"/>
              </w:rPr>
            </w:pPr>
          </w:p>
        </w:tc>
        <w:tc>
          <w:tcPr>
            <w:tcW w:w="64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300" w:type="dxa"/>
            <w:vAlign w:val="bottom"/>
          </w:tcPr>
          <w:p>
            <w:pPr>
              <w:spacing w:after="0"/>
              <w:rPr>
                <w:sz w:val="4"/>
                <w:szCs w:val="4"/>
                <w:color w:val="auto"/>
              </w:rPr>
            </w:pPr>
          </w:p>
        </w:tc>
        <w:tc>
          <w:tcPr>
            <w:tcW w:w="2560" w:type="dxa"/>
            <w:vAlign w:val="bottom"/>
            <w:tcBorders>
              <w:right w:val="single" w:sz="8" w:color="00C1DE"/>
            </w:tcBorders>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4"/>
        </w:trPr>
        <w:tc>
          <w:tcPr>
            <w:tcW w:w="200" w:type="dxa"/>
            <w:vAlign w:val="bottom"/>
            <w:tcBorders>
              <w:left w:val="single" w:sz="8" w:color="00C1DE"/>
            </w:tcBorders>
          </w:tcPr>
          <w:p>
            <w:pPr>
              <w:spacing w:after="0"/>
              <w:rPr>
                <w:sz w:val="17"/>
                <w:szCs w:val="17"/>
                <w:color w:val="auto"/>
              </w:rPr>
            </w:pPr>
          </w:p>
        </w:tc>
        <w:tc>
          <w:tcPr>
            <w:tcW w:w="5240" w:type="dxa"/>
            <w:vAlign w:val="bottom"/>
          </w:tcPr>
          <w:p>
            <w:pPr>
              <w:ind w:left="1260"/>
              <w:spacing w:after="0"/>
              <w:rPr>
                <w:sz w:val="20"/>
                <w:szCs w:val="20"/>
                <w:color w:val="auto"/>
              </w:rPr>
            </w:pPr>
            <w:r>
              <w:rPr>
                <w:rFonts w:ascii="Arial" w:cs="Arial" w:eastAsia="Arial" w:hAnsi="Arial"/>
                <w:sz w:val="14"/>
                <w:szCs w:val="14"/>
                <w:color w:val="3E3935"/>
              </w:rPr>
              <w:t>Wal-Mart Stores, Inc.</w:t>
            </w:r>
          </w:p>
        </w:tc>
        <w:tc>
          <w:tcPr>
            <w:tcW w:w="6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560" w:type="dxa"/>
            <w:vAlign w:val="bottom"/>
            <w:tcBorders>
              <w:right w:val="single" w:sz="8" w:color="00C1DE"/>
            </w:tcBorders>
            <w:gridSpan w:val="2"/>
          </w:tcPr>
          <w:p>
            <w:pPr>
              <w:ind w:left="160"/>
              <w:spacing w:after="0"/>
              <w:rPr>
                <w:sz w:val="20"/>
                <w:szCs w:val="20"/>
                <w:color w:val="auto"/>
              </w:rPr>
            </w:pPr>
            <w:r>
              <w:rPr>
                <w:rFonts w:ascii="Arial" w:cs="Arial" w:eastAsia="Arial" w:hAnsi="Arial"/>
                <w:sz w:val="14"/>
                <w:szCs w:val="14"/>
                <w:color w:val="3E3935"/>
              </w:rPr>
              <w:t>Risk and Cybersecurity</w:t>
            </w:r>
          </w:p>
        </w:tc>
        <w:tc>
          <w:tcPr>
            <w:tcW w:w="0" w:type="dxa"/>
            <w:vAlign w:val="bottom"/>
          </w:tcPr>
          <w:p>
            <w:pPr>
              <w:spacing w:after="0"/>
              <w:rPr>
                <w:sz w:val="1"/>
                <w:szCs w:val="1"/>
                <w:color w:val="auto"/>
              </w:rPr>
            </w:pPr>
          </w:p>
        </w:tc>
      </w:tr>
      <w:tr>
        <w:trPr>
          <w:trHeight w:val="116"/>
        </w:trPr>
        <w:tc>
          <w:tcPr>
            <w:tcW w:w="200" w:type="dxa"/>
            <w:vAlign w:val="bottom"/>
            <w:tcBorders>
              <w:left w:val="single" w:sz="8" w:color="00C1DE"/>
            </w:tcBorders>
          </w:tcPr>
          <w:p>
            <w:pPr>
              <w:spacing w:after="0"/>
              <w:rPr>
                <w:sz w:val="10"/>
                <w:szCs w:val="10"/>
                <w:color w:val="auto"/>
              </w:rPr>
            </w:pPr>
          </w:p>
        </w:tc>
        <w:tc>
          <w:tcPr>
            <w:tcW w:w="5240" w:type="dxa"/>
            <w:vAlign w:val="bottom"/>
            <w:tcBorders>
              <w:bottom w:val="single" w:sz="8" w:color="3E3935"/>
            </w:tcBorders>
          </w:tcPr>
          <w:p>
            <w:pPr>
              <w:spacing w:after="0"/>
              <w:rPr>
                <w:sz w:val="10"/>
                <w:szCs w:val="10"/>
                <w:color w:val="auto"/>
              </w:rPr>
            </w:pPr>
          </w:p>
        </w:tc>
        <w:tc>
          <w:tcPr>
            <w:tcW w:w="640" w:type="dxa"/>
            <w:vAlign w:val="bottom"/>
            <w:tcBorders>
              <w:bottom w:val="single" w:sz="8" w:color="3E3935"/>
            </w:tcBorders>
          </w:tcPr>
          <w:p>
            <w:pPr>
              <w:spacing w:after="0"/>
              <w:rPr>
                <w:sz w:val="10"/>
                <w:szCs w:val="10"/>
                <w:color w:val="auto"/>
              </w:rPr>
            </w:pPr>
          </w:p>
        </w:tc>
        <w:tc>
          <w:tcPr>
            <w:tcW w:w="1060" w:type="dxa"/>
            <w:vAlign w:val="bottom"/>
            <w:tcBorders>
              <w:bottom w:val="single" w:sz="8" w:color="3E3935"/>
            </w:tcBorders>
          </w:tcPr>
          <w:p>
            <w:pPr>
              <w:spacing w:after="0"/>
              <w:rPr>
                <w:sz w:val="10"/>
                <w:szCs w:val="10"/>
                <w:color w:val="auto"/>
              </w:rPr>
            </w:pPr>
          </w:p>
        </w:tc>
        <w:tc>
          <w:tcPr>
            <w:tcW w:w="1300" w:type="dxa"/>
            <w:vAlign w:val="bottom"/>
            <w:tcBorders>
              <w:bottom w:val="single" w:sz="8" w:color="3E3935"/>
            </w:tcBorders>
          </w:tcPr>
          <w:p>
            <w:pPr>
              <w:spacing w:after="0"/>
              <w:rPr>
                <w:sz w:val="10"/>
                <w:szCs w:val="10"/>
                <w:color w:val="auto"/>
              </w:rPr>
            </w:pPr>
          </w:p>
        </w:tc>
        <w:tc>
          <w:tcPr>
            <w:tcW w:w="2360" w:type="dxa"/>
            <w:vAlign w:val="bottom"/>
            <w:tcBorders>
              <w:bottom w:val="single" w:sz="8" w:color="3E3935"/>
            </w:tcBorders>
          </w:tcPr>
          <w:p>
            <w:pPr>
              <w:spacing w:after="0"/>
              <w:rPr>
                <w:sz w:val="10"/>
                <w:szCs w:val="10"/>
                <w:color w:val="auto"/>
              </w:rPr>
            </w:pPr>
          </w:p>
        </w:tc>
        <w:tc>
          <w:tcPr>
            <w:tcW w:w="200" w:type="dxa"/>
            <w:vAlign w:val="bottom"/>
            <w:tcBorders>
              <w:right w:val="single" w:sz="8" w:color="00C1DE"/>
            </w:tcBorders>
          </w:tcPr>
          <w:p>
            <w:pPr>
              <w:spacing w:after="0"/>
              <w:rPr>
                <w:sz w:val="10"/>
                <w:szCs w:val="10"/>
                <w:color w:val="auto"/>
              </w:rPr>
            </w:pPr>
          </w:p>
        </w:tc>
        <w:tc>
          <w:tcPr>
            <w:tcW w:w="0" w:type="dxa"/>
            <w:vAlign w:val="bottom"/>
          </w:tcPr>
          <w:p>
            <w:pPr>
              <w:spacing w:after="0"/>
              <w:rPr>
                <w:sz w:val="1"/>
                <w:szCs w:val="1"/>
                <w:color w:val="auto"/>
              </w:rPr>
            </w:pPr>
          </w:p>
        </w:tc>
      </w:tr>
      <w:tr>
        <w:trPr>
          <w:trHeight w:val="416"/>
        </w:trPr>
        <w:tc>
          <w:tcPr>
            <w:tcW w:w="200" w:type="dxa"/>
            <w:vAlign w:val="bottom"/>
            <w:tcBorders>
              <w:left w:val="single" w:sz="8" w:color="00C1DE"/>
            </w:tcBorders>
          </w:tcPr>
          <w:p>
            <w:pPr>
              <w:spacing w:after="0"/>
              <w:rPr>
                <w:sz w:val="24"/>
                <w:szCs w:val="24"/>
                <w:color w:val="auto"/>
              </w:rPr>
            </w:pPr>
          </w:p>
        </w:tc>
        <w:tc>
          <w:tcPr>
            <w:tcW w:w="5240" w:type="dxa"/>
            <w:vAlign w:val="bottom"/>
          </w:tcPr>
          <w:p>
            <w:pPr>
              <w:ind w:left="1260"/>
              <w:spacing w:after="0"/>
              <w:rPr>
                <w:sz w:val="20"/>
                <w:szCs w:val="20"/>
                <w:color w:val="auto"/>
              </w:rPr>
            </w:pPr>
            <w:r>
              <w:rPr>
                <w:rFonts w:ascii="Arial" w:cs="Arial" w:eastAsia="Arial" w:hAnsi="Arial"/>
                <w:sz w:val="16"/>
                <w:szCs w:val="16"/>
                <w:b w:val="1"/>
                <w:bCs w:val="1"/>
                <w:color w:val="0071CE"/>
              </w:rPr>
              <w:t>Mark A. Tatum</w:t>
            </w:r>
          </w:p>
        </w:tc>
        <w:tc>
          <w:tcPr>
            <w:tcW w:w="640" w:type="dxa"/>
            <w:vAlign w:val="bottom"/>
            <w:vMerge w:val="restart"/>
          </w:tcPr>
          <w:p>
            <w:pPr>
              <w:jc w:val="center"/>
              <w:ind w:right="88"/>
              <w:spacing w:after="0"/>
              <w:rPr>
                <w:sz w:val="20"/>
                <w:szCs w:val="20"/>
                <w:color w:val="auto"/>
              </w:rPr>
            </w:pPr>
            <w:r>
              <w:rPr>
                <w:rFonts w:ascii="Arial" w:cs="Arial" w:eastAsia="Arial" w:hAnsi="Arial"/>
                <w:sz w:val="14"/>
                <w:szCs w:val="14"/>
                <w:color w:val="3E3935"/>
              </w:rPr>
              <w:t>53</w:t>
            </w:r>
          </w:p>
        </w:tc>
        <w:tc>
          <w:tcPr>
            <w:tcW w:w="1060" w:type="dxa"/>
            <w:vAlign w:val="bottom"/>
            <w:vMerge w:val="restart"/>
          </w:tcPr>
          <w:p>
            <w:pPr>
              <w:jc w:val="center"/>
              <w:spacing w:after="0"/>
              <w:rPr>
                <w:sz w:val="20"/>
                <w:szCs w:val="20"/>
                <w:color w:val="auto"/>
              </w:rPr>
            </w:pPr>
            <w:r>
              <w:rPr>
                <w:rFonts w:ascii="Arial" w:cs="Arial" w:eastAsia="Arial" w:hAnsi="Arial"/>
                <w:sz w:val="14"/>
                <w:szCs w:val="14"/>
                <w:color w:val="3E3935"/>
              </w:rPr>
              <w:t>2021</w:t>
            </w:r>
          </w:p>
        </w:tc>
        <w:tc>
          <w:tcPr>
            <w:tcW w:w="1300" w:type="dxa"/>
            <w:vAlign w:val="bottom"/>
          </w:tcPr>
          <w:p>
            <w:pPr>
              <w:spacing w:after="0"/>
              <w:rPr>
                <w:sz w:val="24"/>
                <w:szCs w:val="24"/>
                <w:color w:val="auto"/>
              </w:rPr>
            </w:pPr>
          </w:p>
        </w:tc>
        <w:tc>
          <w:tcPr>
            <w:tcW w:w="2560" w:type="dxa"/>
            <w:vAlign w:val="bottom"/>
            <w:tcBorders>
              <w:right w:val="single" w:sz="8" w:color="00C1DE"/>
            </w:tcBorders>
            <w:gridSpan w:val="2"/>
            <w:vMerge w:val="restart"/>
          </w:tcPr>
          <w:p>
            <w:pPr>
              <w:ind w:left="160"/>
              <w:spacing w:after="0"/>
              <w:rPr>
                <w:sz w:val="20"/>
                <w:szCs w:val="20"/>
                <w:color w:val="auto"/>
              </w:rPr>
            </w:pPr>
            <w:r>
              <w:rPr>
                <w:rFonts w:ascii="Arial" w:cs="Arial" w:eastAsia="Arial" w:hAnsi="Arial"/>
                <w:sz w:val="14"/>
                <w:szCs w:val="14"/>
                <w:color w:val="3E3935"/>
              </w:rPr>
              <w:t>Audit</w:t>
            </w:r>
          </w:p>
        </w:tc>
        <w:tc>
          <w:tcPr>
            <w:tcW w:w="0" w:type="dxa"/>
            <w:vAlign w:val="bottom"/>
          </w:tcPr>
          <w:p>
            <w:pPr>
              <w:spacing w:after="0"/>
              <w:rPr>
                <w:sz w:val="1"/>
                <w:szCs w:val="1"/>
                <w:color w:val="auto"/>
              </w:rPr>
            </w:pPr>
          </w:p>
        </w:tc>
      </w:tr>
      <w:tr>
        <w:trPr>
          <w:trHeight w:val="68"/>
        </w:trPr>
        <w:tc>
          <w:tcPr>
            <w:tcW w:w="200" w:type="dxa"/>
            <w:vAlign w:val="bottom"/>
            <w:tcBorders>
              <w:left w:val="single" w:sz="8" w:color="00C1DE"/>
            </w:tcBorders>
          </w:tcPr>
          <w:p>
            <w:pPr>
              <w:spacing w:after="0"/>
              <w:rPr>
                <w:sz w:val="5"/>
                <w:szCs w:val="5"/>
                <w:color w:val="auto"/>
              </w:rPr>
            </w:pPr>
          </w:p>
        </w:tc>
        <w:tc>
          <w:tcPr>
            <w:tcW w:w="5240" w:type="dxa"/>
            <w:vAlign w:val="bottom"/>
            <w:vMerge w:val="restart"/>
          </w:tcPr>
          <w:p>
            <w:pPr>
              <w:ind w:left="1260"/>
              <w:spacing w:after="0"/>
              <w:rPr>
                <w:sz w:val="20"/>
                <w:szCs w:val="20"/>
                <w:color w:val="auto"/>
              </w:rPr>
            </w:pPr>
            <w:r>
              <w:rPr>
                <w:rFonts w:ascii="Arial" w:cs="Arial" w:eastAsia="Arial" w:hAnsi="Arial"/>
                <w:sz w:val="14"/>
                <w:szCs w:val="14"/>
                <w:color w:val="3E3935"/>
              </w:rPr>
              <w:t>Deputy Commissioner &amp; Chief Operating  Officer</w:t>
            </w:r>
          </w:p>
        </w:tc>
        <w:tc>
          <w:tcPr>
            <w:tcW w:w="640" w:type="dxa"/>
            <w:vAlign w:val="bottom"/>
            <w:vMerge w:val="continue"/>
          </w:tcPr>
          <w:p>
            <w:pPr>
              <w:spacing w:after="0"/>
              <w:rPr>
                <w:sz w:val="5"/>
                <w:szCs w:val="5"/>
                <w:color w:val="auto"/>
              </w:rPr>
            </w:pPr>
          </w:p>
        </w:tc>
        <w:tc>
          <w:tcPr>
            <w:tcW w:w="1060" w:type="dxa"/>
            <w:vAlign w:val="bottom"/>
            <w:vMerge w:val="continue"/>
          </w:tcPr>
          <w:p>
            <w:pPr>
              <w:spacing w:after="0"/>
              <w:rPr>
                <w:sz w:val="5"/>
                <w:szCs w:val="5"/>
                <w:color w:val="auto"/>
              </w:rPr>
            </w:pPr>
          </w:p>
        </w:tc>
        <w:tc>
          <w:tcPr>
            <w:tcW w:w="1300" w:type="dxa"/>
            <w:vAlign w:val="bottom"/>
          </w:tcPr>
          <w:p>
            <w:pPr>
              <w:spacing w:after="0"/>
              <w:rPr>
                <w:sz w:val="5"/>
                <w:szCs w:val="5"/>
                <w:color w:val="auto"/>
              </w:rPr>
            </w:pPr>
          </w:p>
        </w:tc>
        <w:tc>
          <w:tcPr>
            <w:tcW w:w="2560" w:type="dxa"/>
            <w:vAlign w:val="bottom"/>
            <w:tcBorders>
              <w:right w:val="single" w:sz="8" w:color="00C1DE"/>
            </w:tcBorders>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4"/>
        </w:trPr>
        <w:tc>
          <w:tcPr>
            <w:tcW w:w="200" w:type="dxa"/>
            <w:vAlign w:val="bottom"/>
            <w:tcBorders>
              <w:left w:val="single" w:sz="8" w:color="00C1DE"/>
            </w:tcBorders>
          </w:tcPr>
          <w:p>
            <w:pPr>
              <w:spacing w:after="0"/>
              <w:rPr>
                <w:sz w:val="8"/>
                <w:szCs w:val="8"/>
                <w:color w:val="auto"/>
              </w:rPr>
            </w:pPr>
          </w:p>
        </w:tc>
        <w:tc>
          <w:tcPr>
            <w:tcW w:w="5240" w:type="dxa"/>
            <w:vAlign w:val="bottom"/>
            <w:vMerge w:val="continue"/>
          </w:tcPr>
          <w:p>
            <w:pPr>
              <w:spacing w:after="0"/>
              <w:rPr>
                <w:sz w:val="8"/>
                <w:szCs w:val="8"/>
                <w:color w:val="auto"/>
              </w:rPr>
            </w:pPr>
          </w:p>
        </w:tc>
        <w:tc>
          <w:tcPr>
            <w:tcW w:w="640" w:type="dxa"/>
            <w:vAlign w:val="bottom"/>
            <w:vMerge w:val="continue"/>
          </w:tcPr>
          <w:p>
            <w:pPr>
              <w:spacing w:after="0"/>
              <w:rPr>
                <w:sz w:val="8"/>
                <w:szCs w:val="8"/>
                <w:color w:val="auto"/>
              </w:rPr>
            </w:pPr>
          </w:p>
        </w:tc>
        <w:tc>
          <w:tcPr>
            <w:tcW w:w="1060" w:type="dxa"/>
            <w:vAlign w:val="bottom"/>
            <w:vMerge w:val="continue"/>
          </w:tcPr>
          <w:p>
            <w:pPr>
              <w:spacing w:after="0"/>
              <w:rPr>
                <w:sz w:val="8"/>
                <w:szCs w:val="8"/>
                <w:color w:val="auto"/>
              </w:rPr>
            </w:pPr>
          </w:p>
        </w:tc>
        <w:tc>
          <w:tcPr>
            <w:tcW w:w="1300" w:type="dxa"/>
            <w:vAlign w:val="bottom"/>
          </w:tcPr>
          <w:p>
            <w:pPr>
              <w:spacing w:after="0"/>
              <w:rPr>
                <w:sz w:val="8"/>
                <w:szCs w:val="8"/>
                <w:color w:val="auto"/>
              </w:rPr>
            </w:pPr>
          </w:p>
        </w:tc>
        <w:tc>
          <w:tcPr>
            <w:tcW w:w="2560" w:type="dxa"/>
            <w:vAlign w:val="bottom"/>
            <w:tcBorders>
              <w:right w:val="single" w:sz="8" w:color="00C1DE"/>
            </w:tcBorders>
            <w:gridSpan w:val="2"/>
            <w:vMerge w:val="restart"/>
          </w:tcPr>
          <w:p>
            <w:pPr>
              <w:ind w:left="160"/>
              <w:spacing w:after="0"/>
              <w:rPr>
                <w:sz w:val="20"/>
                <w:szCs w:val="20"/>
                <w:color w:val="auto"/>
              </w:rPr>
            </w:pPr>
            <w:r>
              <w:rPr>
                <w:rFonts w:ascii="Arial" w:cs="Arial" w:eastAsia="Arial" w:hAnsi="Arial"/>
                <w:sz w:val="14"/>
                <w:szCs w:val="14"/>
                <w:color w:val="3E3935"/>
              </w:rPr>
              <w:t>Governance</w:t>
            </w:r>
          </w:p>
        </w:tc>
        <w:tc>
          <w:tcPr>
            <w:tcW w:w="0" w:type="dxa"/>
            <w:vAlign w:val="bottom"/>
          </w:tcPr>
          <w:p>
            <w:pPr>
              <w:spacing w:after="0"/>
              <w:rPr>
                <w:sz w:val="1"/>
                <w:szCs w:val="1"/>
                <w:color w:val="auto"/>
              </w:rPr>
            </w:pPr>
          </w:p>
        </w:tc>
      </w:tr>
      <w:tr>
        <w:trPr>
          <w:trHeight w:val="96"/>
        </w:trPr>
        <w:tc>
          <w:tcPr>
            <w:tcW w:w="200" w:type="dxa"/>
            <w:vAlign w:val="bottom"/>
            <w:tcBorders>
              <w:left w:val="single" w:sz="8" w:color="00C1DE"/>
            </w:tcBorders>
          </w:tcPr>
          <w:p>
            <w:pPr>
              <w:spacing w:after="0"/>
              <w:rPr>
                <w:sz w:val="8"/>
                <w:szCs w:val="8"/>
                <w:color w:val="auto"/>
              </w:rPr>
            </w:pPr>
          </w:p>
        </w:tc>
        <w:tc>
          <w:tcPr>
            <w:tcW w:w="5240" w:type="dxa"/>
            <w:vAlign w:val="bottom"/>
            <w:vMerge w:val="restart"/>
          </w:tcPr>
          <w:p>
            <w:pPr>
              <w:ind w:left="1260"/>
              <w:spacing w:after="0"/>
              <w:rPr>
                <w:sz w:val="20"/>
                <w:szCs w:val="20"/>
                <w:color w:val="auto"/>
              </w:rPr>
            </w:pPr>
            <w:r>
              <w:rPr>
                <w:rFonts w:ascii="Arial" w:cs="Arial" w:eastAsia="Arial" w:hAnsi="Arial"/>
                <w:sz w:val="14"/>
                <w:szCs w:val="14"/>
                <w:color w:val="3E3935"/>
              </w:rPr>
              <w:t>National Basketball Association</w:t>
            </w:r>
          </w:p>
        </w:tc>
        <w:tc>
          <w:tcPr>
            <w:tcW w:w="6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300" w:type="dxa"/>
            <w:vAlign w:val="bottom"/>
          </w:tcPr>
          <w:p>
            <w:pPr>
              <w:spacing w:after="0"/>
              <w:rPr>
                <w:sz w:val="8"/>
                <w:szCs w:val="8"/>
                <w:color w:val="auto"/>
              </w:rPr>
            </w:pPr>
          </w:p>
        </w:tc>
        <w:tc>
          <w:tcPr>
            <w:tcW w:w="2560" w:type="dxa"/>
            <w:vAlign w:val="bottom"/>
            <w:tcBorders>
              <w:right w:val="single" w:sz="8" w:color="00C1DE"/>
            </w:tcBorders>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0" w:type="dxa"/>
            <w:vAlign w:val="bottom"/>
            <w:tcBorders>
              <w:left w:val="single" w:sz="8" w:color="00C1DE"/>
            </w:tcBorders>
          </w:tcPr>
          <w:p>
            <w:pPr>
              <w:spacing w:after="0"/>
              <w:rPr>
                <w:sz w:val="8"/>
                <w:szCs w:val="8"/>
                <w:color w:val="auto"/>
              </w:rPr>
            </w:pPr>
          </w:p>
        </w:tc>
        <w:tc>
          <w:tcPr>
            <w:tcW w:w="5240" w:type="dxa"/>
            <w:vAlign w:val="bottom"/>
            <w:vMerge w:val="continue"/>
          </w:tcPr>
          <w:p>
            <w:pPr>
              <w:spacing w:after="0"/>
              <w:rPr>
                <w:sz w:val="8"/>
                <w:szCs w:val="8"/>
                <w:color w:val="auto"/>
              </w:rPr>
            </w:pPr>
          </w:p>
        </w:tc>
        <w:tc>
          <w:tcPr>
            <w:tcW w:w="6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300" w:type="dxa"/>
            <w:vAlign w:val="bottom"/>
          </w:tcPr>
          <w:p>
            <w:pPr>
              <w:spacing w:after="0"/>
              <w:rPr>
                <w:sz w:val="8"/>
                <w:szCs w:val="8"/>
                <w:color w:val="auto"/>
              </w:rPr>
            </w:pPr>
          </w:p>
        </w:tc>
        <w:tc>
          <w:tcPr>
            <w:tcW w:w="2360" w:type="dxa"/>
            <w:vAlign w:val="bottom"/>
          </w:tcPr>
          <w:p>
            <w:pPr>
              <w:spacing w:after="0"/>
              <w:rPr>
                <w:sz w:val="8"/>
                <w:szCs w:val="8"/>
                <w:color w:val="auto"/>
              </w:rPr>
            </w:pPr>
          </w:p>
        </w:tc>
        <w:tc>
          <w:tcPr>
            <w:tcW w:w="200" w:type="dxa"/>
            <w:vAlign w:val="bottom"/>
            <w:tcBorders>
              <w:right w:val="single" w:sz="8" w:color="00C1DE"/>
            </w:tcBorders>
          </w:tcPr>
          <w:p>
            <w:pPr>
              <w:spacing w:after="0"/>
              <w:rPr>
                <w:sz w:val="8"/>
                <w:szCs w:val="8"/>
                <w:color w:val="auto"/>
              </w:rPr>
            </w:pPr>
          </w:p>
        </w:tc>
        <w:tc>
          <w:tcPr>
            <w:tcW w:w="0" w:type="dxa"/>
            <w:vAlign w:val="bottom"/>
          </w:tcPr>
          <w:p>
            <w:pPr>
              <w:spacing w:after="0"/>
              <w:rPr>
                <w:sz w:val="1"/>
                <w:szCs w:val="1"/>
                <w:color w:val="auto"/>
              </w:rPr>
            </w:pPr>
          </w:p>
        </w:tc>
      </w:tr>
      <w:tr>
        <w:trPr>
          <w:trHeight w:val="197"/>
        </w:trPr>
        <w:tc>
          <w:tcPr>
            <w:tcW w:w="200" w:type="dxa"/>
            <w:vAlign w:val="bottom"/>
            <w:tcBorders>
              <w:left w:val="single" w:sz="8" w:color="00C1DE"/>
            </w:tcBorders>
          </w:tcPr>
          <w:p>
            <w:pPr>
              <w:spacing w:after="0"/>
              <w:rPr>
                <w:sz w:val="17"/>
                <w:szCs w:val="17"/>
                <w:color w:val="auto"/>
              </w:rPr>
            </w:pPr>
          </w:p>
        </w:tc>
        <w:tc>
          <w:tcPr>
            <w:tcW w:w="5240" w:type="dxa"/>
            <w:vAlign w:val="bottom"/>
            <w:tcBorders>
              <w:bottom w:val="single" w:sz="8" w:color="3E3935"/>
            </w:tcBorders>
          </w:tcPr>
          <w:p>
            <w:pPr>
              <w:spacing w:after="0"/>
              <w:rPr>
                <w:sz w:val="17"/>
                <w:szCs w:val="17"/>
                <w:color w:val="auto"/>
              </w:rPr>
            </w:pPr>
          </w:p>
        </w:tc>
        <w:tc>
          <w:tcPr>
            <w:tcW w:w="640" w:type="dxa"/>
            <w:vAlign w:val="bottom"/>
            <w:tcBorders>
              <w:bottom w:val="single" w:sz="8" w:color="3E3935"/>
            </w:tcBorders>
          </w:tcPr>
          <w:p>
            <w:pPr>
              <w:spacing w:after="0"/>
              <w:rPr>
                <w:sz w:val="17"/>
                <w:szCs w:val="17"/>
                <w:color w:val="auto"/>
              </w:rPr>
            </w:pPr>
          </w:p>
        </w:tc>
        <w:tc>
          <w:tcPr>
            <w:tcW w:w="1060" w:type="dxa"/>
            <w:vAlign w:val="bottom"/>
            <w:tcBorders>
              <w:bottom w:val="single" w:sz="8" w:color="3E3935"/>
            </w:tcBorders>
          </w:tcPr>
          <w:p>
            <w:pPr>
              <w:spacing w:after="0"/>
              <w:rPr>
                <w:sz w:val="17"/>
                <w:szCs w:val="17"/>
                <w:color w:val="auto"/>
              </w:rPr>
            </w:pPr>
          </w:p>
        </w:tc>
        <w:tc>
          <w:tcPr>
            <w:tcW w:w="1300" w:type="dxa"/>
            <w:vAlign w:val="bottom"/>
            <w:tcBorders>
              <w:bottom w:val="single" w:sz="8" w:color="3E3935"/>
            </w:tcBorders>
          </w:tcPr>
          <w:p>
            <w:pPr>
              <w:spacing w:after="0"/>
              <w:rPr>
                <w:sz w:val="17"/>
                <w:szCs w:val="17"/>
                <w:color w:val="auto"/>
              </w:rPr>
            </w:pPr>
          </w:p>
        </w:tc>
        <w:tc>
          <w:tcPr>
            <w:tcW w:w="2360" w:type="dxa"/>
            <w:vAlign w:val="bottom"/>
            <w:tcBorders>
              <w:bottom w:val="single" w:sz="8" w:color="3E3935"/>
            </w:tcBorders>
          </w:tcPr>
          <w:p>
            <w:pPr>
              <w:spacing w:after="0"/>
              <w:rPr>
                <w:sz w:val="17"/>
                <w:szCs w:val="17"/>
                <w:color w:val="auto"/>
              </w:rPr>
            </w:pPr>
          </w:p>
        </w:tc>
        <w:tc>
          <w:tcPr>
            <w:tcW w:w="200" w:type="dxa"/>
            <w:vAlign w:val="bottom"/>
            <w:tcBorders>
              <w:right w:val="single" w:sz="8" w:color="00C1DE"/>
            </w:tcBorders>
          </w:tcPr>
          <w:p>
            <w:pPr>
              <w:spacing w:after="0"/>
              <w:rPr>
                <w:sz w:val="17"/>
                <w:szCs w:val="17"/>
                <w:color w:val="auto"/>
              </w:rPr>
            </w:pPr>
          </w:p>
        </w:tc>
        <w:tc>
          <w:tcPr>
            <w:tcW w:w="0" w:type="dxa"/>
            <w:vAlign w:val="bottom"/>
          </w:tcPr>
          <w:p>
            <w:pPr>
              <w:spacing w:after="0"/>
              <w:rPr>
                <w:sz w:val="1"/>
                <w:szCs w:val="1"/>
                <w:color w:val="auto"/>
              </w:rPr>
            </w:pPr>
          </w:p>
        </w:tc>
      </w:tr>
      <w:tr>
        <w:trPr>
          <w:trHeight w:val="416"/>
        </w:trPr>
        <w:tc>
          <w:tcPr>
            <w:tcW w:w="200" w:type="dxa"/>
            <w:vAlign w:val="bottom"/>
            <w:tcBorders>
              <w:left w:val="single" w:sz="8" w:color="00C1DE"/>
            </w:tcBorders>
          </w:tcPr>
          <w:p>
            <w:pPr>
              <w:spacing w:after="0"/>
              <w:rPr>
                <w:sz w:val="24"/>
                <w:szCs w:val="24"/>
                <w:color w:val="auto"/>
              </w:rPr>
            </w:pPr>
          </w:p>
        </w:tc>
        <w:tc>
          <w:tcPr>
            <w:tcW w:w="5240" w:type="dxa"/>
            <w:vAlign w:val="bottom"/>
          </w:tcPr>
          <w:p>
            <w:pPr>
              <w:ind w:left="1260"/>
              <w:spacing w:after="0"/>
              <w:rPr>
                <w:sz w:val="20"/>
                <w:szCs w:val="20"/>
                <w:color w:val="auto"/>
              </w:rPr>
            </w:pPr>
            <w:r>
              <w:rPr>
                <w:rFonts w:ascii="Arial" w:cs="Arial" w:eastAsia="Arial" w:hAnsi="Arial"/>
                <w:sz w:val="16"/>
                <w:szCs w:val="16"/>
                <w:b w:val="1"/>
                <w:bCs w:val="1"/>
                <w:color w:val="0071CE"/>
              </w:rPr>
              <w:t>Jan E. Tighe</w:t>
            </w:r>
          </w:p>
        </w:tc>
        <w:tc>
          <w:tcPr>
            <w:tcW w:w="640" w:type="dxa"/>
            <w:vAlign w:val="bottom"/>
            <w:vMerge w:val="restart"/>
          </w:tcPr>
          <w:p>
            <w:pPr>
              <w:jc w:val="center"/>
              <w:ind w:right="88"/>
              <w:spacing w:after="0"/>
              <w:rPr>
                <w:sz w:val="20"/>
                <w:szCs w:val="20"/>
                <w:color w:val="auto"/>
              </w:rPr>
            </w:pPr>
            <w:r>
              <w:rPr>
                <w:rFonts w:ascii="Arial" w:cs="Arial" w:eastAsia="Arial" w:hAnsi="Arial"/>
                <w:sz w:val="14"/>
                <w:szCs w:val="14"/>
                <w:color w:val="3E3935"/>
              </w:rPr>
              <w:t>60</w:t>
            </w:r>
          </w:p>
        </w:tc>
        <w:tc>
          <w:tcPr>
            <w:tcW w:w="1060" w:type="dxa"/>
            <w:vAlign w:val="bottom"/>
            <w:vMerge w:val="restart"/>
          </w:tcPr>
          <w:p>
            <w:pPr>
              <w:jc w:val="center"/>
              <w:spacing w:after="0"/>
              <w:rPr>
                <w:sz w:val="20"/>
                <w:szCs w:val="20"/>
                <w:color w:val="auto"/>
              </w:rPr>
            </w:pPr>
            <w:r>
              <w:rPr>
                <w:rFonts w:ascii="Arial" w:cs="Arial" w:eastAsia="Arial" w:hAnsi="Arial"/>
                <w:sz w:val="14"/>
                <w:szCs w:val="14"/>
                <w:color w:val="3E3935"/>
              </w:rPr>
              <w:t>2023</w:t>
            </w:r>
          </w:p>
        </w:tc>
        <w:tc>
          <w:tcPr>
            <w:tcW w:w="1300" w:type="dxa"/>
            <w:vAlign w:val="bottom"/>
          </w:tcPr>
          <w:p>
            <w:pPr>
              <w:spacing w:after="0"/>
              <w:rPr>
                <w:sz w:val="24"/>
                <w:szCs w:val="24"/>
                <w:color w:val="auto"/>
              </w:rPr>
            </w:pPr>
          </w:p>
        </w:tc>
        <w:tc>
          <w:tcPr>
            <w:tcW w:w="2560" w:type="dxa"/>
            <w:vAlign w:val="bottom"/>
            <w:tcBorders>
              <w:right w:val="single" w:sz="8" w:color="00C1DE"/>
            </w:tcBorders>
            <w:gridSpan w:val="2"/>
            <w:vMerge w:val="restart"/>
          </w:tcPr>
          <w:p>
            <w:pPr>
              <w:ind w:left="160"/>
              <w:spacing w:after="0"/>
              <w:rPr>
                <w:sz w:val="20"/>
                <w:szCs w:val="20"/>
                <w:color w:val="auto"/>
              </w:rPr>
            </w:pPr>
            <w:r>
              <w:rPr>
                <w:rFonts w:ascii="Arial" w:cs="Arial" w:eastAsia="Arial" w:hAnsi="Arial"/>
                <w:sz w:val="14"/>
                <w:szCs w:val="14"/>
                <w:color w:val="3E3935"/>
              </w:rPr>
              <w:t>None</w:t>
            </w:r>
          </w:p>
        </w:tc>
        <w:tc>
          <w:tcPr>
            <w:tcW w:w="0" w:type="dxa"/>
            <w:vAlign w:val="bottom"/>
          </w:tcPr>
          <w:p>
            <w:pPr>
              <w:spacing w:after="0"/>
              <w:rPr>
                <w:sz w:val="1"/>
                <w:szCs w:val="1"/>
                <w:color w:val="auto"/>
              </w:rPr>
            </w:pPr>
          </w:p>
        </w:tc>
      </w:tr>
      <w:tr>
        <w:trPr>
          <w:trHeight w:val="162"/>
        </w:trPr>
        <w:tc>
          <w:tcPr>
            <w:tcW w:w="200" w:type="dxa"/>
            <w:vAlign w:val="bottom"/>
            <w:tcBorders>
              <w:left w:val="single" w:sz="8" w:color="00C1DE"/>
            </w:tcBorders>
          </w:tcPr>
          <w:p>
            <w:pPr>
              <w:spacing w:after="0"/>
              <w:rPr>
                <w:sz w:val="14"/>
                <w:szCs w:val="14"/>
                <w:color w:val="auto"/>
              </w:rPr>
            </w:pPr>
          </w:p>
        </w:tc>
        <w:tc>
          <w:tcPr>
            <w:tcW w:w="5240" w:type="dxa"/>
            <w:vAlign w:val="bottom"/>
          </w:tcPr>
          <w:p>
            <w:pPr>
              <w:ind w:left="1260"/>
              <w:spacing w:after="0"/>
              <w:rPr>
                <w:sz w:val="20"/>
                <w:szCs w:val="20"/>
                <w:color w:val="auto"/>
              </w:rPr>
            </w:pPr>
            <w:r>
              <w:rPr>
                <w:rFonts w:ascii="Arial" w:cs="Arial" w:eastAsia="Arial" w:hAnsi="Arial"/>
                <w:sz w:val="14"/>
                <w:szCs w:val="14"/>
                <w:color w:val="3E3935"/>
              </w:rPr>
              <w:t>Retired Vice Admiral</w:t>
            </w:r>
          </w:p>
        </w:tc>
        <w:tc>
          <w:tcPr>
            <w:tcW w:w="640" w:type="dxa"/>
            <w:vAlign w:val="bottom"/>
            <w:vMerge w:val="continue"/>
          </w:tcPr>
          <w:p>
            <w:pPr>
              <w:spacing w:after="0"/>
              <w:rPr>
                <w:sz w:val="14"/>
                <w:szCs w:val="14"/>
                <w:color w:val="auto"/>
              </w:rPr>
            </w:pPr>
          </w:p>
        </w:tc>
        <w:tc>
          <w:tcPr>
            <w:tcW w:w="1060" w:type="dxa"/>
            <w:vAlign w:val="bottom"/>
            <w:vMerge w:val="continue"/>
          </w:tcPr>
          <w:p>
            <w:pPr>
              <w:spacing w:after="0"/>
              <w:rPr>
                <w:sz w:val="14"/>
                <w:szCs w:val="14"/>
                <w:color w:val="auto"/>
              </w:rPr>
            </w:pPr>
          </w:p>
        </w:tc>
        <w:tc>
          <w:tcPr>
            <w:tcW w:w="1300" w:type="dxa"/>
            <w:vAlign w:val="bottom"/>
          </w:tcPr>
          <w:p>
            <w:pPr>
              <w:spacing w:after="0"/>
              <w:rPr>
                <w:sz w:val="14"/>
                <w:szCs w:val="14"/>
                <w:color w:val="auto"/>
              </w:rPr>
            </w:pPr>
          </w:p>
        </w:tc>
        <w:tc>
          <w:tcPr>
            <w:tcW w:w="2560" w:type="dxa"/>
            <w:vAlign w:val="bottom"/>
            <w:tcBorders>
              <w:right w:val="single" w:sz="8" w:color="00C1DE"/>
            </w:tcBorders>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200" w:type="dxa"/>
            <w:vAlign w:val="bottom"/>
            <w:tcBorders>
              <w:left w:val="single" w:sz="8" w:color="00C1DE"/>
            </w:tcBorders>
          </w:tcPr>
          <w:p>
            <w:pPr>
              <w:spacing w:after="0"/>
              <w:rPr>
                <w:sz w:val="16"/>
                <w:szCs w:val="16"/>
                <w:color w:val="auto"/>
              </w:rPr>
            </w:pPr>
          </w:p>
        </w:tc>
        <w:tc>
          <w:tcPr>
            <w:tcW w:w="5240" w:type="dxa"/>
            <w:vAlign w:val="bottom"/>
          </w:tcPr>
          <w:p>
            <w:pPr>
              <w:ind w:left="1260"/>
              <w:spacing w:after="0"/>
              <w:rPr>
                <w:sz w:val="20"/>
                <w:szCs w:val="20"/>
                <w:color w:val="auto"/>
              </w:rPr>
            </w:pPr>
            <w:r>
              <w:rPr>
                <w:rFonts w:ascii="Arial" w:cs="Arial" w:eastAsia="Arial" w:hAnsi="Arial"/>
                <w:sz w:val="14"/>
                <w:szCs w:val="14"/>
                <w:color w:val="3E3935"/>
              </w:rPr>
              <w:t>U.S. Navy</w:t>
            </w:r>
          </w:p>
        </w:tc>
        <w:tc>
          <w:tcPr>
            <w:tcW w:w="6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200" w:type="dxa"/>
            <w:vAlign w:val="bottom"/>
            <w:tcBorders>
              <w:right w:val="single" w:sz="8" w:color="00C1DE"/>
            </w:tcBorders>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200" w:type="dxa"/>
            <w:vAlign w:val="bottom"/>
            <w:tcBorders>
              <w:left w:val="single" w:sz="8" w:color="00C1DE"/>
            </w:tcBorders>
          </w:tcPr>
          <w:p>
            <w:pPr>
              <w:spacing w:after="0"/>
              <w:rPr>
                <w:sz w:val="17"/>
                <w:szCs w:val="17"/>
                <w:color w:val="auto"/>
              </w:rPr>
            </w:pPr>
          </w:p>
        </w:tc>
        <w:tc>
          <w:tcPr>
            <w:tcW w:w="5240" w:type="dxa"/>
            <w:vAlign w:val="bottom"/>
            <w:tcBorders>
              <w:bottom w:val="single" w:sz="8" w:color="3E3935"/>
            </w:tcBorders>
          </w:tcPr>
          <w:p>
            <w:pPr>
              <w:spacing w:after="0"/>
              <w:rPr>
                <w:sz w:val="17"/>
                <w:szCs w:val="17"/>
                <w:color w:val="auto"/>
              </w:rPr>
            </w:pPr>
          </w:p>
        </w:tc>
        <w:tc>
          <w:tcPr>
            <w:tcW w:w="640" w:type="dxa"/>
            <w:vAlign w:val="bottom"/>
            <w:tcBorders>
              <w:bottom w:val="single" w:sz="8" w:color="3E3935"/>
            </w:tcBorders>
          </w:tcPr>
          <w:p>
            <w:pPr>
              <w:spacing w:after="0"/>
              <w:rPr>
                <w:sz w:val="17"/>
                <w:szCs w:val="17"/>
                <w:color w:val="auto"/>
              </w:rPr>
            </w:pPr>
          </w:p>
        </w:tc>
        <w:tc>
          <w:tcPr>
            <w:tcW w:w="1060" w:type="dxa"/>
            <w:vAlign w:val="bottom"/>
            <w:tcBorders>
              <w:bottom w:val="single" w:sz="8" w:color="3E3935"/>
            </w:tcBorders>
          </w:tcPr>
          <w:p>
            <w:pPr>
              <w:spacing w:after="0"/>
              <w:rPr>
                <w:sz w:val="17"/>
                <w:szCs w:val="17"/>
                <w:color w:val="auto"/>
              </w:rPr>
            </w:pPr>
          </w:p>
        </w:tc>
        <w:tc>
          <w:tcPr>
            <w:tcW w:w="1300" w:type="dxa"/>
            <w:vAlign w:val="bottom"/>
            <w:tcBorders>
              <w:bottom w:val="single" w:sz="8" w:color="3E3935"/>
            </w:tcBorders>
          </w:tcPr>
          <w:p>
            <w:pPr>
              <w:spacing w:after="0"/>
              <w:rPr>
                <w:sz w:val="17"/>
                <w:szCs w:val="17"/>
                <w:color w:val="auto"/>
              </w:rPr>
            </w:pPr>
          </w:p>
        </w:tc>
        <w:tc>
          <w:tcPr>
            <w:tcW w:w="2360" w:type="dxa"/>
            <w:vAlign w:val="bottom"/>
            <w:tcBorders>
              <w:bottom w:val="single" w:sz="8" w:color="3E3935"/>
            </w:tcBorders>
          </w:tcPr>
          <w:p>
            <w:pPr>
              <w:spacing w:after="0"/>
              <w:rPr>
                <w:sz w:val="17"/>
                <w:szCs w:val="17"/>
                <w:color w:val="auto"/>
              </w:rPr>
            </w:pPr>
          </w:p>
        </w:tc>
        <w:tc>
          <w:tcPr>
            <w:tcW w:w="200" w:type="dxa"/>
            <w:vAlign w:val="bottom"/>
            <w:tcBorders>
              <w:right w:val="single" w:sz="8" w:color="00C1DE"/>
            </w:tcBorders>
          </w:tcPr>
          <w:p>
            <w:pPr>
              <w:spacing w:after="0"/>
              <w:rPr>
                <w:sz w:val="17"/>
                <w:szCs w:val="17"/>
                <w:color w:val="auto"/>
              </w:rPr>
            </w:pPr>
          </w:p>
        </w:tc>
        <w:tc>
          <w:tcPr>
            <w:tcW w:w="0" w:type="dxa"/>
            <w:vAlign w:val="bottom"/>
          </w:tcPr>
          <w:p>
            <w:pPr>
              <w:spacing w:after="0"/>
              <w:rPr>
                <w:sz w:val="1"/>
                <w:szCs w:val="1"/>
                <w:color w:val="auto"/>
              </w:rPr>
            </w:pPr>
          </w:p>
        </w:tc>
      </w:tr>
      <w:tr>
        <w:trPr>
          <w:trHeight w:val="416"/>
        </w:trPr>
        <w:tc>
          <w:tcPr>
            <w:tcW w:w="200" w:type="dxa"/>
            <w:vAlign w:val="bottom"/>
            <w:tcBorders>
              <w:left w:val="single" w:sz="8" w:color="00C1DE"/>
            </w:tcBorders>
          </w:tcPr>
          <w:p>
            <w:pPr>
              <w:spacing w:after="0"/>
              <w:rPr>
                <w:sz w:val="24"/>
                <w:szCs w:val="24"/>
                <w:color w:val="auto"/>
              </w:rPr>
            </w:pPr>
          </w:p>
        </w:tc>
        <w:tc>
          <w:tcPr>
            <w:tcW w:w="5240" w:type="dxa"/>
            <w:vAlign w:val="bottom"/>
          </w:tcPr>
          <w:p>
            <w:pPr>
              <w:ind w:left="1260"/>
              <w:spacing w:after="0"/>
              <w:rPr>
                <w:sz w:val="20"/>
                <w:szCs w:val="20"/>
                <w:color w:val="auto"/>
              </w:rPr>
            </w:pPr>
            <w:r>
              <w:rPr>
                <w:rFonts w:ascii="Arial" w:cs="Arial" w:eastAsia="Arial" w:hAnsi="Arial"/>
                <w:sz w:val="16"/>
                <w:szCs w:val="16"/>
                <w:b w:val="1"/>
                <w:bCs w:val="1"/>
                <w:color w:val="0071CE"/>
              </w:rPr>
              <w:t>Devin N. Wenig</w:t>
            </w:r>
          </w:p>
        </w:tc>
        <w:tc>
          <w:tcPr>
            <w:tcW w:w="640" w:type="dxa"/>
            <w:vAlign w:val="bottom"/>
            <w:vMerge w:val="restart"/>
          </w:tcPr>
          <w:p>
            <w:pPr>
              <w:jc w:val="center"/>
              <w:ind w:right="88"/>
              <w:spacing w:after="0"/>
              <w:rPr>
                <w:sz w:val="20"/>
                <w:szCs w:val="20"/>
                <w:color w:val="auto"/>
              </w:rPr>
            </w:pPr>
            <w:r>
              <w:rPr>
                <w:rFonts w:ascii="Arial" w:cs="Arial" w:eastAsia="Arial" w:hAnsi="Arial"/>
                <w:sz w:val="14"/>
                <w:szCs w:val="14"/>
                <w:color w:val="3E3935"/>
              </w:rPr>
              <w:t>56</w:t>
            </w:r>
          </w:p>
        </w:tc>
        <w:tc>
          <w:tcPr>
            <w:tcW w:w="1060" w:type="dxa"/>
            <w:vAlign w:val="bottom"/>
            <w:vMerge w:val="restart"/>
          </w:tcPr>
          <w:p>
            <w:pPr>
              <w:jc w:val="center"/>
              <w:spacing w:after="0"/>
              <w:rPr>
                <w:sz w:val="20"/>
                <w:szCs w:val="20"/>
                <w:color w:val="auto"/>
              </w:rPr>
            </w:pPr>
            <w:r>
              <w:rPr>
                <w:rFonts w:ascii="Arial" w:cs="Arial" w:eastAsia="Arial" w:hAnsi="Arial"/>
                <w:sz w:val="14"/>
                <w:szCs w:val="14"/>
                <w:color w:val="3E3935"/>
              </w:rPr>
              <w:t>2018</w:t>
            </w:r>
          </w:p>
        </w:tc>
        <w:tc>
          <w:tcPr>
            <w:tcW w:w="1300" w:type="dxa"/>
            <w:vAlign w:val="bottom"/>
          </w:tcPr>
          <w:p>
            <w:pPr>
              <w:spacing w:after="0"/>
              <w:rPr>
                <w:sz w:val="24"/>
                <w:szCs w:val="24"/>
                <w:color w:val="auto"/>
              </w:rPr>
            </w:pPr>
          </w:p>
        </w:tc>
        <w:tc>
          <w:tcPr>
            <w:tcW w:w="2560" w:type="dxa"/>
            <w:vAlign w:val="bottom"/>
            <w:tcBorders>
              <w:right w:val="single" w:sz="8" w:color="00C1DE"/>
            </w:tcBorders>
            <w:gridSpan w:val="2"/>
            <w:vMerge w:val="restart"/>
          </w:tcPr>
          <w:p>
            <w:pPr>
              <w:ind w:left="160"/>
              <w:spacing w:after="0"/>
              <w:rPr>
                <w:sz w:val="20"/>
                <w:szCs w:val="20"/>
                <w:color w:val="auto"/>
              </w:rPr>
            </w:pPr>
            <w:r>
              <w:rPr>
                <w:rFonts w:ascii="Arial" w:cs="Arial" w:eastAsia="Arial" w:hAnsi="Arial"/>
                <w:sz w:val="14"/>
                <w:szCs w:val="14"/>
                <w:color w:val="3E3935"/>
              </w:rPr>
              <w:t>Risk and Cybersecurity</w:t>
            </w:r>
          </w:p>
        </w:tc>
        <w:tc>
          <w:tcPr>
            <w:tcW w:w="0" w:type="dxa"/>
            <w:vAlign w:val="bottom"/>
          </w:tcPr>
          <w:p>
            <w:pPr>
              <w:spacing w:after="0"/>
              <w:rPr>
                <w:sz w:val="1"/>
                <w:szCs w:val="1"/>
                <w:color w:val="auto"/>
              </w:rPr>
            </w:pPr>
          </w:p>
        </w:tc>
      </w:tr>
      <w:tr>
        <w:trPr>
          <w:trHeight w:val="162"/>
        </w:trPr>
        <w:tc>
          <w:tcPr>
            <w:tcW w:w="200" w:type="dxa"/>
            <w:vAlign w:val="bottom"/>
            <w:tcBorders>
              <w:left w:val="single" w:sz="8" w:color="00C1DE"/>
            </w:tcBorders>
          </w:tcPr>
          <w:p>
            <w:pPr>
              <w:spacing w:after="0"/>
              <w:rPr>
                <w:sz w:val="14"/>
                <w:szCs w:val="14"/>
                <w:color w:val="auto"/>
              </w:rPr>
            </w:pPr>
          </w:p>
        </w:tc>
        <w:tc>
          <w:tcPr>
            <w:tcW w:w="5240" w:type="dxa"/>
            <w:vAlign w:val="bottom"/>
          </w:tcPr>
          <w:p>
            <w:pPr>
              <w:ind w:left="1260"/>
              <w:spacing w:after="0"/>
              <w:rPr>
                <w:sz w:val="20"/>
                <w:szCs w:val="20"/>
                <w:color w:val="auto"/>
              </w:rPr>
            </w:pPr>
            <w:r>
              <w:rPr>
                <w:rFonts w:ascii="Arial" w:cs="Arial" w:eastAsia="Arial" w:hAnsi="Arial"/>
                <w:sz w:val="14"/>
                <w:szCs w:val="14"/>
                <w:color w:val="3E3935"/>
              </w:rPr>
              <w:t>Retired President &amp; Chief Executive Officer</w:t>
            </w:r>
          </w:p>
        </w:tc>
        <w:tc>
          <w:tcPr>
            <w:tcW w:w="640" w:type="dxa"/>
            <w:vAlign w:val="bottom"/>
            <w:vMerge w:val="continue"/>
          </w:tcPr>
          <w:p>
            <w:pPr>
              <w:spacing w:after="0"/>
              <w:rPr>
                <w:sz w:val="14"/>
                <w:szCs w:val="14"/>
                <w:color w:val="auto"/>
              </w:rPr>
            </w:pPr>
          </w:p>
        </w:tc>
        <w:tc>
          <w:tcPr>
            <w:tcW w:w="1060" w:type="dxa"/>
            <w:vAlign w:val="bottom"/>
            <w:vMerge w:val="continue"/>
          </w:tcPr>
          <w:p>
            <w:pPr>
              <w:spacing w:after="0"/>
              <w:rPr>
                <w:sz w:val="14"/>
                <w:szCs w:val="14"/>
                <w:color w:val="auto"/>
              </w:rPr>
            </w:pPr>
          </w:p>
        </w:tc>
        <w:tc>
          <w:tcPr>
            <w:tcW w:w="1300" w:type="dxa"/>
            <w:vAlign w:val="bottom"/>
          </w:tcPr>
          <w:p>
            <w:pPr>
              <w:spacing w:after="0"/>
              <w:rPr>
                <w:sz w:val="14"/>
                <w:szCs w:val="14"/>
                <w:color w:val="auto"/>
              </w:rPr>
            </w:pPr>
          </w:p>
        </w:tc>
        <w:tc>
          <w:tcPr>
            <w:tcW w:w="2560" w:type="dxa"/>
            <w:vAlign w:val="bottom"/>
            <w:tcBorders>
              <w:right w:val="single" w:sz="8" w:color="00C1DE"/>
            </w:tcBorders>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200" w:type="dxa"/>
            <w:vAlign w:val="bottom"/>
            <w:tcBorders>
              <w:left w:val="single" w:sz="8" w:color="00C1DE"/>
            </w:tcBorders>
          </w:tcPr>
          <w:p>
            <w:pPr>
              <w:spacing w:after="0"/>
              <w:rPr>
                <w:sz w:val="16"/>
                <w:szCs w:val="16"/>
                <w:color w:val="auto"/>
              </w:rPr>
            </w:pPr>
          </w:p>
        </w:tc>
        <w:tc>
          <w:tcPr>
            <w:tcW w:w="5240" w:type="dxa"/>
            <w:vAlign w:val="bottom"/>
          </w:tcPr>
          <w:p>
            <w:pPr>
              <w:ind w:left="1260"/>
              <w:spacing w:after="0"/>
              <w:rPr>
                <w:sz w:val="20"/>
                <w:szCs w:val="20"/>
                <w:color w:val="auto"/>
              </w:rPr>
            </w:pPr>
            <w:r>
              <w:rPr>
                <w:rFonts w:ascii="Arial" w:cs="Arial" w:eastAsia="Arial" w:hAnsi="Arial"/>
                <w:sz w:val="14"/>
                <w:szCs w:val="14"/>
                <w:color w:val="3E3935"/>
              </w:rPr>
              <w:t>eBay Inc.</w:t>
            </w:r>
          </w:p>
        </w:tc>
        <w:tc>
          <w:tcPr>
            <w:tcW w:w="6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200" w:type="dxa"/>
            <w:vAlign w:val="bottom"/>
            <w:tcBorders>
              <w:right w:val="single" w:sz="8" w:color="00C1DE"/>
            </w:tcBorders>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200" w:type="dxa"/>
            <w:vAlign w:val="bottom"/>
            <w:tcBorders>
              <w:left w:val="single" w:sz="8" w:color="00C1DE"/>
            </w:tcBorders>
          </w:tcPr>
          <w:p>
            <w:pPr>
              <w:spacing w:after="0"/>
              <w:rPr>
                <w:sz w:val="17"/>
                <w:szCs w:val="17"/>
                <w:color w:val="auto"/>
              </w:rPr>
            </w:pPr>
          </w:p>
        </w:tc>
        <w:tc>
          <w:tcPr>
            <w:tcW w:w="5240" w:type="dxa"/>
            <w:vAlign w:val="bottom"/>
            <w:tcBorders>
              <w:bottom w:val="single" w:sz="8" w:color="3E3935"/>
            </w:tcBorders>
          </w:tcPr>
          <w:p>
            <w:pPr>
              <w:spacing w:after="0"/>
              <w:rPr>
                <w:sz w:val="17"/>
                <w:szCs w:val="17"/>
                <w:color w:val="auto"/>
              </w:rPr>
            </w:pPr>
          </w:p>
        </w:tc>
        <w:tc>
          <w:tcPr>
            <w:tcW w:w="640" w:type="dxa"/>
            <w:vAlign w:val="bottom"/>
            <w:tcBorders>
              <w:bottom w:val="single" w:sz="8" w:color="3E3935"/>
            </w:tcBorders>
          </w:tcPr>
          <w:p>
            <w:pPr>
              <w:spacing w:after="0"/>
              <w:rPr>
                <w:sz w:val="17"/>
                <w:szCs w:val="17"/>
                <w:color w:val="auto"/>
              </w:rPr>
            </w:pPr>
          </w:p>
        </w:tc>
        <w:tc>
          <w:tcPr>
            <w:tcW w:w="1060" w:type="dxa"/>
            <w:vAlign w:val="bottom"/>
            <w:tcBorders>
              <w:bottom w:val="single" w:sz="8" w:color="3E3935"/>
            </w:tcBorders>
          </w:tcPr>
          <w:p>
            <w:pPr>
              <w:spacing w:after="0"/>
              <w:rPr>
                <w:sz w:val="17"/>
                <w:szCs w:val="17"/>
                <w:color w:val="auto"/>
              </w:rPr>
            </w:pPr>
          </w:p>
        </w:tc>
        <w:tc>
          <w:tcPr>
            <w:tcW w:w="1300" w:type="dxa"/>
            <w:vAlign w:val="bottom"/>
            <w:tcBorders>
              <w:bottom w:val="single" w:sz="8" w:color="3E3935"/>
            </w:tcBorders>
          </w:tcPr>
          <w:p>
            <w:pPr>
              <w:spacing w:after="0"/>
              <w:rPr>
                <w:sz w:val="17"/>
                <w:szCs w:val="17"/>
                <w:color w:val="auto"/>
              </w:rPr>
            </w:pPr>
          </w:p>
        </w:tc>
        <w:tc>
          <w:tcPr>
            <w:tcW w:w="2360" w:type="dxa"/>
            <w:vAlign w:val="bottom"/>
            <w:tcBorders>
              <w:bottom w:val="single" w:sz="8" w:color="3E3935"/>
            </w:tcBorders>
          </w:tcPr>
          <w:p>
            <w:pPr>
              <w:spacing w:after="0"/>
              <w:rPr>
                <w:sz w:val="17"/>
                <w:szCs w:val="17"/>
                <w:color w:val="auto"/>
              </w:rPr>
            </w:pPr>
          </w:p>
        </w:tc>
        <w:tc>
          <w:tcPr>
            <w:tcW w:w="200" w:type="dxa"/>
            <w:vAlign w:val="bottom"/>
            <w:tcBorders>
              <w:right w:val="single" w:sz="8" w:color="00C1DE"/>
            </w:tcBorders>
          </w:tcPr>
          <w:p>
            <w:pPr>
              <w:spacing w:after="0"/>
              <w:rPr>
                <w:sz w:val="17"/>
                <w:szCs w:val="17"/>
                <w:color w:val="auto"/>
              </w:rPr>
            </w:pPr>
          </w:p>
        </w:tc>
        <w:tc>
          <w:tcPr>
            <w:tcW w:w="0" w:type="dxa"/>
            <w:vAlign w:val="bottom"/>
          </w:tcPr>
          <w:p>
            <w:pPr>
              <w:spacing w:after="0"/>
              <w:rPr>
                <w:sz w:val="1"/>
                <w:szCs w:val="1"/>
                <w:color w:val="auto"/>
              </w:rPr>
            </w:pPr>
          </w:p>
        </w:tc>
      </w:tr>
      <w:tr>
        <w:trPr>
          <w:trHeight w:val="173"/>
        </w:trPr>
        <w:tc>
          <w:tcPr>
            <w:tcW w:w="200" w:type="dxa"/>
            <w:vAlign w:val="bottom"/>
            <w:tcBorders>
              <w:left w:val="single" w:sz="8" w:color="00C1DE"/>
              <w:bottom w:val="single" w:sz="8" w:color="00C1DE"/>
            </w:tcBorders>
          </w:tcPr>
          <w:p>
            <w:pPr>
              <w:spacing w:after="0"/>
              <w:rPr>
                <w:sz w:val="15"/>
                <w:szCs w:val="15"/>
                <w:color w:val="auto"/>
              </w:rPr>
            </w:pPr>
          </w:p>
        </w:tc>
        <w:tc>
          <w:tcPr>
            <w:tcW w:w="5240" w:type="dxa"/>
            <w:vAlign w:val="bottom"/>
            <w:tcBorders>
              <w:bottom w:val="single" w:sz="8" w:color="00C1DE"/>
            </w:tcBorders>
          </w:tcPr>
          <w:p>
            <w:pPr>
              <w:spacing w:after="0"/>
              <w:rPr>
                <w:sz w:val="15"/>
                <w:szCs w:val="15"/>
                <w:color w:val="auto"/>
              </w:rPr>
            </w:pPr>
          </w:p>
        </w:tc>
        <w:tc>
          <w:tcPr>
            <w:tcW w:w="640" w:type="dxa"/>
            <w:vAlign w:val="bottom"/>
            <w:tcBorders>
              <w:bottom w:val="single" w:sz="8" w:color="00C1DE"/>
            </w:tcBorders>
          </w:tcPr>
          <w:p>
            <w:pPr>
              <w:spacing w:after="0"/>
              <w:rPr>
                <w:sz w:val="15"/>
                <w:szCs w:val="15"/>
                <w:color w:val="auto"/>
              </w:rPr>
            </w:pPr>
          </w:p>
        </w:tc>
        <w:tc>
          <w:tcPr>
            <w:tcW w:w="1060" w:type="dxa"/>
            <w:vAlign w:val="bottom"/>
            <w:tcBorders>
              <w:bottom w:val="single" w:sz="8" w:color="00C1DE"/>
            </w:tcBorders>
          </w:tcPr>
          <w:p>
            <w:pPr>
              <w:spacing w:after="0"/>
              <w:rPr>
                <w:sz w:val="15"/>
                <w:szCs w:val="15"/>
                <w:color w:val="auto"/>
              </w:rPr>
            </w:pPr>
          </w:p>
        </w:tc>
        <w:tc>
          <w:tcPr>
            <w:tcW w:w="1300" w:type="dxa"/>
            <w:vAlign w:val="bottom"/>
            <w:tcBorders>
              <w:bottom w:val="single" w:sz="8" w:color="00C1DE"/>
            </w:tcBorders>
          </w:tcPr>
          <w:p>
            <w:pPr>
              <w:spacing w:after="0"/>
              <w:rPr>
                <w:sz w:val="15"/>
                <w:szCs w:val="15"/>
                <w:color w:val="auto"/>
              </w:rPr>
            </w:pPr>
          </w:p>
        </w:tc>
        <w:tc>
          <w:tcPr>
            <w:tcW w:w="2360" w:type="dxa"/>
            <w:vAlign w:val="bottom"/>
            <w:tcBorders>
              <w:bottom w:val="single" w:sz="8" w:color="00C1DE"/>
            </w:tcBorders>
          </w:tcPr>
          <w:p>
            <w:pPr>
              <w:spacing w:after="0"/>
              <w:rPr>
                <w:sz w:val="15"/>
                <w:szCs w:val="15"/>
                <w:color w:val="auto"/>
              </w:rPr>
            </w:pPr>
          </w:p>
        </w:tc>
        <w:tc>
          <w:tcPr>
            <w:tcW w:w="200" w:type="dxa"/>
            <w:vAlign w:val="bottom"/>
            <w:tcBorders>
              <w:bottom w:val="single" w:sz="8" w:color="00C1DE"/>
              <w:right w:val="single" w:sz="8" w:color="00C1DE"/>
            </w:tcBorders>
          </w:tcPr>
          <w:p>
            <w:pPr>
              <w:spacing w:after="0"/>
              <w:rPr>
                <w:sz w:val="15"/>
                <w:szCs w:val="15"/>
                <w:color w:val="auto"/>
              </w:rPr>
            </w:pPr>
          </w:p>
        </w:tc>
        <w:tc>
          <w:tcPr>
            <w:tcW w:w="0" w:type="dxa"/>
            <w:vAlign w:val="bottom"/>
          </w:tcPr>
          <w:p>
            <w:pPr>
              <w:spacing w:after="0"/>
              <w:rPr>
                <w:sz w:val="1"/>
                <w:szCs w:val="1"/>
                <w:color w:val="auto"/>
              </w:rPr>
            </w:pPr>
          </w:p>
        </w:tc>
      </w:tr>
      <w:tr>
        <w:trPr>
          <w:trHeight w:val="333"/>
        </w:trPr>
        <w:tc>
          <w:tcPr>
            <w:tcW w:w="200" w:type="dxa"/>
            <w:vAlign w:val="bottom"/>
          </w:tcPr>
          <w:p>
            <w:pPr>
              <w:jc w:val="right"/>
              <w:ind w:right="12"/>
              <w:spacing w:after="0"/>
              <w:rPr>
                <w:sz w:val="20"/>
                <w:szCs w:val="20"/>
                <w:color w:val="auto"/>
              </w:rPr>
            </w:pPr>
            <w:r>
              <w:rPr>
                <w:rFonts w:ascii="Arial" w:cs="Arial" w:eastAsia="Arial" w:hAnsi="Arial"/>
                <w:sz w:val="14"/>
                <w:szCs w:val="14"/>
                <w:color w:val="0071CE"/>
                <w:w w:val="76"/>
              </w:rPr>
              <w:t>2</w:t>
            </w:r>
          </w:p>
        </w:tc>
        <w:tc>
          <w:tcPr>
            <w:tcW w:w="5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-8386445</wp:posOffset>
            </wp:positionV>
            <wp:extent cx="368935" cy="40322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68935" cy="403225"/>
                    </a:xfrm>
                    <a:prstGeom prst="rect">
                      <a:avLst/>
                    </a:prstGeom>
                    <a:noFill/>
                  </pic:spPr>
                </pic:pic>
              </a:graphicData>
            </a:graphic>
          </wp:anchor>
        </w:drawing>
        <w:drawing>
          <wp:anchor simplePos="0" relativeHeight="251657728" behindDoc="1" locked="0" layoutInCell="0" allowOverlap="1">
            <wp:simplePos x="0" y="0"/>
            <wp:positionH relativeFrom="column">
              <wp:posOffset>245110</wp:posOffset>
            </wp:positionH>
            <wp:positionV relativeFrom="paragraph">
              <wp:posOffset>-7760970</wp:posOffset>
            </wp:positionV>
            <wp:extent cx="368935" cy="402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68935" cy="402590"/>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-7589520</wp:posOffset>
            </wp:positionV>
            <wp:extent cx="120015" cy="1200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0015" cy="120015"/>
                    </a:xfrm>
                    <a:prstGeom prst="rect">
                      <a:avLst/>
                    </a:prstGeom>
                    <a:noFill/>
                  </pic:spPr>
                </pic:pic>
              </a:graphicData>
            </a:graphic>
          </wp:anchor>
        </w:drawing>
        <w:drawing>
          <wp:anchor simplePos="0" relativeHeight="251657728" behindDoc="1" locked="0" layoutInCell="0" allowOverlap="1">
            <wp:simplePos x="0" y="0"/>
            <wp:positionH relativeFrom="column">
              <wp:posOffset>245110</wp:posOffset>
            </wp:positionH>
            <wp:positionV relativeFrom="paragraph">
              <wp:posOffset>-7134860</wp:posOffset>
            </wp:positionV>
            <wp:extent cx="368935" cy="402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68935" cy="402590"/>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-6963410</wp:posOffset>
            </wp:positionV>
            <wp:extent cx="120015" cy="1200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0015" cy="120015"/>
                    </a:xfrm>
                    <a:prstGeom prst="rect">
                      <a:avLst/>
                    </a:prstGeom>
                    <a:noFill/>
                  </pic:spPr>
                </pic:pic>
              </a:graphicData>
            </a:graphic>
          </wp:anchor>
        </w:drawing>
        <w:drawing>
          <wp:anchor simplePos="0" relativeHeight="251657728" behindDoc="1" locked="0" layoutInCell="0" allowOverlap="1">
            <wp:simplePos x="0" y="0"/>
            <wp:positionH relativeFrom="column">
              <wp:posOffset>245110</wp:posOffset>
            </wp:positionH>
            <wp:positionV relativeFrom="paragraph">
              <wp:posOffset>-6509385</wp:posOffset>
            </wp:positionV>
            <wp:extent cx="368935" cy="40322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68935" cy="403225"/>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-6337935</wp:posOffset>
            </wp:positionV>
            <wp:extent cx="120015" cy="1200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0015" cy="120015"/>
                    </a:xfrm>
                    <a:prstGeom prst="rect">
                      <a:avLst/>
                    </a:prstGeom>
                    <a:noFill/>
                  </pic:spPr>
                </pic:pic>
              </a:graphicData>
            </a:graphic>
          </wp:anchor>
        </w:drawing>
        <w:drawing>
          <wp:anchor simplePos="0" relativeHeight="251657728" behindDoc="1" locked="0" layoutInCell="0" allowOverlap="1">
            <wp:simplePos x="0" y="0"/>
            <wp:positionH relativeFrom="column">
              <wp:posOffset>245110</wp:posOffset>
            </wp:positionH>
            <wp:positionV relativeFrom="paragraph">
              <wp:posOffset>-5883275</wp:posOffset>
            </wp:positionV>
            <wp:extent cx="368935" cy="402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68935" cy="402590"/>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-5711825</wp:posOffset>
            </wp:positionV>
            <wp:extent cx="120015" cy="12001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0015" cy="120015"/>
                    </a:xfrm>
                    <a:prstGeom prst="rect">
                      <a:avLst/>
                    </a:prstGeom>
                    <a:noFill/>
                  </pic:spPr>
                </pic:pic>
              </a:graphicData>
            </a:graphic>
          </wp:anchor>
        </w:drawing>
        <w:drawing>
          <wp:anchor simplePos="0" relativeHeight="251657728" behindDoc="1" locked="0" layoutInCell="0" allowOverlap="1">
            <wp:simplePos x="0" y="0"/>
            <wp:positionH relativeFrom="column">
              <wp:posOffset>245110</wp:posOffset>
            </wp:positionH>
            <wp:positionV relativeFrom="paragraph">
              <wp:posOffset>-5257800</wp:posOffset>
            </wp:positionV>
            <wp:extent cx="368935" cy="402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68935" cy="402590"/>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-5086350</wp:posOffset>
            </wp:positionV>
            <wp:extent cx="120015" cy="12001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0015" cy="120015"/>
                    </a:xfrm>
                    <a:prstGeom prst="rect">
                      <a:avLst/>
                    </a:prstGeom>
                    <a:noFill/>
                  </pic:spPr>
                </pic:pic>
              </a:graphicData>
            </a:graphic>
          </wp:anchor>
        </w:drawing>
        <w:drawing>
          <wp:anchor simplePos="0" relativeHeight="251657728" behindDoc="1" locked="0" layoutInCell="0" allowOverlap="1">
            <wp:simplePos x="0" y="0"/>
            <wp:positionH relativeFrom="column">
              <wp:posOffset>245110</wp:posOffset>
            </wp:positionH>
            <wp:positionV relativeFrom="paragraph">
              <wp:posOffset>-4631690</wp:posOffset>
            </wp:positionV>
            <wp:extent cx="368935" cy="402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68935" cy="402590"/>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-4460240</wp:posOffset>
            </wp:positionV>
            <wp:extent cx="120015" cy="12001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0015" cy="120015"/>
                    </a:xfrm>
                    <a:prstGeom prst="rect">
                      <a:avLst/>
                    </a:prstGeom>
                    <a:noFill/>
                  </pic:spPr>
                </pic:pic>
              </a:graphicData>
            </a:graphic>
          </wp:anchor>
        </w:drawing>
        <w:drawing>
          <wp:anchor simplePos="0" relativeHeight="251657728" behindDoc="1" locked="0" layoutInCell="0" allowOverlap="1">
            <wp:simplePos x="0" y="0"/>
            <wp:positionH relativeFrom="column">
              <wp:posOffset>245110</wp:posOffset>
            </wp:positionH>
            <wp:positionV relativeFrom="paragraph">
              <wp:posOffset>-4006215</wp:posOffset>
            </wp:positionV>
            <wp:extent cx="368935" cy="402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68935" cy="402590"/>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-3834765</wp:posOffset>
            </wp:positionV>
            <wp:extent cx="120015" cy="12001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0015" cy="120015"/>
                    </a:xfrm>
                    <a:prstGeom prst="rect">
                      <a:avLst/>
                    </a:prstGeom>
                    <a:noFill/>
                  </pic:spPr>
                </pic:pic>
              </a:graphicData>
            </a:graphic>
          </wp:anchor>
        </w:drawing>
        <w:drawing>
          <wp:anchor simplePos="0" relativeHeight="251657728" behindDoc="1" locked="0" layoutInCell="0" allowOverlap="1">
            <wp:simplePos x="0" y="0"/>
            <wp:positionH relativeFrom="column">
              <wp:posOffset>245110</wp:posOffset>
            </wp:positionH>
            <wp:positionV relativeFrom="paragraph">
              <wp:posOffset>-3380740</wp:posOffset>
            </wp:positionV>
            <wp:extent cx="368935" cy="40322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68935" cy="403225"/>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-3209290</wp:posOffset>
            </wp:positionV>
            <wp:extent cx="120015" cy="12001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0015" cy="120015"/>
                    </a:xfrm>
                    <a:prstGeom prst="rect">
                      <a:avLst/>
                    </a:prstGeom>
                    <a:noFill/>
                  </pic:spPr>
                </pic:pic>
              </a:graphicData>
            </a:graphic>
          </wp:anchor>
        </w:drawing>
        <w:drawing>
          <wp:anchor simplePos="0" relativeHeight="251657728" behindDoc="1" locked="0" layoutInCell="0" allowOverlap="1">
            <wp:simplePos x="0" y="0"/>
            <wp:positionH relativeFrom="column">
              <wp:posOffset>245110</wp:posOffset>
            </wp:positionH>
            <wp:positionV relativeFrom="paragraph">
              <wp:posOffset>-2754630</wp:posOffset>
            </wp:positionV>
            <wp:extent cx="368935" cy="40322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68935" cy="403225"/>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-2583180</wp:posOffset>
            </wp:positionV>
            <wp:extent cx="120015" cy="12001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0015" cy="120015"/>
                    </a:xfrm>
                    <a:prstGeom prst="rect">
                      <a:avLst/>
                    </a:prstGeom>
                    <a:noFill/>
                  </pic:spPr>
                </pic:pic>
              </a:graphicData>
            </a:graphic>
          </wp:anchor>
        </w:drawing>
        <w:drawing>
          <wp:anchor simplePos="0" relativeHeight="251657728" behindDoc="1" locked="0" layoutInCell="0" allowOverlap="1">
            <wp:simplePos x="0" y="0"/>
            <wp:positionH relativeFrom="column">
              <wp:posOffset>245110</wp:posOffset>
            </wp:positionH>
            <wp:positionV relativeFrom="paragraph">
              <wp:posOffset>-2129155</wp:posOffset>
            </wp:positionV>
            <wp:extent cx="368935" cy="40322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68935" cy="403225"/>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-1957705</wp:posOffset>
            </wp:positionV>
            <wp:extent cx="120015" cy="12001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0015" cy="120015"/>
                    </a:xfrm>
                    <a:prstGeom prst="rect">
                      <a:avLst/>
                    </a:prstGeom>
                    <a:noFill/>
                  </pic:spPr>
                </pic:pic>
              </a:graphicData>
            </a:graphic>
          </wp:anchor>
        </w:drawing>
        <w:drawing>
          <wp:anchor simplePos="0" relativeHeight="251657728" behindDoc="1" locked="0" layoutInCell="0" allowOverlap="1">
            <wp:simplePos x="0" y="0"/>
            <wp:positionH relativeFrom="column">
              <wp:posOffset>270510</wp:posOffset>
            </wp:positionH>
            <wp:positionV relativeFrom="paragraph">
              <wp:posOffset>-1503045</wp:posOffset>
            </wp:positionV>
            <wp:extent cx="368300" cy="402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68300" cy="402590"/>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-1331595</wp:posOffset>
            </wp:positionV>
            <wp:extent cx="120015" cy="12001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0015" cy="120015"/>
                    </a:xfrm>
                    <a:prstGeom prst="rect">
                      <a:avLst/>
                    </a:prstGeom>
                    <a:noFill/>
                  </pic:spPr>
                </pic:pic>
              </a:graphicData>
            </a:graphic>
          </wp:anchor>
        </w:drawing>
        <w:drawing>
          <wp:anchor simplePos="0" relativeHeight="251657728" behindDoc="1" locked="0" layoutInCell="0" allowOverlap="1">
            <wp:simplePos x="0" y="0"/>
            <wp:positionH relativeFrom="column">
              <wp:posOffset>245110</wp:posOffset>
            </wp:positionH>
            <wp:positionV relativeFrom="paragraph">
              <wp:posOffset>-877570</wp:posOffset>
            </wp:positionV>
            <wp:extent cx="368935" cy="402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68935" cy="402590"/>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-706120</wp:posOffset>
            </wp:positionV>
            <wp:extent cx="120015" cy="12001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0015" cy="120015"/>
                    </a:xfrm>
                    <a:prstGeom prst="rect">
                      <a:avLst/>
                    </a:prstGeom>
                    <a:noFill/>
                  </pic:spPr>
                </pic:pic>
              </a:graphicData>
            </a:graphic>
          </wp:anchor>
        </w:drawing>
        <w:drawing>
          <wp:anchor simplePos="0" relativeHeight="251657728" behindDoc="1" locked="0" layoutInCell="0" allowOverlap="1">
            <wp:simplePos x="0" y="0"/>
            <wp:positionH relativeFrom="column">
              <wp:posOffset>219075</wp:posOffset>
            </wp:positionH>
            <wp:positionV relativeFrom="paragraph">
              <wp:posOffset>-114300</wp:posOffset>
            </wp:positionV>
            <wp:extent cx="5983605" cy="10287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983605" cy="102870"/>
                    </a:xfrm>
                    <a:prstGeom prst="rect">
                      <a:avLst/>
                    </a:prstGeom>
                    <a:noFill/>
                  </pic:spPr>
                </pic:pic>
              </a:graphicData>
            </a:graphic>
          </wp:anchor>
        </w:drawing>
      </w:r>
    </w:p>
    <w:p>
      <w:pPr>
        <w:sectPr>
          <w:pgSz w:w="11900" w:h="16838" w:orient="portrait"/>
          <w:cols w:equalWidth="0" w:num="1">
            <w:col w:w="11120"/>
          </w:cols>
          <w:pgMar w:left="320" w:top="482" w:right="459" w:bottom="90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75565</wp:posOffset>
            </wp:positionH>
            <wp:positionV relativeFrom="paragraph">
              <wp:posOffset>210185</wp:posOffset>
            </wp:positionV>
            <wp:extent cx="6990715" cy="579056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990715" cy="5790565"/>
                    </a:xfrm>
                    <a:prstGeom prst="rect">
                      <a:avLst/>
                    </a:prstGeom>
                    <a:noFill/>
                  </pic:spPr>
                </pic:pic>
              </a:graphicData>
            </a:graphic>
          </wp:anchor>
        </w:drawing>
      </w:r>
    </w:p>
    <w:p>
      <w:pPr>
        <w:spacing w:after="0" w:line="200" w:lineRule="exact"/>
        <w:rPr>
          <w:sz w:val="20"/>
          <w:szCs w:val="20"/>
          <w:color w:val="auto"/>
        </w:rPr>
      </w:pPr>
    </w:p>
    <w:p>
      <w:pPr>
        <w:spacing w:after="0" w:line="288" w:lineRule="exact"/>
        <w:rPr>
          <w:sz w:val="20"/>
          <w:szCs w:val="20"/>
          <w:color w:val="auto"/>
        </w:rPr>
      </w:pPr>
    </w:p>
    <w:p>
      <w:pPr>
        <w:ind w:left="820" w:hanging="504"/>
        <w:spacing w:after="0"/>
        <w:tabs>
          <w:tab w:leader="none" w:pos="820" w:val="left"/>
        </w:tabs>
        <w:numPr>
          <w:ilvl w:val="0"/>
          <w:numId w:val="7"/>
        </w:numPr>
        <w:rPr>
          <w:rFonts w:ascii="Times New Roman" w:cs="Times New Roman" w:eastAsia="Times New Roman" w:hAnsi="Times New Roman"/>
          <w:sz w:val="19"/>
          <w:szCs w:val="19"/>
          <w:color w:val="0071CE"/>
        </w:rPr>
      </w:pPr>
      <w:r>
        <w:rPr>
          <w:rFonts w:ascii="Arial" w:cs="Arial" w:eastAsia="Arial" w:hAnsi="Arial"/>
          <w:sz w:val="25"/>
          <w:szCs w:val="25"/>
          <w:color w:val="3E3935"/>
        </w:rPr>
        <w:t>2023 Board Nominee Statistics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right"/>
        <w:spacing w:after="0"/>
        <w:rPr>
          <w:sz w:val="20"/>
          <w:szCs w:val="20"/>
          <w:color w:val="auto"/>
        </w:rPr>
      </w:pPr>
      <w:r>
        <w:rPr>
          <w:rFonts w:ascii="Arial" w:cs="Arial" w:eastAsia="Arial" w:hAnsi="Arial"/>
          <w:sz w:val="14"/>
          <w:szCs w:val="14"/>
          <w:color w:val="0071CE"/>
        </w:rPr>
        <w:t>3</w:t>
      </w:r>
    </w:p>
    <w:p>
      <w:pPr>
        <w:sectPr>
          <w:pgSz w:w="11900" w:h="16838" w:orient="portrait"/>
          <w:cols w:equalWidth="0" w:num="1">
            <w:col w:w="10820"/>
          </w:cols>
          <w:pgMar w:left="320" w:top="482" w:right="75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75565</wp:posOffset>
            </wp:positionH>
            <wp:positionV relativeFrom="paragraph">
              <wp:posOffset>210185</wp:posOffset>
            </wp:positionV>
            <wp:extent cx="6990715" cy="595312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990715" cy="595312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20"/>
        <w:spacing w:after="0"/>
        <w:rPr>
          <w:sz w:val="20"/>
          <w:szCs w:val="20"/>
          <w:color w:val="auto"/>
        </w:rPr>
      </w:pPr>
      <w:r>
        <w:rPr>
          <w:rFonts w:ascii="Arial" w:cs="Arial" w:eastAsia="Arial" w:hAnsi="Arial"/>
          <w:sz w:val="29"/>
          <w:szCs w:val="29"/>
          <w:color w:val="3E3935"/>
        </w:rPr>
        <w:t>2022 Business Highlights</w:t>
      </w:r>
    </w:p>
    <w:p>
      <w:pPr>
        <w:spacing w:after="0" w:line="257" w:lineRule="exact"/>
        <w:rPr>
          <w:sz w:val="20"/>
          <w:szCs w:val="20"/>
          <w:color w:val="auto"/>
        </w:rPr>
      </w:pPr>
    </w:p>
    <w:p>
      <w:pPr>
        <w:ind w:left="820" w:hanging="504"/>
        <w:spacing w:after="0"/>
        <w:tabs>
          <w:tab w:leader="none" w:pos="820" w:val="left"/>
        </w:tabs>
        <w:numPr>
          <w:ilvl w:val="0"/>
          <w:numId w:val="8"/>
        </w:numPr>
        <w:rPr>
          <w:rFonts w:ascii="Times New Roman" w:cs="Times New Roman" w:eastAsia="Times New Roman" w:hAnsi="Times New Roman"/>
          <w:sz w:val="19"/>
          <w:szCs w:val="19"/>
          <w:color w:val="0071CE"/>
        </w:rPr>
      </w:pPr>
      <w:r>
        <w:rPr>
          <w:rFonts w:ascii="Arial" w:cs="Arial" w:eastAsia="Arial" w:hAnsi="Arial"/>
          <w:sz w:val="25"/>
          <w:szCs w:val="25"/>
          <w:color w:val="3E3935"/>
        </w:rPr>
        <w:t>Financial Highlights</w:t>
      </w:r>
    </w:p>
    <w:p>
      <w:pPr>
        <w:spacing w:after="0" w:line="273" w:lineRule="exact"/>
        <w:rPr>
          <w:sz w:val="20"/>
          <w:szCs w:val="20"/>
          <w:color w:val="auto"/>
        </w:rPr>
      </w:pPr>
    </w:p>
    <w:tbl>
      <w:tblPr>
        <w:tblLayout w:type="fixed"/>
        <w:tblInd w:w="320" w:type="dxa"/>
        <w:tblCellMar>
          <w:top w:w="0" w:type="dxa"/>
          <w:left w:w="0" w:type="dxa"/>
          <w:bottom w:w="0" w:type="dxa"/>
          <w:right w:w="0" w:type="dxa"/>
        </w:tblCellMar>
      </w:tblPr>
      <w:tr>
        <w:trPr>
          <w:trHeight w:val="299"/>
        </w:trPr>
        <w:tc>
          <w:tcPr>
            <w:tcW w:w="940" w:type="dxa"/>
            <w:vAlign w:val="bottom"/>
            <w:shd w:val="clear" w:color="auto" w:fill="D8F5FA"/>
          </w:tcPr>
          <w:p>
            <w:pPr>
              <w:jc w:val="right"/>
              <w:spacing w:after="0"/>
              <w:rPr>
                <w:sz w:val="20"/>
                <w:szCs w:val="20"/>
                <w:color w:val="auto"/>
              </w:rPr>
            </w:pPr>
            <w:r>
              <w:rPr>
                <w:rFonts w:ascii="Arial" w:cs="Arial" w:eastAsia="Arial" w:hAnsi="Arial"/>
                <w:sz w:val="22"/>
                <w:szCs w:val="22"/>
                <w:b w:val="1"/>
                <w:bCs w:val="1"/>
                <w:color w:val="00C1DE"/>
              </w:rPr>
              <w:t>$9.9B</w:t>
            </w:r>
          </w:p>
        </w:tc>
        <w:tc>
          <w:tcPr>
            <w:tcW w:w="4140" w:type="dxa"/>
            <w:vAlign w:val="bottom"/>
            <w:shd w:val="clear" w:color="auto" w:fill="D8F5FA"/>
          </w:tcPr>
          <w:p>
            <w:pPr>
              <w:ind w:left="340"/>
              <w:spacing w:after="0"/>
              <w:rPr>
                <w:sz w:val="20"/>
                <w:szCs w:val="20"/>
                <w:color w:val="auto"/>
              </w:rPr>
            </w:pPr>
            <w:r>
              <w:rPr>
                <w:rFonts w:ascii="Arial" w:cs="Arial" w:eastAsia="Arial" w:hAnsi="Arial"/>
                <w:sz w:val="18"/>
                <w:szCs w:val="18"/>
                <w:i w:val="1"/>
                <w:iCs w:val="1"/>
                <w:color w:val="3E3935"/>
              </w:rPr>
              <w:t>Net income attributable to stockholders</w:t>
            </w:r>
          </w:p>
        </w:tc>
        <w:tc>
          <w:tcPr>
            <w:tcW w:w="1340" w:type="dxa"/>
            <w:vAlign w:val="bottom"/>
            <w:shd w:val="clear" w:color="auto" w:fill="D8F5FA"/>
          </w:tcPr>
          <w:p>
            <w:pPr>
              <w:jc w:val="right"/>
              <w:ind w:right="72"/>
              <w:spacing w:after="0"/>
              <w:rPr>
                <w:sz w:val="20"/>
                <w:szCs w:val="20"/>
                <w:color w:val="auto"/>
              </w:rPr>
            </w:pPr>
            <w:r>
              <w:rPr>
                <w:rFonts w:ascii="Arial" w:cs="Arial" w:eastAsia="Arial" w:hAnsi="Arial"/>
                <w:sz w:val="22"/>
                <w:szCs w:val="22"/>
                <w:b w:val="1"/>
                <w:bCs w:val="1"/>
                <w:color w:val="00C1DE"/>
              </w:rPr>
              <w:t>$14.5B</w:t>
            </w:r>
          </w:p>
        </w:tc>
        <w:tc>
          <w:tcPr>
            <w:tcW w:w="4180" w:type="dxa"/>
            <w:vAlign w:val="bottom"/>
            <w:shd w:val="clear" w:color="auto" w:fill="D8F5FA"/>
          </w:tcPr>
          <w:p>
            <w:pPr>
              <w:ind w:left="160"/>
              <w:spacing w:after="0"/>
              <w:rPr>
                <w:sz w:val="20"/>
                <w:szCs w:val="20"/>
                <w:color w:val="auto"/>
              </w:rPr>
            </w:pPr>
            <w:r>
              <w:rPr>
                <w:rFonts w:ascii="Arial" w:cs="Arial" w:eastAsia="Arial" w:hAnsi="Arial"/>
                <w:sz w:val="18"/>
                <w:szCs w:val="18"/>
                <w:i w:val="1"/>
                <w:iCs w:val="1"/>
                <w:color w:val="3E3935"/>
              </w:rPr>
              <w:t>EBIT-adjusted</w:t>
            </w:r>
            <w:r>
              <w:rPr>
                <w:rFonts w:ascii="Arial" w:cs="Arial" w:eastAsia="Arial" w:hAnsi="Arial"/>
                <w:sz w:val="26"/>
                <w:szCs w:val="26"/>
                <w:i w:val="1"/>
                <w:iCs w:val="1"/>
                <w:color w:val="3E3935"/>
                <w:vertAlign w:val="superscript"/>
              </w:rPr>
              <w:t>(1)</w:t>
            </w:r>
          </w:p>
        </w:tc>
        <w:tc>
          <w:tcPr>
            <w:tcW w:w="0" w:type="dxa"/>
            <w:vAlign w:val="bottom"/>
          </w:tcPr>
          <w:p>
            <w:pPr>
              <w:spacing w:after="0"/>
              <w:rPr>
                <w:sz w:val="1"/>
                <w:szCs w:val="1"/>
                <w:color w:val="auto"/>
              </w:rPr>
            </w:pPr>
          </w:p>
        </w:tc>
      </w:tr>
      <w:tr>
        <w:trPr>
          <w:trHeight w:val="297"/>
        </w:trPr>
        <w:tc>
          <w:tcPr>
            <w:tcW w:w="940" w:type="dxa"/>
            <w:vAlign w:val="bottom"/>
            <w:shd w:val="clear" w:color="auto" w:fill="D8F5FA"/>
          </w:tcPr>
          <w:p>
            <w:pPr>
              <w:jc w:val="right"/>
              <w:spacing w:after="0"/>
              <w:rPr>
                <w:sz w:val="20"/>
                <w:szCs w:val="20"/>
                <w:color w:val="auto"/>
              </w:rPr>
            </w:pPr>
            <w:r>
              <w:rPr>
                <w:rFonts w:ascii="Arial" w:cs="Arial" w:eastAsia="Arial" w:hAnsi="Arial"/>
                <w:sz w:val="22"/>
                <w:szCs w:val="22"/>
                <w:b w:val="1"/>
                <w:bCs w:val="1"/>
                <w:color w:val="00C1DE"/>
              </w:rPr>
              <w:t>6.3%</w:t>
            </w:r>
          </w:p>
        </w:tc>
        <w:tc>
          <w:tcPr>
            <w:tcW w:w="4140" w:type="dxa"/>
            <w:vAlign w:val="bottom"/>
            <w:shd w:val="clear" w:color="auto" w:fill="D8F5FA"/>
          </w:tcPr>
          <w:p>
            <w:pPr>
              <w:ind w:left="340"/>
              <w:spacing w:after="0"/>
              <w:rPr>
                <w:sz w:val="20"/>
                <w:szCs w:val="20"/>
                <w:color w:val="auto"/>
              </w:rPr>
            </w:pPr>
            <w:r>
              <w:rPr>
                <w:rFonts w:ascii="Arial" w:cs="Arial" w:eastAsia="Arial" w:hAnsi="Arial"/>
                <w:sz w:val="18"/>
                <w:szCs w:val="18"/>
                <w:i w:val="1"/>
                <w:iCs w:val="1"/>
                <w:color w:val="3E3935"/>
              </w:rPr>
              <w:t>Net income margin</w:t>
            </w:r>
          </w:p>
        </w:tc>
        <w:tc>
          <w:tcPr>
            <w:tcW w:w="1340" w:type="dxa"/>
            <w:vAlign w:val="bottom"/>
            <w:shd w:val="clear" w:color="auto" w:fill="D8F5FA"/>
          </w:tcPr>
          <w:p>
            <w:pPr>
              <w:jc w:val="right"/>
              <w:ind w:right="72"/>
              <w:spacing w:after="0"/>
              <w:rPr>
                <w:sz w:val="20"/>
                <w:szCs w:val="20"/>
                <w:color w:val="auto"/>
              </w:rPr>
            </w:pPr>
            <w:r>
              <w:rPr>
                <w:rFonts w:ascii="Arial" w:cs="Arial" w:eastAsia="Arial" w:hAnsi="Arial"/>
                <w:sz w:val="22"/>
                <w:szCs w:val="22"/>
                <w:b w:val="1"/>
                <w:bCs w:val="1"/>
                <w:color w:val="00C1DE"/>
              </w:rPr>
              <w:t>9.2%</w:t>
            </w:r>
          </w:p>
        </w:tc>
        <w:tc>
          <w:tcPr>
            <w:tcW w:w="4180" w:type="dxa"/>
            <w:vAlign w:val="bottom"/>
            <w:shd w:val="clear" w:color="auto" w:fill="D8F5FA"/>
          </w:tcPr>
          <w:p>
            <w:pPr>
              <w:ind w:left="160"/>
              <w:spacing w:after="0" w:line="297" w:lineRule="exact"/>
              <w:rPr>
                <w:sz w:val="20"/>
                <w:szCs w:val="20"/>
                <w:color w:val="auto"/>
              </w:rPr>
            </w:pPr>
            <w:r>
              <w:rPr>
                <w:rFonts w:ascii="Arial" w:cs="Arial" w:eastAsia="Arial" w:hAnsi="Arial"/>
                <w:sz w:val="18"/>
                <w:szCs w:val="18"/>
                <w:i w:val="1"/>
                <w:iCs w:val="1"/>
                <w:color w:val="3E3935"/>
              </w:rPr>
              <w:t>EBIT-adjusted</w:t>
            </w:r>
            <w:r>
              <w:rPr>
                <w:rFonts w:ascii="Arial" w:cs="Arial" w:eastAsia="Arial" w:hAnsi="Arial"/>
                <w:sz w:val="26"/>
                <w:szCs w:val="26"/>
                <w:i w:val="1"/>
                <w:iCs w:val="1"/>
                <w:color w:val="3E3935"/>
                <w:vertAlign w:val="superscript"/>
              </w:rPr>
              <w:t>(1)</w:t>
            </w:r>
            <w:r>
              <w:rPr>
                <w:rFonts w:ascii="Arial" w:cs="Arial" w:eastAsia="Arial" w:hAnsi="Arial"/>
                <w:sz w:val="18"/>
                <w:szCs w:val="18"/>
                <w:i w:val="1"/>
                <w:iCs w:val="1"/>
                <w:color w:val="3E3935"/>
              </w:rPr>
              <w:t xml:space="preserve"> margin</w:t>
            </w:r>
          </w:p>
        </w:tc>
        <w:tc>
          <w:tcPr>
            <w:tcW w:w="0" w:type="dxa"/>
            <w:vAlign w:val="bottom"/>
          </w:tcPr>
          <w:p>
            <w:pPr>
              <w:spacing w:after="0"/>
              <w:rPr>
                <w:sz w:val="1"/>
                <w:szCs w:val="1"/>
                <w:color w:val="auto"/>
              </w:rPr>
            </w:pPr>
          </w:p>
        </w:tc>
      </w:tr>
      <w:tr>
        <w:trPr>
          <w:trHeight w:val="364"/>
        </w:trPr>
        <w:tc>
          <w:tcPr>
            <w:tcW w:w="940" w:type="dxa"/>
            <w:vAlign w:val="bottom"/>
            <w:shd w:val="clear" w:color="auto" w:fill="D8F5FA"/>
          </w:tcPr>
          <w:p>
            <w:pPr>
              <w:jc w:val="right"/>
              <w:spacing w:after="0"/>
              <w:rPr>
                <w:sz w:val="20"/>
                <w:szCs w:val="20"/>
                <w:color w:val="auto"/>
              </w:rPr>
            </w:pPr>
            <w:r>
              <w:rPr>
                <w:rFonts w:ascii="Arial" w:cs="Arial" w:eastAsia="Arial" w:hAnsi="Arial"/>
                <w:sz w:val="22"/>
                <w:szCs w:val="22"/>
                <w:b w:val="1"/>
                <w:bCs w:val="1"/>
                <w:color w:val="00C1DE"/>
              </w:rPr>
              <w:t>$6.13</w:t>
            </w:r>
          </w:p>
        </w:tc>
        <w:tc>
          <w:tcPr>
            <w:tcW w:w="4140" w:type="dxa"/>
            <w:vAlign w:val="bottom"/>
            <w:shd w:val="clear" w:color="auto" w:fill="D8F5FA"/>
          </w:tcPr>
          <w:p>
            <w:pPr>
              <w:ind w:left="340"/>
              <w:spacing w:after="0"/>
              <w:rPr>
                <w:sz w:val="20"/>
                <w:szCs w:val="20"/>
                <w:color w:val="auto"/>
              </w:rPr>
            </w:pPr>
            <w:r>
              <w:rPr>
                <w:rFonts w:ascii="Arial" w:cs="Arial" w:eastAsia="Arial" w:hAnsi="Arial"/>
                <w:sz w:val="18"/>
                <w:szCs w:val="18"/>
                <w:i w:val="1"/>
                <w:iCs w:val="1"/>
                <w:color w:val="3E3935"/>
              </w:rPr>
              <w:t>EPS-diluted</w:t>
            </w:r>
          </w:p>
        </w:tc>
        <w:tc>
          <w:tcPr>
            <w:tcW w:w="1340" w:type="dxa"/>
            <w:vAlign w:val="bottom"/>
            <w:shd w:val="clear" w:color="auto" w:fill="D8F5FA"/>
          </w:tcPr>
          <w:p>
            <w:pPr>
              <w:jc w:val="right"/>
              <w:ind w:right="72"/>
              <w:spacing w:after="0"/>
              <w:rPr>
                <w:sz w:val="20"/>
                <w:szCs w:val="20"/>
                <w:color w:val="auto"/>
              </w:rPr>
            </w:pPr>
            <w:r>
              <w:rPr>
                <w:rFonts w:ascii="Arial" w:cs="Arial" w:eastAsia="Arial" w:hAnsi="Arial"/>
                <w:sz w:val="22"/>
                <w:szCs w:val="22"/>
                <w:b w:val="1"/>
                <w:bCs w:val="1"/>
                <w:color w:val="00C1DE"/>
              </w:rPr>
              <w:t>$7.59</w:t>
            </w:r>
          </w:p>
        </w:tc>
        <w:tc>
          <w:tcPr>
            <w:tcW w:w="4180" w:type="dxa"/>
            <w:vAlign w:val="bottom"/>
            <w:shd w:val="clear" w:color="auto" w:fill="D8F5FA"/>
          </w:tcPr>
          <w:p>
            <w:pPr>
              <w:ind w:left="160"/>
              <w:spacing w:after="0"/>
              <w:rPr>
                <w:sz w:val="20"/>
                <w:szCs w:val="20"/>
                <w:color w:val="auto"/>
              </w:rPr>
            </w:pPr>
            <w:r>
              <w:rPr>
                <w:rFonts w:ascii="Arial" w:cs="Arial" w:eastAsia="Arial" w:hAnsi="Arial"/>
                <w:sz w:val="18"/>
                <w:szCs w:val="18"/>
                <w:i w:val="1"/>
                <w:iCs w:val="1"/>
                <w:color w:val="3E3935"/>
              </w:rPr>
              <w:t>EPS-diluted-adjusted</w:t>
            </w:r>
            <w:r>
              <w:rPr>
                <w:rFonts w:ascii="Arial" w:cs="Arial" w:eastAsia="Arial" w:hAnsi="Arial"/>
                <w:sz w:val="26"/>
                <w:szCs w:val="26"/>
                <w:i w:val="1"/>
                <w:iCs w:val="1"/>
                <w:color w:val="3E3935"/>
                <w:vertAlign w:val="superscript"/>
              </w:rPr>
              <w:t>(1)</w:t>
            </w:r>
          </w:p>
        </w:tc>
        <w:tc>
          <w:tcPr>
            <w:tcW w:w="0" w:type="dxa"/>
            <w:vAlign w:val="bottom"/>
          </w:tcPr>
          <w:p>
            <w:pPr>
              <w:spacing w:after="0"/>
              <w:rPr>
                <w:sz w:val="1"/>
                <w:szCs w:val="1"/>
                <w:color w:val="auto"/>
              </w:rPr>
            </w:pPr>
          </w:p>
        </w:tc>
      </w:tr>
      <w:tr>
        <w:trPr>
          <w:trHeight w:val="432"/>
        </w:trPr>
        <w:tc>
          <w:tcPr>
            <w:tcW w:w="940" w:type="dxa"/>
            <w:vAlign w:val="bottom"/>
            <w:shd w:val="clear" w:color="auto" w:fill="D8F5FA"/>
          </w:tcPr>
          <w:p>
            <w:pPr>
              <w:jc w:val="right"/>
              <w:spacing w:after="0"/>
              <w:rPr>
                <w:sz w:val="20"/>
                <w:szCs w:val="20"/>
                <w:color w:val="auto"/>
              </w:rPr>
            </w:pPr>
            <w:r>
              <w:rPr>
                <w:rFonts w:ascii="Arial" w:cs="Arial" w:eastAsia="Arial" w:hAnsi="Arial"/>
                <w:sz w:val="22"/>
                <w:szCs w:val="22"/>
                <w:b w:val="1"/>
                <w:bCs w:val="1"/>
                <w:color w:val="00C1DE"/>
              </w:rPr>
              <w:t>$156.7B</w:t>
            </w:r>
          </w:p>
        </w:tc>
        <w:tc>
          <w:tcPr>
            <w:tcW w:w="4140" w:type="dxa"/>
            <w:vAlign w:val="bottom"/>
            <w:shd w:val="clear" w:color="auto" w:fill="D8F5FA"/>
          </w:tcPr>
          <w:p>
            <w:pPr>
              <w:ind w:left="340"/>
              <w:spacing w:after="0"/>
              <w:rPr>
                <w:sz w:val="20"/>
                <w:szCs w:val="20"/>
                <w:color w:val="auto"/>
              </w:rPr>
            </w:pPr>
            <w:r>
              <w:rPr>
                <w:rFonts w:ascii="Arial" w:cs="Arial" w:eastAsia="Arial" w:hAnsi="Arial"/>
                <w:sz w:val="18"/>
                <w:szCs w:val="18"/>
                <w:i w:val="1"/>
                <w:iCs w:val="1"/>
                <w:color w:val="3E3935"/>
              </w:rPr>
              <w:t>Revenue</w:t>
            </w:r>
          </w:p>
        </w:tc>
        <w:tc>
          <w:tcPr>
            <w:tcW w:w="1340" w:type="dxa"/>
            <w:vAlign w:val="bottom"/>
            <w:shd w:val="clear" w:color="auto" w:fill="D8F5FA"/>
          </w:tcPr>
          <w:p>
            <w:pPr>
              <w:jc w:val="right"/>
              <w:ind w:right="72"/>
              <w:spacing w:after="0"/>
              <w:rPr>
                <w:sz w:val="20"/>
                <w:szCs w:val="20"/>
                <w:color w:val="auto"/>
              </w:rPr>
            </w:pPr>
            <w:r>
              <w:rPr>
                <w:rFonts w:ascii="Arial" w:cs="Arial" w:eastAsia="Arial" w:hAnsi="Arial"/>
                <w:sz w:val="22"/>
                <w:szCs w:val="22"/>
                <w:b w:val="1"/>
                <w:bCs w:val="1"/>
                <w:color w:val="00C1DE"/>
              </w:rPr>
              <w:t>$19.1B</w:t>
            </w:r>
          </w:p>
        </w:tc>
        <w:tc>
          <w:tcPr>
            <w:tcW w:w="4180" w:type="dxa"/>
            <w:vAlign w:val="bottom"/>
            <w:shd w:val="clear" w:color="auto" w:fill="D8F5FA"/>
          </w:tcPr>
          <w:p>
            <w:pPr>
              <w:ind w:left="160"/>
              <w:spacing w:after="0"/>
              <w:rPr>
                <w:sz w:val="20"/>
                <w:szCs w:val="20"/>
                <w:color w:val="auto"/>
              </w:rPr>
            </w:pPr>
            <w:r>
              <w:rPr>
                <w:rFonts w:ascii="Arial" w:cs="Arial" w:eastAsia="Arial" w:hAnsi="Arial"/>
                <w:sz w:val="18"/>
                <w:szCs w:val="18"/>
                <w:i w:val="1"/>
                <w:iCs w:val="1"/>
                <w:color w:val="3E3935"/>
              </w:rPr>
              <w:t>Automotive operating cash flow</w:t>
            </w:r>
          </w:p>
        </w:tc>
        <w:tc>
          <w:tcPr>
            <w:tcW w:w="0" w:type="dxa"/>
            <w:vAlign w:val="bottom"/>
          </w:tcPr>
          <w:p>
            <w:pPr>
              <w:spacing w:after="0"/>
              <w:rPr>
                <w:sz w:val="1"/>
                <w:szCs w:val="1"/>
                <w:color w:val="auto"/>
              </w:rPr>
            </w:pPr>
          </w:p>
        </w:tc>
      </w:tr>
      <w:tr>
        <w:trPr>
          <w:trHeight w:val="240"/>
        </w:trPr>
        <w:tc>
          <w:tcPr>
            <w:tcW w:w="940" w:type="dxa"/>
            <w:vAlign w:val="bottom"/>
            <w:vMerge w:val="restart"/>
            <w:shd w:val="clear" w:color="auto" w:fill="D8F5FA"/>
          </w:tcPr>
          <w:p>
            <w:pPr>
              <w:jc w:val="right"/>
              <w:spacing w:after="0"/>
              <w:rPr>
                <w:sz w:val="20"/>
                <w:szCs w:val="20"/>
                <w:color w:val="auto"/>
              </w:rPr>
            </w:pPr>
            <w:r>
              <w:rPr>
                <w:rFonts w:ascii="Arial" w:cs="Arial" w:eastAsia="Arial" w:hAnsi="Arial"/>
                <w:sz w:val="22"/>
                <w:szCs w:val="22"/>
                <w:b w:val="1"/>
                <w:bCs w:val="1"/>
                <w:color w:val="00C1DE"/>
              </w:rPr>
              <w:t>$39.5B</w:t>
            </w:r>
          </w:p>
        </w:tc>
        <w:tc>
          <w:tcPr>
            <w:tcW w:w="4140" w:type="dxa"/>
            <w:vAlign w:val="bottom"/>
            <w:vMerge w:val="restart"/>
            <w:shd w:val="clear" w:color="auto" w:fill="D8F5FA"/>
          </w:tcPr>
          <w:p>
            <w:pPr>
              <w:ind w:left="340"/>
              <w:spacing w:after="0"/>
              <w:rPr>
                <w:sz w:val="20"/>
                <w:szCs w:val="20"/>
                <w:color w:val="auto"/>
              </w:rPr>
            </w:pPr>
            <w:r>
              <w:rPr>
                <w:rFonts w:ascii="Arial" w:cs="Arial" w:eastAsia="Arial" w:hAnsi="Arial"/>
                <w:sz w:val="18"/>
                <w:szCs w:val="18"/>
                <w:i w:val="1"/>
                <w:iCs w:val="1"/>
                <w:color w:val="3E3935"/>
              </w:rPr>
              <w:t>Automotive liquidity at year-end</w:t>
            </w:r>
            <w:r>
              <w:rPr>
                <w:rFonts w:ascii="Arial" w:cs="Arial" w:eastAsia="Arial" w:hAnsi="Arial"/>
                <w:sz w:val="26"/>
                <w:szCs w:val="26"/>
                <w:i w:val="1"/>
                <w:iCs w:val="1"/>
                <w:color w:val="3E3935"/>
                <w:vertAlign w:val="superscript"/>
              </w:rPr>
              <w:t>(2)</w:t>
            </w:r>
          </w:p>
        </w:tc>
        <w:tc>
          <w:tcPr>
            <w:tcW w:w="1340" w:type="dxa"/>
            <w:vAlign w:val="bottom"/>
            <w:vMerge w:val="restart"/>
            <w:shd w:val="clear" w:color="auto" w:fill="D8F5FA"/>
          </w:tcPr>
          <w:p>
            <w:pPr>
              <w:jc w:val="right"/>
              <w:ind w:right="72"/>
              <w:spacing w:after="0"/>
              <w:rPr>
                <w:sz w:val="20"/>
                <w:szCs w:val="20"/>
                <w:color w:val="auto"/>
              </w:rPr>
            </w:pPr>
            <w:r>
              <w:rPr>
                <w:rFonts w:ascii="Arial" w:cs="Arial" w:eastAsia="Arial" w:hAnsi="Arial"/>
                <w:sz w:val="22"/>
                <w:szCs w:val="22"/>
                <w:b w:val="1"/>
                <w:bCs w:val="1"/>
                <w:color w:val="00C1DE"/>
              </w:rPr>
              <w:t>$2.8B</w:t>
            </w:r>
          </w:p>
        </w:tc>
        <w:tc>
          <w:tcPr>
            <w:tcW w:w="4180" w:type="dxa"/>
            <w:vAlign w:val="bottom"/>
            <w:shd w:val="clear" w:color="auto" w:fill="D8F5FA"/>
          </w:tcPr>
          <w:p>
            <w:pPr>
              <w:ind w:left="160"/>
              <w:spacing w:after="0"/>
              <w:rPr>
                <w:sz w:val="20"/>
                <w:szCs w:val="20"/>
                <w:color w:val="auto"/>
              </w:rPr>
            </w:pPr>
            <w:r>
              <w:rPr>
                <w:rFonts w:ascii="Arial" w:cs="Arial" w:eastAsia="Arial" w:hAnsi="Arial"/>
                <w:sz w:val="18"/>
                <w:szCs w:val="18"/>
                <w:i w:val="1"/>
                <w:iCs w:val="1"/>
                <w:color w:val="3E3935"/>
              </w:rPr>
              <w:t>Returned to shareholders via dividends and share</w:t>
            </w:r>
          </w:p>
        </w:tc>
        <w:tc>
          <w:tcPr>
            <w:tcW w:w="0" w:type="dxa"/>
            <w:vAlign w:val="bottom"/>
          </w:tcPr>
          <w:p>
            <w:pPr>
              <w:spacing w:after="0"/>
              <w:rPr>
                <w:sz w:val="1"/>
                <w:szCs w:val="1"/>
                <w:color w:val="auto"/>
              </w:rPr>
            </w:pPr>
          </w:p>
        </w:tc>
      </w:tr>
      <w:tr>
        <w:trPr>
          <w:trHeight w:val="179"/>
        </w:trPr>
        <w:tc>
          <w:tcPr>
            <w:tcW w:w="940" w:type="dxa"/>
            <w:vAlign w:val="bottom"/>
            <w:vMerge w:val="continue"/>
            <w:shd w:val="clear" w:color="auto" w:fill="D8F5FA"/>
          </w:tcPr>
          <w:p>
            <w:pPr>
              <w:spacing w:after="0"/>
              <w:rPr>
                <w:sz w:val="15"/>
                <w:szCs w:val="15"/>
                <w:color w:val="auto"/>
              </w:rPr>
            </w:pPr>
          </w:p>
        </w:tc>
        <w:tc>
          <w:tcPr>
            <w:tcW w:w="4140" w:type="dxa"/>
            <w:vAlign w:val="bottom"/>
            <w:vMerge w:val="continue"/>
            <w:shd w:val="clear" w:color="auto" w:fill="D8F5FA"/>
          </w:tcPr>
          <w:p>
            <w:pPr>
              <w:spacing w:after="0"/>
              <w:rPr>
                <w:sz w:val="15"/>
                <w:szCs w:val="15"/>
                <w:color w:val="auto"/>
              </w:rPr>
            </w:pPr>
          </w:p>
        </w:tc>
        <w:tc>
          <w:tcPr>
            <w:tcW w:w="1340" w:type="dxa"/>
            <w:vAlign w:val="bottom"/>
            <w:vMerge w:val="continue"/>
            <w:shd w:val="clear" w:color="auto" w:fill="D8F5FA"/>
          </w:tcPr>
          <w:p>
            <w:pPr>
              <w:spacing w:after="0"/>
              <w:rPr>
                <w:sz w:val="15"/>
                <w:szCs w:val="15"/>
                <w:color w:val="auto"/>
              </w:rPr>
            </w:pPr>
          </w:p>
        </w:tc>
        <w:tc>
          <w:tcPr>
            <w:tcW w:w="4180" w:type="dxa"/>
            <w:vAlign w:val="bottom"/>
            <w:vMerge w:val="restart"/>
            <w:shd w:val="clear" w:color="auto" w:fill="D8F5FA"/>
          </w:tcPr>
          <w:p>
            <w:pPr>
              <w:ind w:left="160"/>
              <w:spacing w:after="0"/>
              <w:rPr>
                <w:sz w:val="20"/>
                <w:szCs w:val="20"/>
                <w:color w:val="auto"/>
              </w:rPr>
            </w:pPr>
            <w:r>
              <w:rPr>
                <w:rFonts w:ascii="Arial" w:cs="Arial" w:eastAsia="Arial" w:hAnsi="Arial"/>
                <w:sz w:val="18"/>
                <w:szCs w:val="18"/>
                <w:i w:val="1"/>
                <w:iCs w:val="1"/>
                <w:color w:val="3E3935"/>
              </w:rPr>
              <w:t>repurchases</w:t>
            </w:r>
          </w:p>
        </w:tc>
        <w:tc>
          <w:tcPr>
            <w:tcW w:w="0" w:type="dxa"/>
            <w:vAlign w:val="bottom"/>
          </w:tcPr>
          <w:p>
            <w:pPr>
              <w:spacing w:after="0"/>
              <w:rPr>
                <w:sz w:val="1"/>
                <w:szCs w:val="1"/>
                <w:color w:val="auto"/>
              </w:rPr>
            </w:pPr>
          </w:p>
        </w:tc>
      </w:tr>
      <w:tr>
        <w:trPr>
          <w:trHeight w:val="54"/>
        </w:trPr>
        <w:tc>
          <w:tcPr>
            <w:tcW w:w="940" w:type="dxa"/>
            <w:vAlign w:val="bottom"/>
            <w:shd w:val="clear" w:color="auto" w:fill="D8F5FA"/>
          </w:tcPr>
          <w:p>
            <w:pPr>
              <w:spacing w:after="0"/>
              <w:rPr>
                <w:sz w:val="4"/>
                <w:szCs w:val="4"/>
                <w:color w:val="auto"/>
              </w:rPr>
            </w:pPr>
          </w:p>
        </w:tc>
        <w:tc>
          <w:tcPr>
            <w:tcW w:w="4140" w:type="dxa"/>
            <w:vAlign w:val="bottom"/>
            <w:shd w:val="clear" w:color="auto" w:fill="D8F5FA"/>
          </w:tcPr>
          <w:p>
            <w:pPr>
              <w:spacing w:after="0"/>
              <w:rPr>
                <w:sz w:val="4"/>
                <w:szCs w:val="4"/>
                <w:color w:val="auto"/>
              </w:rPr>
            </w:pPr>
          </w:p>
        </w:tc>
        <w:tc>
          <w:tcPr>
            <w:tcW w:w="1340" w:type="dxa"/>
            <w:vAlign w:val="bottom"/>
            <w:shd w:val="clear" w:color="auto" w:fill="D8F5FA"/>
          </w:tcPr>
          <w:p>
            <w:pPr>
              <w:spacing w:after="0"/>
              <w:rPr>
                <w:sz w:val="4"/>
                <w:szCs w:val="4"/>
                <w:color w:val="auto"/>
              </w:rPr>
            </w:pPr>
          </w:p>
        </w:tc>
        <w:tc>
          <w:tcPr>
            <w:tcW w:w="4180" w:type="dxa"/>
            <w:vAlign w:val="bottom"/>
            <w:vMerge w:val="continue"/>
            <w:shd w:val="clear" w:color="auto" w:fill="D8F5FA"/>
          </w:tcPr>
          <w:p>
            <w:pPr>
              <w:spacing w:after="0"/>
              <w:rPr>
                <w:sz w:val="4"/>
                <w:szCs w:val="4"/>
                <w:color w:val="auto"/>
              </w:rPr>
            </w:pPr>
          </w:p>
        </w:tc>
        <w:tc>
          <w:tcPr>
            <w:tcW w:w="0" w:type="dxa"/>
            <w:vAlign w:val="bottom"/>
          </w:tcPr>
          <w:p>
            <w:pPr>
              <w:spacing w:after="0"/>
              <w:rPr>
                <w:sz w:val="1"/>
                <w:szCs w:val="1"/>
                <w:color w:val="auto"/>
              </w:rPr>
            </w:pPr>
          </w:p>
        </w:tc>
      </w:tr>
      <w:tr>
        <w:trPr>
          <w:trHeight w:val="432"/>
        </w:trPr>
        <w:tc>
          <w:tcPr>
            <w:tcW w:w="940" w:type="dxa"/>
            <w:vAlign w:val="bottom"/>
            <w:shd w:val="clear" w:color="auto" w:fill="D8F5FA"/>
          </w:tcPr>
          <w:p>
            <w:pPr>
              <w:jc w:val="right"/>
              <w:spacing w:after="0"/>
              <w:rPr>
                <w:sz w:val="20"/>
                <w:szCs w:val="20"/>
                <w:color w:val="auto"/>
              </w:rPr>
            </w:pPr>
            <w:r>
              <w:rPr>
                <w:rFonts w:ascii="Arial" w:cs="Arial" w:eastAsia="Arial" w:hAnsi="Arial"/>
                <w:sz w:val="22"/>
                <w:szCs w:val="22"/>
                <w:b w:val="1"/>
                <w:bCs w:val="1"/>
                <w:color w:val="00C1DE"/>
              </w:rPr>
              <w:t>3.6M</w:t>
            </w:r>
          </w:p>
        </w:tc>
        <w:tc>
          <w:tcPr>
            <w:tcW w:w="4140" w:type="dxa"/>
            <w:vAlign w:val="bottom"/>
            <w:shd w:val="clear" w:color="auto" w:fill="D8F5FA"/>
          </w:tcPr>
          <w:p>
            <w:pPr>
              <w:ind w:left="340"/>
              <w:spacing w:after="0"/>
              <w:rPr>
                <w:sz w:val="20"/>
                <w:szCs w:val="20"/>
                <w:color w:val="auto"/>
              </w:rPr>
            </w:pPr>
            <w:r>
              <w:rPr>
                <w:rFonts w:ascii="Arial" w:cs="Arial" w:eastAsia="Arial" w:hAnsi="Arial"/>
                <w:sz w:val="18"/>
                <w:szCs w:val="18"/>
                <w:i w:val="1"/>
                <w:iCs w:val="1"/>
                <w:color w:val="3E3935"/>
              </w:rPr>
              <w:t>Wholesale units</w:t>
            </w:r>
          </w:p>
        </w:tc>
        <w:tc>
          <w:tcPr>
            <w:tcW w:w="1340" w:type="dxa"/>
            <w:vAlign w:val="bottom"/>
            <w:shd w:val="clear" w:color="auto" w:fill="D8F5FA"/>
          </w:tcPr>
          <w:p>
            <w:pPr>
              <w:jc w:val="right"/>
              <w:ind w:right="72"/>
              <w:spacing w:after="0"/>
              <w:rPr>
                <w:sz w:val="20"/>
                <w:szCs w:val="20"/>
                <w:color w:val="auto"/>
              </w:rPr>
            </w:pPr>
            <w:r>
              <w:rPr>
                <w:rFonts w:ascii="Arial" w:cs="Arial" w:eastAsia="Arial" w:hAnsi="Arial"/>
                <w:sz w:val="22"/>
                <w:szCs w:val="22"/>
                <w:b w:val="1"/>
                <w:bCs w:val="1"/>
                <w:color w:val="00C1DE"/>
              </w:rPr>
              <w:t>9.2%</w:t>
            </w:r>
          </w:p>
        </w:tc>
        <w:tc>
          <w:tcPr>
            <w:tcW w:w="4180" w:type="dxa"/>
            <w:vAlign w:val="bottom"/>
            <w:shd w:val="clear" w:color="auto" w:fill="D8F5FA"/>
          </w:tcPr>
          <w:p>
            <w:pPr>
              <w:ind w:left="160"/>
              <w:spacing w:after="0"/>
              <w:rPr>
                <w:sz w:val="20"/>
                <w:szCs w:val="20"/>
                <w:color w:val="auto"/>
              </w:rPr>
            </w:pPr>
            <w:r>
              <w:rPr>
                <w:rFonts w:ascii="Arial" w:cs="Arial" w:eastAsia="Arial" w:hAnsi="Arial"/>
                <w:sz w:val="18"/>
                <w:szCs w:val="18"/>
                <w:i w:val="1"/>
                <w:iCs w:val="1"/>
                <w:color w:val="3E3935"/>
              </w:rPr>
              <w:t>Global Market Share</w:t>
            </w:r>
          </w:p>
        </w:tc>
        <w:tc>
          <w:tcPr>
            <w:tcW w:w="0" w:type="dxa"/>
            <w:vAlign w:val="bottom"/>
          </w:tcPr>
          <w:p>
            <w:pPr>
              <w:spacing w:after="0"/>
              <w:rPr>
                <w:sz w:val="1"/>
                <w:szCs w:val="1"/>
                <w:color w:val="auto"/>
              </w:rPr>
            </w:pPr>
          </w:p>
        </w:tc>
      </w:tr>
      <w:tr>
        <w:trPr>
          <w:trHeight w:val="240"/>
        </w:trPr>
        <w:tc>
          <w:tcPr>
            <w:tcW w:w="940" w:type="dxa"/>
            <w:vAlign w:val="bottom"/>
            <w:vMerge w:val="restart"/>
            <w:shd w:val="clear" w:color="auto" w:fill="D8F5FA"/>
          </w:tcPr>
          <w:p>
            <w:pPr>
              <w:jc w:val="right"/>
              <w:spacing w:after="0"/>
              <w:rPr>
                <w:sz w:val="20"/>
                <w:szCs w:val="20"/>
                <w:color w:val="auto"/>
              </w:rPr>
            </w:pPr>
            <w:r>
              <w:rPr>
                <w:rFonts w:ascii="Arial" w:cs="Arial" w:eastAsia="Arial" w:hAnsi="Arial"/>
                <w:sz w:val="22"/>
                <w:szCs w:val="22"/>
                <w:b w:val="1"/>
                <w:bCs w:val="1"/>
                <w:color w:val="00C1DE"/>
              </w:rPr>
              <w:t>1.1M</w:t>
            </w:r>
          </w:p>
        </w:tc>
        <w:tc>
          <w:tcPr>
            <w:tcW w:w="4140" w:type="dxa"/>
            <w:vAlign w:val="bottom"/>
            <w:shd w:val="clear" w:color="auto" w:fill="D8F5FA"/>
          </w:tcPr>
          <w:p>
            <w:pPr>
              <w:ind w:left="340"/>
              <w:spacing w:after="0"/>
              <w:rPr>
                <w:sz w:val="20"/>
                <w:szCs w:val="20"/>
                <w:color w:val="auto"/>
              </w:rPr>
            </w:pPr>
            <w:r>
              <w:rPr>
                <w:rFonts w:ascii="Arial" w:cs="Arial" w:eastAsia="Arial" w:hAnsi="Arial"/>
                <w:sz w:val="18"/>
                <w:szCs w:val="18"/>
                <w:i w:val="1"/>
                <w:iCs w:val="1"/>
                <w:color w:val="3E3935"/>
              </w:rPr>
              <w:t>Full-size pickups, midsize pickups, and full-size</w:t>
            </w:r>
          </w:p>
        </w:tc>
        <w:tc>
          <w:tcPr>
            <w:tcW w:w="1340" w:type="dxa"/>
            <w:vAlign w:val="bottom"/>
            <w:vMerge w:val="restart"/>
            <w:shd w:val="clear" w:color="auto" w:fill="D8F5FA"/>
          </w:tcPr>
          <w:p>
            <w:pPr>
              <w:jc w:val="right"/>
              <w:ind w:right="72"/>
              <w:spacing w:after="0"/>
              <w:rPr>
                <w:sz w:val="20"/>
                <w:szCs w:val="20"/>
                <w:color w:val="auto"/>
              </w:rPr>
            </w:pPr>
            <w:r>
              <w:rPr>
                <w:rFonts w:ascii="Arial" w:cs="Arial" w:eastAsia="Arial" w:hAnsi="Arial"/>
                <w:sz w:val="22"/>
                <w:szCs w:val="22"/>
                <w:b w:val="1"/>
                <w:bCs w:val="1"/>
                <w:color w:val="00C1DE"/>
              </w:rPr>
              <w:t>16.0%</w:t>
            </w:r>
          </w:p>
        </w:tc>
        <w:tc>
          <w:tcPr>
            <w:tcW w:w="4180" w:type="dxa"/>
            <w:vAlign w:val="bottom"/>
            <w:vMerge w:val="restart"/>
            <w:shd w:val="clear" w:color="auto" w:fill="D8F5FA"/>
          </w:tcPr>
          <w:p>
            <w:pPr>
              <w:ind w:left="160"/>
              <w:spacing w:after="0"/>
              <w:rPr>
                <w:sz w:val="20"/>
                <w:szCs w:val="20"/>
                <w:color w:val="auto"/>
              </w:rPr>
            </w:pPr>
            <w:r>
              <w:rPr>
                <w:rFonts w:ascii="Arial" w:cs="Arial" w:eastAsia="Arial" w:hAnsi="Arial"/>
                <w:sz w:val="18"/>
                <w:szCs w:val="18"/>
                <w:i w:val="1"/>
                <w:iCs w:val="1"/>
                <w:color w:val="3E3935"/>
              </w:rPr>
              <w:t>U.S. Market Share</w:t>
            </w:r>
          </w:p>
        </w:tc>
        <w:tc>
          <w:tcPr>
            <w:tcW w:w="0" w:type="dxa"/>
            <w:vAlign w:val="bottom"/>
          </w:tcPr>
          <w:p>
            <w:pPr>
              <w:spacing w:after="0"/>
              <w:rPr>
                <w:sz w:val="1"/>
                <w:szCs w:val="1"/>
                <w:color w:val="auto"/>
              </w:rPr>
            </w:pPr>
          </w:p>
        </w:tc>
      </w:tr>
      <w:tr>
        <w:trPr>
          <w:trHeight w:val="164"/>
        </w:trPr>
        <w:tc>
          <w:tcPr>
            <w:tcW w:w="940" w:type="dxa"/>
            <w:vAlign w:val="bottom"/>
            <w:vMerge w:val="continue"/>
            <w:shd w:val="clear" w:color="auto" w:fill="D8F5FA"/>
          </w:tcPr>
          <w:p>
            <w:pPr>
              <w:spacing w:after="0"/>
              <w:rPr>
                <w:sz w:val="14"/>
                <w:szCs w:val="14"/>
                <w:color w:val="auto"/>
              </w:rPr>
            </w:pPr>
          </w:p>
        </w:tc>
        <w:tc>
          <w:tcPr>
            <w:tcW w:w="4140" w:type="dxa"/>
            <w:vAlign w:val="bottom"/>
            <w:vMerge w:val="restart"/>
            <w:shd w:val="clear" w:color="auto" w:fill="D8F5FA"/>
          </w:tcPr>
          <w:p>
            <w:pPr>
              <w:ind w:left="340"/>
              <w:spacing w:after="0"/>
              <w:rPr>
                <w:sz w:val="20"/>
                <w:szCs w:val="20"/>
                <w:color w:val="auto"/>
              </w:rPr>
            </w:pPr>
            <w:r>
              <w:rPr>
                <w:rFonts w:ascii="Arial" w:cs="Arial" w:eastAsia="Arial" w:hAnsi="Arial"/>
                <w:sz w:val="18"/>
                <w:szCs w:val="18"/>
                <w:i w:val="1"/>
                <w:iCs w:val="1"/>
                <w:color w:val="3E3935"/>
              </w:rPr>
              <w:t>SUVs sold in the U.S.</w:t>
            </w:r>
          </w:p>
        </w:tc>
        <w:tc>
          <w:tcPr>
            <w:tcW w:w="1340" w:type="dxa"/>
            <w:vAlign w:val="bottom"/>
            <w:vMerge w:val="continue"/>
            <w:shd w:val="clear" w:color="auto" w:fill="D8F5FA"/>
          </w:tcPr>
          <w:p>
            <w:pPr>
              <w:spacing w:after="0"/>
              <w:rPr>
                <w:sz w:val="14"/>
                <w:szCs w:val="14"/>
                <w:color w:val="auto"/>
              </w:rPr>
            </w:pPr>
          </w:p>
        </w:tc>
        <w:tc>
          <w:tcPr>
            <w:tcW w:w="4180" w:type="dxa"/>
            <w:vAlign w:val="bottom"/>
            <w:vMerge w:val="continue"/>
            <w:shd w:val="clear" w:color="auto" w:fill="D8F5FA"/>
          </w:tcPr>
          <w:p>
            <w:pPr>
              <w:spacing w:after="0"/>
              <w:rPr>
                <w:sz w:val="14"/>
                <w:szCs w:val="14"/>
                <w:color w:val="auto"/>
              </w:rPr>
            </w:pPr>
          </w:p>
        </w:tc>
        <w:tc>
          <w:tcPr>
            <w:tcW w:w="0" w:type="dxa"/>
            <w:vAlign w:val="bottom"/>
          </w:tcPr>
          <w:p>
            <w:pPr>
              <w:spacing w:after="0"/>
              <w:rPr>
                <w:sz w:val="1"/>
                <w:szCs w:val="1"/>
                <w:color w:val="auto"/>
              </w:rPr>
            </w:pPr>
          </w:p>
        </w:tc>
      </w:tr>
      <w:tr>
        <w:trPr>
          <w:trHeight w:val="55"/>
        </w:trPr>
        <w:tc>
          <w:tcPr>
            <w:tcW w:w="940" w:type="dxa"/>
            <w:vAlign w:val="bottom"/>
            <w:shd w:val="clear" w:color="auto" w:fill="D8F5FA"/>
          </w:tcPr>
          <w:p>
            <w:pPr>
              <w:spacing w:after="0"/>
              <w:rPr>
                <w:sz w:val="4"/>
                <w:szCs w:val="4"/>
                <w:color w:val="auto"/>
              </w:rPr>
            </w:pPr>
          </w:p>
        </w:tc>
        <w:tc>
          <w:tcPr>
            <w:tcW w:w="4140" w:type="dxa"/>
            <w:vAlign w:val="bottom"/>
            <w:vMerge w:val="continue"/>
            <w:shd w:val="clear" w:color="auto" w:fill="D8F5FA"/>
          </w:tcPr>
          <w:p>
            <w:pPr>
              <w:spacing w:after="0"/>
              <w:rPr>
                <w:sz w:val="4"/>
                <w:szCs w:val="4"/>
                <w:color w:val="auto"/>
              </w:rPr>
            </w:pPr>
          </w:p>
        </w:tc>
        <w:tc>
          <w:tcPr>
            <w:tcW w:w="1340" w:type="dxa"/>
            <w:vAlign w:val="bottom"/>
            <w:shd w:val="clear" w:color="auto" w:fill="D8F5FA"/>
          </w:tcPr>
          <w:p>
            <w:pPr>
              <w:spacing w:after="0"/>
              <w:rPr>
                <w:sz w:val="4"/>
                <w:szCs w:val="4"/>
                <w:color w:val="auto"/>
              </w:rPr>
            </w:pPr>
          </w:p>
        </w:tc>
        <w:tc>
          <w:tcPr>
            <w:tcW w:w="4180" w:type="dxa"/>
            <w:vAlign w:val="bottom"/>
            <w:shd w:val="clear" w:color="auto" w:fill="D8F5FA"/>
          </w:tcPr>
          <w:p>
            <w:pPr>
              <w:spacing w:after="0"/>
              <w:rPr>
                <w:sz w:val="4"/>
                <w:szCs w:val="4"/>
                <w:color w:val="auto"/>
              </w:rPr>
            </w:pPr>
          </w:p>
        </w:tc>
        <w:tc>
          <w:tcPr>
            <w:tcW w:w="0" w:type="dxa"/>
            <w:vAlign w:val="bottom"/>
          </w:tcPr>
          <w:p>
            <w:pPr>
              <w:spacing w:after="0"/>
              <w:rPr>
                <w:sz w:val="1"/>
                <w:szCs w:val="1"/>
                <w:color w:val="auto"/>
              </w:rPr>
            </w:pPr>
          </w:p>
        </w:tc>
      </w:tr>
      <w:tr>
        <w:trPr>
          <w:trHeight w:val="297"/>
        </w:trPr>
        <w:tc>
          <w:tcPr>
            <w:tcW w:w="940" w:type="dxa"/>
            <w:vAlign w:val="bottom"/>
            <w:shd w:val="clear" w:color="auto" w:fill="D8F5FA"/>
          </w:tcPr>
          <w:p>
            <w:pPr>
              <w:jc w:val="right"/>
              <w:spacing w:after="0"/>
              <w:rPr>
                <w:sz w:val="20"/>
                <w:szCs w:val="20"/>
                <w:color w:val="auto"/>
              </w:rPr>
            </w:pPr>
            <w:r>
              <w:rPr>
                <w:rFonts w:ascii="Arial" w:cs="Arial" w:eastAsia="Arial" w:hAnsi="Arial"/>
                <w:sz w:val="22"/>
                <w:szCs w:val="22"/>
                <w:b w:val="1"/>
                <w:bCs w:val="1"/>
                <w:color w:val="00C1DE"/>
              </w:rPr>
              <w:t>16.3K</w:t>
            </w:r>
          </w:p>
        </w:tc>
        <w:tc>
          <w:tcPr>
            <w:tcW w:w="4140" w:type="dxa"/>
            <w:vAlign w:val="bottom"/>
            <w:shd w:val="clear" w:color="auto" w:fill="D8F5FA"/>
          </w:tcPr>
          <w:p>
            <w:pPr>
              <w:ind w:left="340"/>
              <w:spacing w:after="0"/>
              <w:rPr>
                <w:sz w:val="20"/>
                <w:szCs w:val="20"/>
                <w:color w:val="auto"/>
              </w:rPr>
            </w:pPr>
            <w:r>
              <w:rPr>
                <w:rFonts w:ascii="Arial" w:cs="Arial" w:eastAsia="Arial" w:hAnsi="Arial"/>
                <w:sz w:val="18"/>
                <w:szCs w:val="18"/>
                <w:i w:val="1"/>
                <w:iCs w:val="1"/>
                <w:color w:val="3E3935"/>
              </w:rPr>
              <w:t>EVs sold In the U.S.</w:t>
            </w:r>
          </w:p>
        </w:tc>
        <w:tc>
          <w:tcPr>
            <w:tcW w:w="1340" w:type="dxa"/>
            <w:vAlign w:val="bottom"/>
            <w:shd w:val="clear" w:color="auto" w:fill="D8F5FA"/>
          </w:tcPr>
          <w:p>
            <w:pPr>
              <w:jc w:val="right"/>
              <w:ind w:right="72"/>
              <w:spacing w:after="0"/>
              <w:rPr>
                <w:sz w:val="20"/>
                <w:szCs w:val="20"/>
                <w:color w:val="auto"/>
              </w:rPr>
            </w:pPr>
            <w:r>
              <w:rPr>
                <w:rFonts w:ascii="Arial" w:cs="Arial" w:eastAsia="Arial" w:hAnsi="Arial"/>
                <w:sz w:val="22"/>
                <w:szCs w:val="22"/>
                <w:b w:val="1"/>
                <w:bCs w:val="1"/>
                <w:color w:val="00C1DE"/>
              </w:rPr>
              <w:t>$51K</w:t>
            </w:r>
          </w:p>
        </w:tc>
        <w:tc>
          <w:tcPr>
            <w:tcW w:w="4180" w:type="dxa"/>
            <w:vAlign w:val="bottom"/>
            <w:shd w:val="clear" w:color="auto" w:fill="D8F5FA"/>
          </w:tcPr>
          <w:p>
            <w:pPr>
              <w:ind w:left="160"/>
              <w:spacing w:after="0"/>
              <w:rPr>
                <w:sz w:val="20"/>
                <w:szCs w:val="20"/>
                <w:color w:val="auto"/>
              </w:rPr>
            </w:pPr>
            <w:r>
              <w:rPr>
                <w:rFonts w:ascii="Arial" w:cs="Arial" w:eastAsia="Arial" w:hAnsi="Arial"/>
                <w:sz w:val="18"/>
                <w:szCs w:val="18"/>
                <w:i w:val="1"/>
                <w:iCs w:val="1"/>
                <w:color w:val="3E3935"/>
              </w:rPr>
              <w:t>U.S. average transaction price</w:t>
            </w:r>
          </w:p>
        </w:tc>
        <w:tc>
          <w:tcPr>
            <w:tcW w:w="0" w:type="dxa"/>
            <w:vAlign w:val="bottom"/>
          </w:tcPr>
          <w:p>
            <w:pPr>
              <w:spacing w:after="0"/>
              <w:rPr>
                <w:sz w:val="1"/>
                <w:szCs w:val="1"/>
                <w:color w:val="auto"/>
              </w:rPr>
            </w:pPr>
          </w:p>
        </w:tc>
      </w:tr>
    </w:tbl>
    <w:p>
      <w:pPr>
        <w:spacing w:after="0" w:line="105" w:lineRule="exact"/>
        <w:rPr>
          <w:sz w:val="20"/>
          <w:szCs w:val="20"/>
          <w:color w:val="auto"/>
        </w:rPr>
      </w:pPr>
    </w:p>
    <w:p>
      <w:pPr>
        <w:ind w:left="740" w:hanging="424"/>
        <w:spacing w:after="0" w:line="269" w:lineRule="auto"/>
        <w:tabs>
          <w:tab w:leader="none" w:pos="740" w:val="left"/>
        </w:tabs>
        <w:numPr>
          <w:ilvl w:val="0"/>
          <w:numId w:val="9"/>
        </w:numPr>
        <w:rPr>
          <w:rFonts w:ascii="Arial" w:cs="Arial" w:eastAsia="Arial" w:hAnsi="Arial"/>
          <w:sz w:val="18"/>
          <w:szCs w:val="18"/>
          <w:i w:val="1"/>
          <w:iCs w:val="1"/>
          <w:color w:val="3E3935"/>
        </w:rPr>
      </w:pPr>
      <w:r>
        <w:rPr>
          <w:rFonts w:ascii="Arial" w:cs="Arial" w:eastAsia="Arial" w:hAnsi="Arial"/>
          <w:sz w:val="18"/>
          <w:szCs w:val="18"/>
          <w:i w:val="1"/>
          <w:iCs w:val="1"/>
          <w:color w:val="3E3935"/>
        </w:rPr>
        <w:t>Non-GAAP financial measure. Refer to Appendix A for a reconciliation of non-GAAP financial measures to their closest comparable GAAP measure.</w:t>
      </w:r>
    </w:p>
    <w:p>
      <w:pPr>
        <w:spacing w:after="0" w:line="62" w:lineRule="exact"/>
        <w:rPr>
          <w:rFonts w:ascii="Arial" w:cs="Arial" w:eastAsia="Arial" w:hAnsi="Arial"/>
          <w:sz w:val="18"/>
          <w:szCs w:val="18"/>
          <w:i w:val="1"/>
          <w:iCs w:val="1"/>
          <w:color w:val="3E3935"/>
        </w:rPr>
      </w:pPr>
    </w:p>
    <w:p>
      <w:pPr>
        <w:ind w:left="740" w:hanging="424"/>
        <w:spacing w:after="0"/>
        <w:tabs>
          <w:tab w:leader="none" w:pos="740" w:val="left"/>
        </w:tabs>
        <w:numPr>
          <w:ilvl w:val="0"/>
          <w:numId w:val="9"/>
        </w:numPr>
        <w:rPr>
          <w:rFonts w:ascii="Arial" w:cs="Arial" w:eastAsia="Arial" w:hAnsi="Arial"/>
          <w:sz w:val="18"/>
          <w:szCs w:val="18"/>
          <w:i w:val="1"/>
          <w:iCs w:val="1"/>
          <w:color w:val="3E3935"/>
        </w:rPr>
      </w:pPr>
      <w:r>
        <w:rPr>
          <w:rFonts w:ascii="Arial" w:cs="Arial" w:eastAsia="Arial" w:hAnsi="Arial"/>
          <w:sz w:val="18"/>
          <w:szCs w:val="18"/>
          <w:i w:val="1"/>
          <w:iCs w:val="1"/>
          <w:color w:val="3E3935"/>
        </w:rPr>
        <w:t>Consists of cash, cash equivalents, marketable debt securities, and borrowing capacity under our revolving credit facilities.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tbl>
      <w:tblPr>
        <w:tblLayout w:type="fixed"/>
        <w:tblInd w:w="320" w:type="dxa"/>
        <w:tblCellMar>
          <w:top w:w="0" w:type="dxa"/>
          <w:left w:w="0" w:type="dxa"/>
          <w:bottom w:w="0" w:type="dxa"/>
          <w:right w:w="0" w:type="dxa"/>
        </w:tblCellMar>
      </w:tblPr>
      <w:tr>
        <w:trPr>
          <w:trHeight w:val="332"/>
        </w:trPr>
        <w:tc>
          <w:tcPr>
            <w:tcW w:w="160" w:type="dxa"/>
            <w:vAlign w:val="bottom"/>
          </w:tcPr>
          <w:p>
            <w:pPr>
              <w:spacing w:after="0"/>
              <w:rPr>
                <w:sz w:val="20"/>
                <w:szCs w:val="20"/>
                <w:color w:val="auto"/>
              </w:rPr>
            </w:pPr>
            <w:r>
              <w:rPr>
                <w:rFonts w:ascii="Times New Roman" w:cs="Times New Roman" w:eastAsia="Times New Roman" w:hAnsi="Times New Roman"/>
                <w:sz w:val="19"/>
                <w:szCs w:val="19"/>
                <w:color w:val="0071CE"/>
              </w:rPr>
              <w:t>u</w:t>
            </w:r>
          </w:p>
        </w:tc>
        <w:tc>
          <w:tcPr>
            <w:tcW w:w="3400" w:type="dxa"/>
            <w:vAlign w:val="bottom"/>
          </w:tcPr>
          <w:p>
            <w:pPr>
              <w:ind w:left="340"/>
              <w:spacing w:after="0"/>
              <w:rPr>
                <w:sz w:val="20"/>
                <w:szCs w:val="20"/>
                <w:color w:val="auto"/>
              </w:rPr>
            </w:pPr>
            <w:r>
              <w:rPr>
                <w:rFonts w:ascii="Arial" w:cs="Arial" w:eastAsia="Arial" w:hAnsi="Arial"/>
                <w:sz w:val="25"/>
                <w:szCs w:val="25"/>
                <w:color w:val="3E3935"/>
              </w:rPr>
              <w:t>Performance Highlights</w:t>
            </w:r>
          </w:p>
        </w:tc>
        <w:tc>
          <w:tcPr>
            <w:tcW w:w="360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60" w:type="dxa"/>
            <w:vAlign w:val="bottom"/>
          </w:tcPr>
          <w:p>
            <w:pPr>
              <w:spacing w:after="0"/>
              <w:rPr>
                <w:sz w:val="20"/>
                <w:szCs w:val="20"/>
                <w:color w:val="auto"/>
              </w:rPr>
            </w:pPr>
          </w:p>
        </w:tc>
        <w:tc>
          <w:tcPr>
            <w:tcW w:w="3400" w:type="dxa"/>
            <w:vAlign w:val="bottom"/>
            <w:vMerge w:val="restart"/>
          </w:tcPr>
          <w:p>
            <w:pPr>
              <w:jc w:val="center"/>
              <w:spacing w:after="0"/>
              <w:rPr>
                <w:sz w:val="20"/>
                <w:szCs w:val="20"/>
                <w:color w:val="auto"/>
              </w:rPr>
            </w:pPr>
            <w:r>
              <w:rPr>
                <w:rFonts w:ascii="Arial" w:cs="Arial" w:eastAsia="Arial" w:hAnsi="Arial"/>
                <w:sz w:val="18"/>
                <w:szCs w:val="18"/>
                <w:color w:val="3E3935"/>
                <w:w w:val="99"/>
              </w:rPr>
              <w:t>U.S. Market Leader</w:t>
            </w:r>
          </w:p>
        </w:tc>
        <w:tc>
          <w:tcPr>
            <w:tcW w:w="3600" w:type="dxa"/>
            <w:vAlign w:val="bottom"/>
          </w:tcPr>
          <w:p>
            <w:pPr>
              <w:spacing w:after="0"/>
              <w:rPr>
                <w:sz w:val="20"/>
                <w:szCs w:val="20"/>
                <w:color w:val="auto"/>
              </w:rPr>
            </w:pPr>
          </w:p>
        </w:tc>
        <w:tc>
          <w:tcPr>
            <w:tcW w:w="3440" w:type="dxa"/>
            <w:vAlign w:val="bottom"/>
            <w:vMerge w:val="restart"/>
          </w:tcPr>
          <w:p>
            <w:pPr>
              <w:jc w:val="center"/>
              <w:spacing w:after="0"/>
              <w:rPr>
                <w:sz w:val="20"/>
                <w:szCs w:val="20"/>
                <w:color w:val="auto"/>
              </w:rPr>
            </w:pPr>
            <w:r>
              <w:rPr>
                <w:rFonts w:ascii="Arial" w:cs="Arial" w:eastAsia="Arial" w:hAnsi="Arial"/>
                <w:sz w:val="18"/>
                <w:szCs w:val="18"/>
                <w:b w:val="1"/>
                <w:bCs w:val="1"/>
                <w:color w:val="0071CE"/>
              </w:rPr>
              <w:t>Opened Ultium Cells JV</w:t>
            </w:r>
          </w:p>
        </w:tc>
        <w:tc>
          <w:tcPr>
            <w:tcW w:w="0" w:type="dxa"/>
            <w:vAlign w:val="bottom"/>
          </w:tcPr>
          <w:p>
            <w:pPr>
              <w:spacing w:after="0"/>
              <w:rPr>
                <w:sz w:val="1"/>
                <w:szCs w:val="1"/>
                <w:color w:val="auto"/>
              </w:rPr>
            </w:pPr>
          </w:p>
        </w:tc>
      </w:tr>
      <w:tr>
        <w:trPr>
          <w:trHeight w:val="319"/>
        </w:trPr>
        <w:tc>
          <w:tcPr>
            <w:tcW w:w="160" w:type="dxa"/>
            <w:vAlign w:val="bottom"/>
          </w:tcPr>
          <w:p>
            <w:pPr>
              <w:spacing w:after="0"/>
              <w:rPr>
                <w:sz w:val="24"/>
                <w:szCs w:val="24"/>
                <w:color w:val="auto"/>
              </w:rPr>
            </w:pPr>
          </w:p>
        </w:tc>
        <w:tc>
          <w:tcPr>
            <w:tcW w:w="3400" w:type="dxa"/>
            <w:vAlign w:val="bottom"/>
            <w:vMerge w:val="continue"/>
          </w:tcPr>
          <w:p>
            <w:pPr>
              <w:spacing w:after="0"/>
              <w:rPr>
                <w:sz w:val="24"/>
                <w:szCs w:val="24"/>
                <w:color w:val="auto"/>
              </w:rPr>
            </w:pPr>
          </w:p>
        </w:tc>
        <w:tc>
          <w:tcPr>
            <w:tcW w:w="3600" w:type="dxa"/>
            <w:vAlign w:val="bottom"/>
            <w:tcBorders>
              <w:left w:val="single" w:sz="8" w:color="0071CE"/>
              <w:right w:val="single" w:sz="8" w:color="0071CE"/>
            </w:tcBorders>
          </w:tcPr>
          <w:p>
            <w:pPr>
              <w:spacing w:after="0"/>
              <w:rPr>
                <w:sz w:val="24"/>
                <w:szCs w:val="24"/>
                <w:color w:val="auto"/>
              </w:rPr>
            </w:pPr>
          </w:p>
        </w:tc>
        <w:tc>
          <w:tcPr>
            <w:tcW w:w="34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81"/>
        </w:trPr>
        <w:tc>
          <w:tcPr>
            <w:tcW w:w="160" w:type="dxa"/>
            <w:vAlign w:val="bottom"/>
          </w:tcPr>
          <w:p>
            <w:pPr>
              <w:spacing w:after="0"/>
              <w:rPr>
                <w:sz w:val="15"/>
                <w:szCs w:val="15"/>
                <w:color w:val="auto"/>
              </w:rPr>
            </w:pPr>
          </w:p>
        </w:tc>
        <w:tc>
          <w:tcPr>
            <w:tcW w:w="3400" w:type="dxa"/>
            <w:vAlign w:val="bottom"/>
          </w:tcPr>
          <w:p>
            <w:pPr>
              <w:jc w:val="center"/>
              <w:spacing w:after="0" w:line="181" w:lineRule="exact"/>
              <w:rPr>
                <w:sz w:val="20"/>
                <w:szCs w:val="20"/>
                <w:color w:val="auto"/>
              </w:rPr>
            </w:pPr>
            <w:r>
              <w:rPr>
                <w:rFonts w:ascii="Arial" w:cs="Arial" w:eastAsia="Arial" w:hAnsi="Arial"/>
                <w:sz w:val="18"/>
                <w:szCs w:val="18"/>
                <w:b w:val="1"/>
                <w:bCs w:val="1"/>
                <w:color w:val="0071CE"/>
              </w:rPr>
              <w:t xml:space="preserve">#1 </w:t>
            </w:r>
            <w:r>
              <w:rPr>
                <w:rFonts w:ascii="Arial" w:cs="Arial" w:eastAsia="Arial" w:hAnsi="Arial"/>
                <w:sz w:val="18"/>
                <w:szCs w:val="18"/>
                <w:color w:val="3E3935"/>
              </w:rPr>
              <w:t>in total sales</w:t>
            </w:r>
          </w:p>
        </w:tc>
        <w:tc>
          <w:tcPr>
            <w:tcW w:w="3600" w:type="dxa"/>
            <w:vAlign w:val="bottom"/>
            <w:tcBorders>
              <w:left w:val="single" w:sz="8" w:color="0071CE"/>
              <w:right w:val="single" w:sz="8" w:color="0071CE"/>
            </w:tcBorders>
          </w:tcPr>
          <w:p>
            <w:pPr>
              <w:spacing w:after="0"/>
              <w:rPr>
                <w:sz w:val="15"/>
                <w:szCs w:val="15"/>
                <w:color w:val="auto"/>
              </w:rPr>
            </w:pPr>
          </w:p>
        </w:tc>
        <w:tc>
          <w:tcPr>
            <w:tcW w:w="34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160" w:type="dxa"/>
            <w:vAlign w:val="bottom"/>
          </w:tcPr>
          <w:p>
            <w:pPr>
              <w:spacing w:after="0"/>
              <w:rPr>
                <w:sz w:val="17"/>
                <w:szCs w:val="17"/>
                <w:color w:val="auto"/>
              </w:rPr>
            </w:pPr>
          </w:p>
        </w:tc>
        <w:tc>
          <w:tcPr>
            <w:tcW w:w="3400" w:type="dxa"/>
            <w:vAlign w:val="bottom"/>
          </w:tcPr>
          <w:p>
            <w:pPr>
              <w:jc w:val="center"/>
              <w:spacing w:after="0" w:line="202" w:lineRule="exact"/>
              <w:rPr>
                <w:sz w:val="20"/>
                <w:szCs w:val="20"/>
                <w:color w:val="auto"/>
              </w:rPr>
            </w:pPr>
            <w:r>
              <w:rPr>
                <w:rFonts w:ascii="Arial" w:cs="Arial" w:eastAsia="Arial" w:hAnsi="Arial"/>
                <w:sz w:val="18"/>
                <w:szCs w:val="18"/>
                <w:b w:val="1"/>
                <w:bCs w:val="1"/>
                <w:color w:val="0071CE"/>
                <w:w w:val="99"/>
              </w:rPr>
              <w:t xml:space="preserve">#1 </w:t>
            </w:r>
            <w:r>
              <w:rPr>
                <w:rFonts w:ascii="Arial" w:cs="Arial" w:eastAsia="Arial" w:hAnsi="Arial"/>
                <w:sz w:val="18"/>
                <w:szCs w:val="18"/>
                <w:color w:val="3E3935"/>
                <w:w w:val="99"/>
              </w:rPr>
              <w:t>in full-size pickup trucks</w:t>
            </w:r>
          </w:p>
        </w:tc>
        <w:tc>
          <w:tcPr>
            <w:tcW w:w="3600" w:type="dxa"/>
            <w:vAlign w:val="bottom"/>
            <w:tcBorders>
              <w:left w:val="single" w:sz="8" w:color="0071CE"/>
              <w:right w:val="single" w:sz="8" w:color="0071CE"/>
            </w:tcBorders>
          </w:tcPr>
          <w:p>
            <w:pPr>
              <w:jc w:val="center"/>
              <w:spacing w:after="0" w:line="202" w:lineRule="exact"/>
              <w:rPr>
                <w:sz w:val="20"/>
                <w:szCs w:val="20"/>
                <w:color w:val="auto"/>
              </w:rPr>
            </w:pPr>
            <w:r>
              <w:rPr>
                <w:rFonts w:ascii="Arial" w:cs="Arial" w:eastAsia="Arial" w:hAnsi="Arial"/>
                <w:sz w:val="18"/>
                <w:szCs w:val="18"/>
                <w:b w:val="1"/>
                <w:bCs w:val="1"/>
                <w:color w:val="0071CE"/>
                <w:w w:val="99"/>
              </w:rPr>
              <w:t xml:space="preserve">Record </w:t>
            </w:r>
            <w:r>
              <w:rPr>
                <w:rFonts w:ascii="Arial" w:cs="Arial" w:eastAsia="Arial" w:hAnsi="Arial"/>
                <w:sz w:val="18"/>
                <w:szCs w:val="18"/>
                <w:color w:val="3E3935"/>
                <w:w w:val="99"/>
              </w:rPr>
              <w:t>Chevrolet Bolt EV and</w:t>
            </w:r>
          </w:p>
        </w:tc>
        <w:tc>
          <w:tcPr>
            <w:tcW w:w="3440" w:type="dxa"/>
            <w:vAlign w:val="bottom"/>
          </w:tcPr>
          <w:p>
            <w:pPr>
              <w:jc w:val="center"/>
              <w:spacing w:after="0" w:line="202" w:lineRule="exact"/>
              <w:rPr>
                <w:sz w:val="20"/>
                <w:szCs w:val="20"/>
                <w:color w:val="auto"/>
              </w:rPr>
            </w:pPr>
            <w:r>
              <w:rPr>
                <w:rFonts w:ascii="Arial" w:cs="Arial" w:eastAsia="Arial" w:hAnsi="Arial"/>
                <w:sz w:val="18"/>
                <w:szCs w:val="18"/>
                <w:b w:val="1"/>
                <w:bCs w:val="1"/>
                <w:color w:val="0071CE"/>
                <w:w w:val="99"/>
              </w:rPr>
              <w:t xml:space="preserve">battery plant </w:t>
            </w:r>
            <w:r>
              <w:rPr>
                <w:rFonts w:ascii="Arial" w:cs="Arial" w:eastAsia="Arial" w:hAnsi="Arial"/>
                <w:sz w:val="18"/>
                <w:szCs w:val="18"/>
                <w:color w:val="3E3935"/>
                <w:w w:val="99"/>
              </w:rPr>
              <w:t>in Warren, OH;</w:t>
            </w:r>
          </w:p>
        </w:tc>
        <w:tc>
          <w:tcPr>
            <w:tcW w:w="0" w:type="dxa"/>
            <w:vAlign w:val="bottom"/>
          </w:tcPr>
          <w:p>
            <w:pPr>
              <w:spacing w:after="0"/>
              <w:rPr>
                <w:sz w:val="1"/>
                <w:szCs w:val="1"/>
                <w:color w:val="auto"/>
              </w:rPr>
            </w:pPr>
          </w:p>
        </w:tc>
      </w:tr>
      <w:tr>
        <w:trPr>
          <w:trHeight w:val="203"/>
        </w:trPr>
        <w:tc>
          <w:tcPr>
            <w:tcW w:w="160" w:type="dxa"/>
            <w:vAlign w:val="bottom"/>
          </w:tcPr>
          <w:p>
            <w:pPr>
              <w:spacing w:after="0"/>
              <w:rPr>
                <w:sz w:val="17"/>
                <w:szCs w:val="17"/>
                <w:color w:val="auto"/>
              </w:rPr>
            </w:pPr>
          </w:p>
        </w:tc>
        <w:tc>
          <w:tcPr>
            <w:tcW w:w="3400" w:type="dxa"/>
            <w:vAlign w:val="bottom"/>
          </w:tcPr>
          <w:p>
            <w:pPr>
              <w:jc w:val="center"/>
              <w:spacing w:after="0" w:line="202" w:lineRule="exact"/>
              <w:rPr>
                <w:sz w:val="20"/>
                <w:szCs w:val="20"/>
                <w:color w:val="auto"/>
              </w:rPr>
            </w:pPr>
            <w:r>
              <w:rPr>
                <w:rFonts w:ascii="Arial" w:cs="Arial" w:eastAsia="Arial" w:hAnsi="Arial"/>
                <w:sz w:val="18"/>
                <w:szCs w:val="18"/>
                <w:b w:val="1"/>
                <w:bCs w:val="1"/>
                <w:color w:val="0071CE"/>
                <w:w w:val="99"/>
              </w:rPr>
              <w:t xml:space="preserve">#1 </w:t>
            </w:r>
            <w:r>
              <w:rPr>
                <w:rFonts w:ascii="Arial" w:cs="Arial" w:eastAsia="Arial" w:hAnsi="Arial"/>
                <w:sz w:val="18"/>
                <w:szCs w:val="18"/>
                <w:color w:val="3E3935"/>
                <w:w w:val="99"/>
              </w:rPr>
              <w:t>in full-size, large luxury SUVs</w:t>
            </w:r>
          </w:p>
        </w:tc>
        <w:tc>
          <w:tcPr>
            <w:tcW w:w="3600" w:type="dxa"/>
            <w:vAlign w:val="bottom"/>
            <w:tcBorders>
              <w:left w:val="single" w:sz="8" w:color="0071CE"/>
              <w:right w:val="single" w:sz="8" w:color="0071CE"/>
            </w:tcBorders>
          </w:tcPr>
          <w:p>
            <w:pPr>
              <w:jc w:val="center"/>
              <w:spacing w:after="0" w:line="202" w:lineRule="exact"/>
              <w:rPr>
                <w:sz w:val="20"/>
                <w:szCs w:val="20"/>
                <w:color w:val="auto"/>
              </w:rPr>
            </w:pPr>
            <w:r>
              <w:rPr>
                <w:rFonts w:ascii="Arial" w:cs="Arial" w:eastAsia="Arial" w:hAnsi="Arial"/>
                <w:sz w:val="18"/>
                <w:szCs w:val="18"/>
                <w:color w:val="3E3935"/>
                <w:w w:val="99"/>
              </w:rPr>
              <w:t>Bolt EUV deliveries</w:t>
            </w:r>
          </w:p>
        </w:tc>
        <w:tc>
          <w:tcPr>
            <w:tcW w:w="3440" w:type="dxa"/>
            <w:vAlign w:val="bottom"/>
          </w:tcPr>
          <w:p>
            <w:pPr>
              <w:jc w:val="center"/>
              <w:spacing w:after="0" w:line="202" w:lineRule="exact"/>
              <w:rPr>
                <w:sz w:val="20"/>
                <w:szCs w:val="20"/>
                <w:color w:val="auto"/>
              </w:rPr>
            </w:pPr>
            <w:r>
              <w:rPr>
                <w:rFonts w:ascii="Arial" w:cs="Arial" w:eastAsia="Arial" w:hAnsi="Arial"/>
                <w:sz w:val="18"/>
                <w:szCs w:val="18"/>
                <w:color w:val="3E3935"/>
                <w:w w:val="99"/>
              </w:rPr>
              <w:t>Spring Hill, TN opening in mid-2023;</w:t>
            </w:r>
          </w:p>
        </w:tc>
        <w:tc>
          <w:tcPr>
            <w:tcW w:w="0" w:type="dxa"/>
            <w:vAlign w:val="bottom"/>
          </w:tcPr>
          <w:p>
            <w:pPr>
              <w:spacing w:after="0"/>
              <w:rPr>
                <w:sz w:val="1"/>
                <w:szCs w:val="1"/>
                <w:color w:val="auto"/>
              </w:rPr>
            </w:pPr>
          </w:p>
        </w:tc>
      </w:tr>
      <w:tr>
        <w:trPr>
          <w:trHeight w:val="268"/>
        </w:trPr>
        <w:tc>
          <w:tcPr>
            <w:tcW w:w="160" w:type="dxa"/>
            <w:vAlign w:val="bottom"/>
          </w:tcPr>
          <w:p>
            <w:pPr>
              <w:spacing w:after="0"/>
              <w:rPr>
                <w:sz w:val="23"/>
                <w:szCs w:val="23"/>
                <w:color w:val="auto"/>
              </w:rPr>
            </w:pPr>
          </w:p>
        </w:tc>
        <w:tc>
          <w:tcPr>
            <w:tcW w:w="3400" w:type="dxa"/>
            <w:vAlign w:val="bottom"/>
          </w:tcPr>
          <w:p>
            <w:pPr>
              <w:jc w:val="center"/>
              <w:spacing w:after="0"/>
              <w:rPr>
                <w:sz w:val="20"/>
                <w:szCs w:val="20"/>
                <w:color w:val="auto"/>
              </w:rPr>
            </w:pPr>
            <w:r>
              <w:rPr>
                <w:rFonts w:ascii="Arial" w:cs="Arial" w:eastAsia="Arial" w:hAnsi="Arial"/>
                <w:sz w:val="18"/>
                <w:szCs w:val="18"/>
                <w:b w:val="1"/>
                <w:bCs w:val="1"/>
                <w:color w:val="0071CE"/>
              </w:rPr>
              <w:t xml:space="preserve">#1 </w:t>
            </w:r>
            <w:r>
              <w:rPr>
                <w:rFonts w:ascii="Arial" w:cs="Arial" w:eastAsia="Arial" w:hAnsi="Arial"/>
                <w:sz w:val="18"/>
                <w:szCs w:val="18"/>
                <w:color w:val="3E3935"/>
              </w:rPr>
              <w:t>in luxury sports cars</w:t>
            </w:r>
          </w:p>
        </w:tc>
        <w:tc>
          <w:tcPr>
            <w:tcW w:w="3600" w:type="dxa"/>
            <w:vAlign w:val="bottom"/>
            <w:tcBorders>
              <w:left w:val="single" w:sz="8" w:color="0071CE"/>
              <w:right w:val="single" w:sz="8" w:color="0071CE"/>
            </w:tcBorders>
          </w:tcPr>
          <w:p>
            <w:pPr>
              <w:spacing w:after="0"/>
              <w:rPr>
                <w:sz w:val="23"/>
                <w:szCs w:val="23"/>
                <w:color w:val="auto"/>
              </w:rPr>
            </w:pPr>
          </w:p>
        </w:tc>
        <w:tc>
          <w:tcPr>
            <w:tcW w:w="3440" w:type="dxa"/>
            <w:vAlign w:val="bottom"/>
          </w:tcPr>
          <w:p>
            <w:pPr>
              <w:jc w:val="center"/>
              <w:spacing w:after="0"/>
              <w:rPr>
                <w:sz w:val="20"/>
                <w:szCs w:val="20"/>
                <w:color w:val="auto"/>
              </w:rPr>
            </w:pPr>
            <w:r>
              <w:rPr>
                <w:rFonts w:ascii="Arial" w:cs="Arial" w:eastAsia="Arial" w:hAnsi="Arial"/>
                <w:sz w:val="18"/>
                <w:szCs w:val="18"/>
                <w:color w:val="3E3935"/>
                <w:w w:val="99"/>
              </w:rPr>
              <w:t>Lansing, MI opening in late 2024</w:t>
            </w:r>
          </w:p>
        </w:tc>
        <w:tc>
          <w:tcPr>
            <w:tcW w:w="0" w:type="dxa"/>
            <w:vAlign w:val="bottom"/>
          </w:tcPr>
          <w:p>
            <w:pPr>
              <w:spacing w:after="0"/>
              <w:rPr>
                <w:sz w:val="1"/>
                <w:szCs w:val="1"/>
                <w:color w:val="auto"/>
              </w:rPr>
            </w:pPr>
          </w:p>
        </w:tc>
      </w:tr>
      <w:tr>
        <w:trPr>
          <w:trHeight w:val="117"/>
        </w:trPr>
        <w:tc>
          <w:tcPr>
            <w:tcW w:w="160" w:type="dxa"/>
            <w:vAlign w:val="bottom"/>
            <w:tcBorders>
              <w:bottom w:val="single" w:sz="8" w:color="0071CE"/>
            </w:tcBorders>
          </w:tcPr>
          <w:p>
            <w:pPr>
              <w:spacing w:after="0"/>
              <w:rPr>
                <w:sz w:val="10"/>
                <w:szCs w:val="10"/>
                <w:color w:val="auto"/>
              </w:rPr>
            </w:pPr>
          </w:p>
        </w:tc>
        <w:tc>
          <w:tcPr>
            <w:tcW w:w="3400" w:type="dxa"/>
            <w:vAlign w:val="bottom"/>
            <w:tcBorders>
              <w:bottom w:val="single" w:sz="8" w:color="0071CE"/>
            </w:tcBorders>
          </w:tcPr>
          <w:p>
            <w:pPr>
              <w:spacing w:after="0"/>
              <w:rPr>
                <w:sz w:val="10"/>
                <w:szCs w:val="10"/>
                <w:color w:val="auto"/>
              </w:rPr>
            </w:pPr>
          </w:p>
        </w:tc>
        <w:tc>
          <w:tcPr>
            <w:tcW w:w="3600" w:type="dxa"/>
            <w:vAlign w:val="bottom"/>
            <w:tcBorders>
              <w:left w:val="single" w:sz="8" w:color="0071CE"/>
              <w:bottom w:val="single" w:sz="8" w:color="0071CE"/>
              <w:right w:val="single" w:sz="8" w:color="0071CE"/>
            </w:tcBorders>
          </w:tcPr>
          <w:p>
            <w:pPr>
              <w:spacing w:after="0"/>
              <w:rPr>
                <w:sz w:val="10"/>
                <w:szCs w:val="10"/>
                <w:color w:val="auto"/>
              </w:rPr>
            </w:pPr>
          </w:p>
        </w:tc>
        <w:tc>
          <w:tcPr>
            <w:tcW w:w="3440" w:type="dxa"/>
            <w:vAlign w:val="bottom"/>
            <w:tcBorders>
              <w:bottom w:val="single" w:sz="8" w:color="0071CE"/>
            </w:tcBorders>
          </w:tcPr>
          <w:p>
            <w:pPr>
              <w:spacing w:after="0"/>
              <w:rPr>
                <w:sz w:val="10"/>
                <w:szCs w:val="10"/>
                <w:color w:val="auto"/>
              </w:rPr>
            </w:pPr>
          </w:p>
        </w:tc>
        <w:tc>
          <w:tcPr>
            <w:tcW w:w="0" w:type="dxa"/>
            <w:vAlign w:val="bottom"/>
          </w:tcPr>
          <w:p>
            <w:pPr>
              <w:spacing w:after="0"/>
              <w:rPr>
                <w:sz w:val="1"/>
                <w:szCs w:val="1"/>
                <w:color w:val="auto"/>
              </w:rPr>
            </w:pPr>
          </w:p>
        </w:tc>
      </w:tr>
      <w:tr>
        <w:trPr>
          <w:trHeight w:val="305"/>
        </w:trPr>
        <w:tc>
          <w:tcPr>
            <w:tcW w:w="16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3600" w:type="dxa"/>
            <w:vAlign w:val="bottom"/>
            <w:tcBorders>
              <w:left w:val="single" w:sz="8" w:color="0071CE"/>
              <w:right w:val="single" w:sz="8" w:color="0071CE"/>
            </w:tcBorders>
          </w:tcPr>
          <w:p>
            <w:pPr>
              <w:jc w:val="center"/>
              <w:spacing w:after="0"/>
              <w:rPr>
                <w:sz w:val="20"/>
                <w:szCs w:val="20"/>
                <w:color w:val="auto"/>
              </w:rPr>
            </w:pPr>
            <w:r>
              <w:rPr>
                <w:rFonts w:ascii="Arial" w:cs="Arial" w:eastAsia="Arial" w:hAnsi="Arial"/>
                <w:sz w:val="18"/>
                <w:szCs w:val="18"/>
                <w:color w:val="3E3935"/>
                <w:w w:val="99"/>
              </w:rPr>
              <w:t xml:space="preserve">Cruise became the </w:t>
            </w:r>
            <w:r>
              <w:rPr>
                <w:rFonts w:ascii="Arial" w:cs="Arial" w:eastAsia="Arial" w:hAnsi="Arial"/>
                <w:sz w:val="18"/>
                <w:szCs w:val="18"/>
                <w:b w:val="1"/>
                <w:bCs w:val="1"/>
                <w:color w:val="0071CE"/>
                <w:w w:val="99"/>
              </w:rPr>
              <w:t>first commercial,</w:t>
            </w:r>
          </w:p>
        </w:tc>
        <w:tc>
          <w:tcPr>
            <w:tcW w:w="3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160" w:type="dxa"/>
            <w:vAlign w:val="bottom"/>
          </w:tcPr>
          <w:p>
            <w:pPr>
              <w:spacing w:after="0"/>
              <w:rPr>
                <w:sz w:val="17"/>
                <w:szCs w:val="17"/>
                <w:color w:val="auto"/>
              </w:rPr>
            </w:pPr>
          </w:p>
        </w:tc>
        <w:tc>
          <w:tcPr>
            <w:tcW w:w="3400" w:type="dxa"/>
            <w:vAlign w:val="bottom"/>
          </w:tcPr>
          <w:p>
            <w:pPr>
              <w:jc w:val="center"/>
              <w:spacing w:after="0" w:line="202" w:lineRule="exact"/>
              <w:rPr>
                <w:sz w:val="20"/>
                <w:szCs w:val="20"/>
                <w:color w:val="auto"/>
              </w:rPr>
            </w:pPr>
            <w:r>
              <w:rPr>
                <w:rFonts w:ascii="Arial" w:cs="Arial" w:eastAsia="Arial" w:hAnsi="Arial"/>
                <w:sz w:val="18"/>
                <w:szCs w:val="18"/>
                <w:color w:val="3E3935"/>
                <w:w w:val="99"/>
              </w:rPr>
              <w:t xml:space="preserve">Largest U.S. </w:t>
            </w:r>
            <w:r>
              <w:rPr>
                <w:rFonts w:ascii="Arial" w:cs="Arial" w:eastAsia="Arial" w:hAnsi="Arial"/>
                <w:sz w:val="18"/>
                <w:szCs w:val="18"/>
                <w:b w:val="1"/>
                <w:bCs w:val="1"/>
                <w:color w:val="0071CE"/>
                <w:w w:val="99"/>
              </w:rPr>
              <w:t>market share increase</w:t>
            </w:r>
            <w:r>
              <w:rPr>
                <w:rFonts w:ascii="Arial" w:cs="Arial" w:eastAsia="Arial" w:hAnsi="Arial"/>
                <w:sz w:val="18"/>
                <w:szCs w:val="18"/>
                <w:color w:val="3E3935"/>
                <w:w w:val="99"/>
              </w:rPr>
              <w:t xml:space="preserve"> of</w:t>
            </w:r>
          </w:p>
        </w:tc>
        <w:tc>
          <w:tcPr>
            <w:tcW w:w="3600" w:type="dxa"/>
            <w:vAlign w:val="bottom"/>
            <w:tcBorders>
              <w:left w:val="single" w:sz="8" w:color="0071CE"/>
              <w:right w:val="single" w:sz="8" w:color="0071CE"/>
            </w:tcBorders>
          </w:tcPr>
          <w:p>
            <w:pPr>
              <w:jc w:val="center"/>
              <w:spacing w:after="0" w:line="202" w:lineRule="exact"/>
              <w:rPr>
                <w:sz w:val="20"/>
                <w:szCs w:val="20"/>
                <w:color w:val="auto"/>
              </w:rPr>
            </w:pPr>
            <w:r>
              <w:rPr>
                <w:rFonts w:ascii="Arial" w:cs="Arial" w:eastAsia="Arial" w:hAnsi="Arial"/>
                <w:sz w:val="18"/>
                <w:szCs w:val="18"/>
                <w:b w:val="1"/>
                <w:bCs w:val="1"/>
                <w:color w:val="0071CE"/>
                <w:w w:val="99"/>
              </w:rPr>
              <w:t xml:space="preserve">driverless ridehail service </w:t>
            </w:r>
            <w:r>
              <w:rPr>
                <w:rFonts w:ascii="Arial" w:cs="Arial" w:eastAsia="Arial" w:hAnsi="Arial"/>
                <w:sz w:val="18"/>
                <w:szCs w:val="18"/>
                <w:color w:val="3E3935"/>
                <w:w w:val="99"/>
              </w:rPr>
              <w:t>in a major city</w:t>
            </w:r>
          </w:p>
        </w:tc>
        <w:tc>
          <w:tcPr>
            <w:tcW w:w="3440" w:type="dxa"/>
            <w:vAlign w:val="bottom"/>
          </w:tcPr>
          <w:p>
            <w:pPr>
              <w:jc w:val="center"/>
              <w:ind w:left="10"/>
              <w:spacing w:after="0" w:line="202" w:lineRule="exact"/>
              <w:rPr>
                <w:sz w:val="20"/>
                <w:szCs w:val="20"/>
                <w:color w:val="auto"/>
              </w:rPr>
            </w:pPr>
            <w:r>
              <w:rPr>
                <w:rFonts w:ascii="Arial" w:cs="Arial" w:eastAsia="Arial" w:hAnsi="Arial"/>
                <w:sz w:val="18"/>
                <w:szCs w:val="18"/>
                <w:b w:val="1"/>
                <w:bCs w:val="1"/>
                <w:color w:val="0071CE"/>
                <w:w w:val="99"/>
              </w:rPr>
              <w:t xml:space="preserve">Secured all EV raw material </w:t>
            </w:r>
            <w:r>
              <w:rPr>
                <w:rFonts w:ascii="Arial" w:cs="Arial" w:eastAsia="Arial" w:hAnsi="Arial"/>
                <w:sz w:val="18"/>
                <w:szCs w:val="18"/>
                <w:color w:val="3E3935"/>
                <w:w w:val="99"/>
              </w:rPr>
              <w:t>for 1M units</w:t>
            </w:r>
          </w:p>
        </w:tc>
        <w:tc>
          <w:tcPr>
            <w:tcW w:w="0" w:type="dxa"/>
            <w:vAlign w:val="bottom"/>
          </w:tcPr>
          <w:p>
            <w:pPr>
              <w:spacing w:after="0"/>
              <w:rPr>
                <w:sz w:val="1"/>
                <w:szCs w:val="1"/>
                <w:color w:val="auto"/>
              </w:rPr>
            </w:pPr>
          </w:p>
        </w:tc>
      </w:tr>
      <w:tr>
        <w:trPr>
          <w:trHeight w:val="203"/>
        </w:trPr>
        <w:tc>
          <w:tcPr>
            <w:tcW w:w="160" w:type="dxa"/>
            <w:vAlign w:val="bottom"/>
          </w:tcPr>
          <w:p>
            <w:pPr>
              <w:spacing w:after="0"/>
              <w:rPr>
                <w:sz w:val="17"/>
                <w:szCs w:val="17"/>
                <w:color w:val="auto"/>
              </w:rPr>
            </w:pPr>
          </w:p>
        </w:tc>
        <w:tc>
          <w:tcPr>
            <w:tcW w:w="3400" w:type="dxa"/>
            <w:vAlign w:val="bottom"/>
          </w:tcPr>
          <w:p>
            <w:pPr>
              <w:jc w:val="center"/>
              <w:spacing w:after="0" w:line="202" w:lineRule="exact"/>
              <w:rPr>
                <w:sz w:val="20"/>
                <w:szCs w:val="20"/>
                <w:color w:val="auto"/>
              </w:rPr>
            </w:pPr>
            <w:r>
              <w:rPr>
                <w:rFonts w:ascii="Arial" w:cs="Arial" w:eastAsia="Arial" w:hAnsi="Arial"/>
                <w:sz w:val="18"/>
                <w:szCs w:val="18"/>
                <w:color w:val="3E3935"/>
                <w:w w:val="99"/>
              </w:rPr>
              <w:t xml:space="preserve">any automotive manufacturer, </w:t>
            </w:r>
            <w:r>
              <w:rPr>
                <w:rFonts w:ascii="Arial" w:cs="Arial" w:eastAsia="Arial" w:hAnsi="Arial"/>
                <w:sz w:val="18"/>
                <w:szCs w:val="18"/>
                <w:b w:val="1"/>
                <w:bCs w:val="1"/>
                <w:color w:val="0071CE"/>
                <w:w w:val="99"/>
              </w:rPr>
              <w:t>up 1.6pp,</w:t>
            </w:r>
          </w:p>
        </w:tc>
        <w:tc>
          <w:tcPr>
            <w:tcW w:w="3600" w:type="dxa"/>
            <w:vAlign w:val="bottom"/>
            <w:tcBorders>
              <w:left w:val="single" w:sz="8" w:color="0071CE"/>
              <w:right w:val="single" w:sz="8" w:color="0071CE"/>
            </w:tcBorders>
          </w:tcPr>
          <w:p>
            <w:pPr>
              <w:jc w:val="center"/>
              <w:spacing w:after="0" w:line="202" w:lineRule="exact"/>
              <w:rPr>
                <w:sz w:val="20"/>
                <w:szCs w:val="20"/>
                <w:color w:val="auto"/>
              </w:rPr>
            </w:pPr>
            <w:r>
              <w:rPr>
                <w:rFonts w:ascii="Arial" w:cs="Arial" w:eastAsia="Arial" w:hAnsi="Arial"/>
                <w:sz w:val="18"/>
                <w:szCs w:val="18"/>
                <w:color w:val="3E3935"/>
              </w:rPr>
              <w:t>when it launched in San Francisco,</w:t>
            </w:r>
          </w:p>
        </w:tc>
        <w:tc>
          <w:tcPr>
            <w:tcW w:w="3440" w:type="dxa"/>
            <w:vAlign w:val="bottom"/>
          </w:tcPr>
          <w:p>
            <w:pPr>
              <w:jc w:val="center"/>
              <w:spacing w:after="0" w:line="202" w:lineRule="exact"/>
              <w:rPr>
                <w:sz w:val="20"/>
                <w:szCs w:val="20"/>
                <w:color w:val="auto"/>
              </w:rPr>
            </w:pPr>
            <w:r>
              <w:rPr>
                <w:rFonts w:ascii="Arial" w:cs="Arial" w:eastAsia="Arial" w:hAnsi="Arial"/>
                <w:sz w:val="18"/>
                <w:szCs w:val="18"/>
                <w:color w:val="3E3935"/>
                <w:w w:val="99"/>
              </w:rPr>
              <w:t>of North American capacity in 2025,</w:t>
            </w:r>
          </w:p>
        </w:tc>
        <w:tc>
          <w:tcPr>
            <w:tcW w:w="0" w:type="dxa"/>
            <w:vAlign w:val="bottom"/>
          </w:tcPr>
          <w:p>
            <w:pPr>
              <w:spacing w:after="0"/>
              <w:rPr>
                <w:sz w:val="1"/>
                <w:szCs w:val="1"/>
                <w:color w:val="auto"/>
              </w:rPr>
            </w:pPr>
          </w:p>
        </w:tc>
      </w:tr>
      <w:tr>
        <w:trPr>
          <w:trHeight w:val="203"/>
        </w:trPr>
        <w:tc>
          <w:tcPr>
            <w:tcW w:w="160" w:type="dxa"/>
            <w:vAlign w:val="bottom"/>
          </w:tcPr>
          <w:p>
            <w:pPr>
              <w:spacing w:after="0"/>
              <w:rPr>
                <w:sz w:val="17"/>
                <w:szCs w:val="17"/>
                <w:color w:val="auto"/>
              </w:rPr>
            </w:pPr>
          </w:p>
        </w:tc>
        <w:tc>
          <w:tcPr>
            <w:tcW w:w="3400" w:type="dxa"/>
            <w:vAlign w:val="bottom"/>
          </w:tcPr>
          <w:p>
            <w:pPr>
              <w:jc w:val="center"/>
              <w:spacing w:after="0" w:line="202" w:lineRule="exact"/>
              <w:rPr>
                <w:sz w:val="20"/>
                <w:szCs w:val="20"/>
                <w:color w:val="auto"/>
              </w:rPr>
            </w:pPr>
            <w:r>
              <w:rPr>
                <w:rFonts w:ascii="Arial" w:cs="Arial" w:eastAsia="Arial" w:hAnsi="Arial"/>
                <w:sz w:val="18"/>
                <w:szCs w:val="18"/>
                <w:b w:val="1"/>
                <w:bCs w:val="1"/>
                <w:color w:val="0071CE"/>
                <w:w w:val="98"/>
              </w:rPr>
              <w:t>with record ATPs</w:t>
            </w:r>
          </w:p>
        </w:tc>
        <w:tc>
          <w:tcPr>
            <w:tcW w:w="3600" w:type="dxa"/>
            <w:vAlign w:val="bottom"/>
            <w:tcBorders>
              <w:left w:val="single" w:sz="8" w:color="0071CE"/>
              <w:right w:val="single" w:sz="8" w:color="0071CE"/>
            </w:tcBorders>
          </w:tcPr>
          <w:p>
            <w:pPr>
              <w:jc w:val="center"/>
              <w:spacing w:after="0" w:line="202" w:lineRule="exact"/>
              <w:rPr>
                <w:sz w:val="20"/>
                <w:szCs w:val="20"/>
                <w:color w:val="auto"/>
              </w:rPr>
            </w:pPr>
            <w:r>
              <w:rPr>
                <w:rFonts w:ascii="Arial" w:cs="Arial" w:eastAsia="Arial" w:hAnsi="Arial"/>
                <w:sz w:val="18"/>
                <w:szCs w:val="18"/>
                <w:color w:val="3E3935"/>
                <w:w w:val="99"/>
              </w:rPr>
              <w:t>followed by commercial expansion into the</w:t>
            </w:r>
          </w:p>
        </w:tc>
        <w:tc>
          <w:tcPr>
            <w:tcW w:w="3440" w:type="dxa"/>
            <w:vAlign w:val="bottom"/>
          </w:tcPr>
          <w:p>
            <w:pPr>
              <w:jc w:val="center"/>
              <w:spacing w:after="0" w:line="202" w:lineRule="exact"/>
              <w:rPr>
                <w:sz w:val="20"/>
                <w:szCs w:val="20"/>
                <w:color w:val="auto"/>
              </w:rPr>
            </w:pPr>
            <w:r>
              <w:rPr>
                <w:rFonts w:ascii="Arial" w:cs="Arial" w:eastAsia="Arial" w:hAnsi="Arial"/>
                <w:sz w:val="18"/>
                <w:szCs w:val="18"/>
                <w:color w:val="3E3935"/>
                <w:w w:val="99"/>
              </w:rPr>
              <w:t>including more sustainable, local sourcing</w:t>
            </w:r>
          </w:p>
        </w:tc>
        <w:tc>
          <w:tcPr>
            <w:tcW w:w="0" w:type="dxa"/>
            <w:vAlign w:val="bottom"/>
          </w:tcPr>
          <w:p>
            <w:pPr>
              <w:spacing w:after="0"/>
              <w:rPr>
                <w:sz w:val="1"/>
                <w:szCs w:val="1"/>
                <w:color w:val="auto"/>
              </w:rPr>
            </w:pPr>
          </w:p>
        </w:tc>
      </w:tr>
      <w:tr>
        <w:trPr>
          <w:trHeight w:val="239"/>
        </w:trPr>
        <w:tc>
          <w:tcPr>
            <w:tcW w:w="160" w:type="dxa"/>
            <w:vAlign w:val="bottom"/>
          </w:tcPr>
          <w:p>
            <w:pPr>
              <w:spacing w:after="0"/>
              <w:rPr>
                <w:sz w:val="20"/>
                <w:szCs w:val="20"/>
                <w:color w:val="auto"/>
              </w:rPr>
            </w:pPr>
          </w:p>
        </w:tc>
        <w:tc>
          <w:tcPr>
            <w:tcW w:w="3400" w:type="dxa"/>
            <w:vAlign w:val="bottom"/>
          </w:tcPr>
          <w:p>
            <w:pPr>
              <w:spacing w:after="0"/>
              <w:rPr>
                <w:sz w:val="20"/>
                <w:szCs w:val="20"/>
                <w:color w:val="auto"/>
              </w:rPr>
            </w:pPr>
          </w:p>
        </w:tc>
        <w:tc>
          <w:tcPr>
            <w:tcW w:w="3600" w:type="dxa"/>
            <w:vAlign w:val="bottom"/>
            <w:tcBorders>
              <w:left w:val="single" w:sz="8" w:color="0071CE"/>
              <w:right w:val="single" w:sz="8" w:color="0071CE"/>
            </w:tcBorders>
          </w:tcPr>
          <w:p>
            <w:pPr>
              <w:jc w:val="center"/>
              <w:spacing w:after="0"/>
              <w:rPr>
                <w:sz w:val="20"/>
                <w:szCs w:val="20"/>
                <w:color w:val="auto"/>
              </w:rPr>
            </w:pPr>
            <w:r>
              <w:rPr>
                <w:rFonts w:ascii="Arial" w:cs="Arial" w:eastAsia="Arial" w:hAnsi="Arial"/>
                <w:sz w:val="18"/>
                <w:szCs w:val="18"/>
                <w:color w:val="3E3935"/>
                <w:w w:val="99"/>
              </w:rPr>
              <w:t>Phoenix area and Austin</w:t>
            </w:r>
          </w:p>
        </w:tc>
        <w:tc>
          <w:tcPr>
            <w:tcW w:w="3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4"/>
        </w:trPr>
        <w:tc>
          <w:tcPr>
            <w:tcW w:w="160" w:type="dxa"/>
            <w:vAlign w:val="bottom"/>
          </w:tcPr>
          <w:p>
            <w:pPr>
              <w:spacing w:after="0"/>
              <w:rPr>
                <w:sz w:val="9"/>
                <w:szCs w:val="9"/>
                <w:color w:val="auto"/>
              </w:rPr>
            </w:pPr>
          </w:p>
        </w:tc>
        <w:tc>
          <w:tcPr>
            <w:tcW w:w="3400" w:type="dxa"/>
            <w:vAlign w:val="bottom"/>
          </w:tcPr>
          <w:p>
            <w:pPr>
              <w:spacing w:after="0"/>
              <w:rPr>
                <w:sz w:val="9"/>
                <w:szCs w:val="9"/>
                <w:color w:val="auto"/>
              </w:rPr>
            </w:pPr>
          </w:p>
        </w:tc>
        <w:tc>
          <w:tcPr>
            <w:tcW w:w="3600" w:type="dxa"/>
            <w:vAlign w:val="bottom"/>
            <w:tcBorders>
              <w:left w:val="single" w:sz="8" w:color="0071CE"/>
              <w:right w:val="single" w:sz="8" w:color="0071CE"/>
            </w:tcBorders>
          </w:tcPr>
          <w:p>
            <w:pPr>
              <w:spacing w:after="0"/>
              <w:rPr>
                <w:sz w:val="9"/>
                <w:szCs w:val="9"/>
                <w:color w:val="auto"/>
              </w:rPr>
            </w:pPr>
          </w:p>
        </w:tc>
        <w:tc>
          <w:tcPr>
            <w:tcW w:w="344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342" w:lineRule="exact"/>
        <w:rPr>
          <w:sz w:val="20"/>
          <w:szCs w:val="20"/>
          <w:color w:val="auto"/>
        </w:rPr>
      </w:pPr>
    </w:p>
    <w:p>
      <w:pPr>
        <w:ind w:left="120"/>
        <w:spacing w:after="0"/>
        <w:rPr>
          <w:sz w:val="20"/>
          <w:szCs w:val="20"/>
          <w:color w:val="auto"/>
        </w:rPr>
      </w:pPr>
      <w:r>
        <w:rPr>
          <w:rFonts w:ascii="Arial" w:cs="Arial" w:eastAsia="Arial" w:hAnsi="Arial"/>
          <w:sz w:val="14"/>
          <w:szCs w:val="14"/>
          <w:color w:val="0071CE"/>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-95885</wp:posOffset>
            </wp:positionV>
            <wp:extent cx="5983605" cy="10287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983605" cy="102870"/>
                    </a:xfrm>
                    <a:prstGeom prst="rect">
                      <a:avLst/>
                    </a:prstGeom>
                    <a:noFill/>
                  </pic:spPr>
                </pic:pic>
              </a:graphicData>
            </a:graphic>
          </wp:anchor>
        </w:drawing>
      </w:r>
    </w:p>
    <w:p>
      <w:pPr>
        <w:sectPr>
          <w:pgSz w:w="11900" w:h="16838" w:orient="portrait"/>
          <w:cols w:equalWidth="0" w:num="1">
            <w:col w:w="10920"/>
          </w:cols>
          <w:pgMar w:left="320" w:top="482" w:right="65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75565</wp:posOffset>
            </wp:positionH>
            <wp:positionV relativeFrom="paragraph">
              <wp:posOffset>210185</wp:posOffset>
            </wp:positionV>
            <wp:extent cx="6990715" cy="60477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990715" cy="604774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20"/>
        <w:spacing w:after="0"/>
        <w:rPr>
          <w:sz w:val="20"/>
          <w:szCs w:val="20"/>
          <w:color w:val="auto"/>
        </w:rPr>
      </w:pPr>
      <w:r>
        <w:rPr>
          <w:rFonts w:ascii="Arial" w:cs="Arial" w:eastAsia="Arial" w:hAnsi="Arial"/>
          <w:sz w:val="29"/>
          <w:szCs w:val="29"/>
          <w:color w:val="3E3935"/>
        </w:rPr>
        <w:t>Compensation Highlights</w:t>
      </w:r>
    </w:p>
    <w:p>
      <w:pPr>
        <w:spacing w:after="0" w:line="123" w:lineRule="exact"/>
        <w:rPr>
          <w:sz w:val="20"/>
          <w:szCs w:val="20"/>
          <w:color w:val="auto"/>
        </w:rPr>
      </w:pPr>
    </w:p>
    <w:p>
      <w:pPr>
        <w:jc w:val="both"/>
        <w:ind w:left="320" w:right="20"/>
        <w:spacing w:after="0" w:line="241" w:lineRule="auto"/>
        <w:rPr>
          <w:sz w:val="20"/>
          <w:szCs w:val="20"/>
          <w:color w:val="auto"/>
        </w:rPr>
      </w:pPr>
      <w:r>
        <w:rPr>
          <w:rFonts w:ascii="Arial" w:cs="Arial" w:eastAsia="Arial" w:hAnsi="Arial"/>
          <w:sz w:val="20"/>
          <w:szCs w:val="20"/>
          <w:color w:val="3E3935"/>
        </w:rPr>
        <w:t>Our executive compensation program is designed to focus our leaders on key areas that drive the business forward, align to the short-term and long-term interests of our shareholders, and reward our leaders for delivering on the Company’s strategy and vision.</w:t>
      </w:r>
    </w:p>
    <w:p>
      <w:pPr>
        <w:spacing w:after="0" w:line="197" w:lineRule="exact"/>
        <w:rPr>
          <w:sz w:val="20"/>
          <w:szCs w:val="20"/>
          <w:color w:val="auto"/>
        </w:rPr>
      </w:pPr>
    </w:p>
    <w:p>
      <w:pPr>
        <w:ind w:left="820" w:hanging="504"/>
        <w:spacing w:after="0"/>
        <w:tabs>
          <w:tab w:leader="none" w:pos="820" w:val="left"/>
        </w:tabs>
        <w:numPr>
          <w:ilvl w:val="0"/>
          <w:numId w:val="10"/>
        </w:numPr>
        <w:rPr>
          <w:rFonts w:ascii="Times New Roman" w:cs="Times New Roman" w:eastAsia="Times New Roman" w:hAnsi="Times New Roman"/>
          <w:sz w:val="19"/>
          <w:szCs w:val="19"/>
          <w:color w:val="0071CE"/>
        </w:rPr>
      </w:pPr>
      <w:r>
        <w:rPr>
          <w:rFonts w:ascii="Arial" w:cs="Arial" w:eastAsia="Arial" w:hAnsi="Arial"/>
          <w:sz w:val="25"/>
          <w:szCs w:val="25"/>
          <w:color w:val="3E3935"/>
        </w:rPr>
        <w:t>2022 LTIP Design Changes</w:t>
      </w:r>
    </w:p>
    <w:p>
      <w:pPr>
        <w:spacing w:after="0" w:line="226" w:lineRule="exact"/>
        <w:rPr>
          <w:sz w:val="20"/>
          <w:szCs w:val="20"/>
          <w:color w:val="auto"/>
        </w:rPr>
      </w:pPr>
    </w:p>
    <w:p>
      <w:pPr>
        <w:jc w:val="both"/>
        <w:ind w:left="320" w:right="20"/>
        <w:spacing w:after="0" w:line="234" w:lineRule="auto"/>
        <w:rPr>
          <w:sz w:val="20"/>
          <w:szCs w:val="20"/>
          <w:color w:val="auto"/>
        </w:rPr>
      </w:pPr>
      <w:r>
        <w:rPr>
          <w:rFonts w:ascii="Arial" w:cs="Arial" w:eastAsia="Arial" w:hAnsi="Arial"/>
          <w:sz w:val="20"/>
          <w:szCs w:val="20"/>
          <w:color w:val="3E3935"/>
        </w:rPr>
        <w:t>The 2022 LTIP is designed to align our executive compensation program with our all-electric future by driving leadership accountability for delivering on our EV commitments, directing additional focus on Company growth, which will better support our expansion into new markets and technologies, and aligning leadership with shareholder interest in stock price appreciation. The 2022 LTIP continues to have a mix of PSUs and stock options, and PSUs now include the following performance measures:</w:t>
      </w:r>
    </w:p>
    <w:p>
      <w:pPr>
        <w:spacing w:after="0" w:line="168" w:lineRule="exact"/>
        <w:rPr>
          <w:sz w:val="20"/>
          <w:szCs w:val="20"/>
          <w:color w:val="auto"/>
        </w:rPr>
      </w:pPr>
    </w:p>
    <w:p>
      <w:pPr>
        <w:ind w:left="320"/>
        <w:spacing w:after="0"/>
        <w:rPr>
          <w:sz w:val="20"/>
          <w:szCs w:val="20"/>
          <w:color w:val="auto"/>
        </w:rPr>
      </w:pPr>
      <w:r>
        <w:rPr>
          <w:rFonts w:ascii="Arial" w:cs="Arial" w:eastAsia="Arial" w:hAnsi="Arial"/>
          <w:sz w:val="22"/>
          <w:szCs w:val="22"/>
          <w:b w:val="1"/>
          <w:bCs w:val="1"/>
          <w:color w:val="0071CE"/>
        </w:rPr>
        <w:t>PSUs – 75%</w:t>
      </w:r>
    </w:p>
    <w:p>
      <w:pPr>
        <w:spacing w:after="0" w:line="116" w:lineRule="exact"/>
        <w:rPr>
          <w:sz w:val="20"/>
          <w:szCs w:val="20"/>
          <w:color w:val="auto"/>
        </w:rPr>
      </w:pPr>
    </w:p>
    <w:p>
      <w:pPr>
        <w:ind w:left="520" w:right="4600"/>
        <w:spacing w:after="0" w:line="242" w:lineRule="auto"/>
        <w:rPr>
          <w:sz w:val="20"/>
          <w:szCs w:val="20"/>
          <w:color w:val="auto"/>
        </w:rPr>
      </w:pPr>
      <w:r>
        <w:rPr>
          <w:rFonts w:ascii="Arial" w:cs="Arial" w:eastAsia="Arial" w:hAnsi="Arial"/>
          <w:sz w:val="20"/>
          <w:szCs w:val="20"/>
          <w:b w:val="1"/>
          <w:bCs w:val="1"/>
          <w:color w:val="3E3935"/>
        </w:rPr>
        <w:t xml:space="preserve">EBIT-adjusted Margin – </w:t>
      </w:r>
      <w:r>
        <w:rPr>
          <w:rFonts w:ascii="Arial" w:cs="Arial" w:eastAsia="Arial" w:hAnsi="Arial"/>
          <w:sz w:val="20"/>
          <w:szCs w:val="20"/>
          <w:color w:val="3E3935"/>
        </w:rPr>
        <w:t>Focuses leaders to pursue profitable</w:t>
      </w:r>
      <w:r>
        <w:rPr>
          <w:rFonts w:ascii="Arial" w:cs="Arial" w:eastAsia="Arial" w:hAnsi="Arial"/>
          <w:sz w:val="20"/>
          <w:szCs w:val="20"/>
          <w:b w:val="1"/>
          <w:bCs w:val="1"/>
          <w:color w:val="3E3935"/>
        </w:rPr>
        <w:t xml:space="preserve"> </w:t>
      </w:r>
      <w:r>
        <w:rPr>
          <w:rFonts w:ascii="Arial" w:cs="Arial" w:eastAsia="Arial" w:hAnsi="Arial"/>
          <w:sz w:val="20"/>
          <w:szCs w:val="20"/>
          <w:color w:val="3E3935"/>
        </w:rPr>
        <w:t>growth opportunities and drive higher absolute margins on existing revenue bases.</w:t>
      </w:r>
    </w:p>
    <w:p>
      <w:pPr>
        <w:spacing w:after="0" w:line="74" w:lineRule="exact"/>
        <w:rPr>
          <w:sz w:val="20"/>
          <w:szCs w:val="20"/>
          <w:color w:val="auto"/>
        </w:rPr>
      </w:pPr>
    </w:p>
    <w:p>
      <w:pPr>
        <w:jc w:val="both"/>
        <w:ind w:left="520" w:right="4560"/>
        <w:spacing w:after="0" w:line="259" w:lineRule="auto"/>
        <w:rPr>
          <w:sz w:val="20"/>
          <w:szCs w:val="20"/>
          <w:color w:val="auto"/>
        </w:rPr>
      </w:pPr>
      <w:r>
        <w:rPr>
          <w:rFonts w:ascii="Arial" w:cs="Arial" w:eastAsia="Arial" w:hAnsi="Arial"/>
          <w:sz w:val="20"/>
          <w:szCs w:val="20"/>
          <w:b w:val="1"/>
          <w:bCs w:val="1"/>
          <w:color w:val="3E3935"/>
        </w:rPr>
        <w:t xml:space="preserve">Relative TSR – </w:t>
      </w:r>
      <w:r>
        <w:rPr>
          <w:rFonts w:ascii="Arial" w:cs="Arial" w:eastAsia="Arial" w:hAnsi="Arial"/>
          <w:sz w:val="20"/>
          <w:szCs w:val="20"/>
          <w:color w:val="3E3935"/>
        </w:rPr>
        <w:t>Focuses leaders to deliver shareholder returns</w:t>
      </w:r>
      <w:r>
        <w:rPr>
          <w:rFonts w:ascii="Arial" w:cs="Arial" w:eastAsia="Arial" w:hAnsi="Arial"/>
          <w:sz w:val="20"/>
          <w:szCs w:val="20"/>
          <w:b w:val="1"/>
          <w:bCs w:val="1"/>
          <w:color w:val="3E3935"/>
        </w:rPr>
        <w:t xml:space="preserve"> </w:t>
      </w:r>
      <w:r>
        <w:rPr>
          <w:rFonts w:ascii="Arial" w:cs="Arial" w:eastAsia="Arial" w:hAnsi="Arial"/>
          <w:sz w:val="20"/>
          <w:szCs w:val="20"/>
          <w:color w:val="3E3935"/>
        </w:rPr>
        <w:t>that outperform our OEM peer group.</w:t>
      </w:r>
    </w:p>
    <w:p>
      <w:pPr>
        <w:spacing w:after="0" w:line="57" w:lineRule="exact"/>
        <w:rPr>
          <w:sz w:val="20"/>
          <w:szCs w:val="20"/>
          <w:color w:val="auto"/>
        </w:rPr>
      </w:pPr>
    </w:p>
    <w:p>
      <w:pPr>
        <w:jc w:val="both"/>
        <w:ind w:left="520" w:right="4560"/>
        <w:spacing w:after="0" w:line="242" w:lineRule="auto"/>
        <w:rPr>
          <w:sz w:val="20"/>
          <w:szCs w:val="20"/>
          <w:color w:val="auto"/>
        </w:rPr>
      </w:pPr>
      <w:r>
        <w:rPr>
          <w:rFonts w:ascii="Arial" w:cs="Arial" w:eastAsia="Arial" w:hAnsi="Arial"/>
          <w:sz w:val="20"/>
          <w:szCs w:val="20"/>
          <w:b w:val="1"/>
          <w:bCs w:val="1"/>
          <w:color w:val="3E3935"/>
        </w:rPr>
        <w:t xml:space="preserve">EV Measures – </w:t>
      </w:r>
      <w:r>
        <w:rPr>
          <w:rFonts w:ascii="Arial" w:cs="Arial" w:eastAsia="Arial" w:hAnsi="Arial"/>
          <w:sz w:val="20"/>
          <w:szCs w:val="20"/>
          <w:color w:val="3E3935"/>
        </w:rPr>
        <w:t>Focuses leaders to execute on our EV</w:t>
      </w:r>
      <w:r>
        <w:rPr>
          <w:rFonts w:ascii="Arial" w:cs="Arial" w:eastAsia="Arial" w:hAnsi="Arial"/>
          <w:sz w:val="20"/>
          <w:szCs w:val="20"/>
          <w:b w:val="1"/>
          <w:bCs w:val="1"/>
          <w:color w:val="3E3935"/>
        </w:rPr>
        <w:t xml:space="preserve"> </w:t>
      </w:r>
      <w:r>
        <w:rPr>
          <w:rFonts w:ascii="Arial" w:cs="Arial" w:eastAsia="Arial" w:hAnsi="Arial"/>
          <w:sz w:val="20"/>
          <w:szCs w:val="20"/>
          <w:color w:val="3E3935"/>
        </w:rPr>
        <w:t>commitment of 1 million units of annual capacity in North America in 2025:</w:t>
      </w:r>
    </w:p>
    <w:p>
      <w:pPr>
        <w:spacing w:after="0" w:line="83" w:lineRule="exact"/>
        <w:rPr>
          <w:sz w:val="20"/>
          <w:szCs w:val="20"/>
          <w:color w:val="auto"/>
        </w:rPr>
      </w:pPr>
    </w:p>
    <w:p>
      <w:pPr>
        <w:ind w:left="720"/>
        <w:spacing w:after="0"/>
        <w:rPr>
          <w:sz w:val="20"/>
          <w:szCs w:val="20"/>
          <w:color w:val="auto"/>
        </w:rPr>
      </w:pPr>
      <w:r>
        <w:rPr>
          <w:rFonts w:ascii="Arial" w:cs="Arial" w:eastAsia="Arial" w:hAnsi="Arial"/>
          <w:sz w:val="20"/>
          <w:szCs w:val="20"/>
          <w:color w:val="00C1DE"/>
        </w:rPr>
        <w:t>•</w:t>
      </w:r>
      <w:r>
        <w:rPr>
          <w:rFonts w:ascii="Arial" w:cs="Arial" w:eastAsia="Arial" w:hAnsi="Arial"/>
          <w:sz w:val="19"/>
          <w:szCs w:val="19"/>
          <w:color w:val="3E3935"/>
        </w:rPr>
        <w:t xml:space="preserve">    GMNA EV Volume</w:t>
      </w:r>
    </w:p>
    <w:p>
      <w:pPr>
        <w:spacing w:after="0" w:line="121" w:lineRule="exact"/>
        <w:rPr>
          <w:sz w:val="20"/>
          <w:szCs w:val="20"/>
          <w:color w:val="auto"/>
        </w:rPr>
      </w:pPr>
    </w:p>
    <w:p>
      <w:pPr>
        <w:ind w:left="720"/>
        <w:spacing w:after="0"/>
        <w:rPr>
          <w:sz w:val="20"/>
          <w:szCs w:val="20"/>
          <w:color w:val="auto"/>
        </w:rPr>
      </w:pPr>
      <w:r>
        <w:rPr>
          <w:rFonts w:ascii="Arial" w:cs="Arial" w:eastAsia="Arial" w:hAnsi="Arial"/>
          <w:sz w:val="20"/>
          <w:szCs w:val="20"/>
          <w:color w:val="00C1DE"/>
        </w:rPr>
        <w:t>•</w:t>
      </w:r>
      <w:r>
        <w:rPr>
          <w:rFonts w:ascii="Arial" w:cs="Arial" w:eastAsia="Arial" w:hAnsi="Arial"/>
          <w:sz w:val="19"/>
          <w:szCs w:val="19"/>
          <w:color w:val="3E3935"/>
        </w:rPr>
        <w:t xml:space="preserve">    GMNA EV Launch Timing</w:t>
      </w:r>
    </w:p>
    <w:p>
      <w:pPr>
        <w:spacing w:after="0" w:line="121" w:lineRule="exact"/>
        <w:rPr>
          <w:sz w:val="20"/>
          <w:szCs w:val="20"/>
          <w:color w:val="auto"/>
        </w:rPr>
      </w:pPr>
    </w:p>
    <w:p>
      <w:pPr>
        <w:ind w:left="720"/>
        <w:spacing w:after="0"/>
        <w:rPr>
          <w:sz w:val="20"/>
          <w:szCs w:val="20"/>
          <w:color w:val="auto"/>
        </w:rPr>
      </w:pPr>
      <w:r>
        <w:rPr>
          <w:rFonts w:ascii="Arial" w:cs="Arial" w:eastAsia="Arial" w:hAnsi="Arial"/>
          <w:sz w:val="20"/>
          <w:szCs w:val="20"/>
          <w:color w:val="00C1DE"/>
        </w:rPr>
        <w:t>•</w:t>
      </w:r>
      <w:r>
        <w:rPr>
          <w:rFonts w:ascii="Arial" w:cs="Arial" w:eastAsia="Arial" w:hAnsi="Arial"/>
          <w:sz w:val="19"/>
          <w:szCs w:val="19"/>
          <w:color w:val="3E3935"/>
        </w:rPr>
        <w:t xml:space="preserve">    GMNA EV Launch Quality (modifier)</w:t>
      </w:r>
    </w:p>
    <w:p>
      <w:pPr>
        <w:spacing w:after="0" w:line="174" w:lineRule="exact"/>
        <w:rPr>
          <w:sz w:val="20"/>
          <w:szCs w:val="20"/>
          <w:color w:val="auto"/>
        </w:rPr>
      </w:pPr>
    </w:p>
    <w:p>
      <w:pPr>
        <w:ind w:left="320"/>
        <w:spacing w:after="0"/>
        <w:rPr>
          <w:sz w:val="20"/>
          <w:szCs w:val="20"/>
          <w:color w:val="auto"/>
        </w:rPr>
      </w:pPr>
      <w:r>
        <w:rPr>
          <w:rFonts w:ascii="Arial" w:cs="Arial" w:eastAsia="Arial" w:hAnsi="Arial"/>
          <w:sz w:val="22"/>
          <w:szCs w:val="22"/>
          <w:b w:val="1"/>
          <w:bCs w:val="1"/>
          <w:color w:val="0071CE"/>
        </w:rPr>
        <w:t>Stock Options – 25%</w:t>
      </w:r>
    </w:p>
    <w:p>
      <w:pPr>
        <w:spacing w:after="0" w:line="105" w:lineRule="exact"/>
        <w:rPr>
          <w:sz w:val="20"/>
          <w:szCs w:val="20"/>
          <w:color w:val="auto"/>
        </w:rPr>
      </w:pPr>
    </w:p>
    <w:p>
      <w:pPr>
        <w:ind w:left="520"/>
        <w:spacing w:after="0"/>
        <w:rPr>
          <w:sz w:val="20"/>
          <w:szCs w:val="20"/>
          <w:color w:val="auto"/>
        </w:rPr>
      </w:pPr>
      <w:r>
        <w:rPr>
          <w:rFonts w:ascii="Arial" w:cs="Arial" w:eastAsia="Arial" w:hAnsi="Arial"/>
          <w:sz w:val="20"/>
          <w:szCs w:val="20"/>
          <w:color w:val="3E3935"/>
        </w:rPr>
        <w:t>Stock options continue to align leadership with shareholder interest in long-term stock price appreciation.</w:t>
      </w:r>
    </w:p>
    <w:p>
      <w:pPr>
        <w:spacing w:after="0" w:line="228" w:lineRule="exact"/>
        <w:rPr>
          <w:sz w:val="20"/>
          <w:szCs w:val="20"/>
          <w:color w:val="auto"/>
        </w:rPr>
      </w:pPr>
    </w:p>
    <w:p>
      <w:pPr>
        <w:ind w:left="820" w:hanging="504"/>
        <w:spacing w:after="0"/>
        <w:tabs>
          <w:tab w:leader="none" w:pos="820" w:val="left"/>
        </w:tabs>
        <w:numPr>
          <w:ilvl w:val="0"/>
          <w:numId w:val="11"/>
        </w:numPr>
        <w:rPr>
          <w:rFonts w:ascii="Times New Roman" w:cs="Times New Roman" w:eastAsia="Times New Roman" w:hAnsi="Times New Roman"/>
          <w:sz w:val="19"/>
          <w:szCs w:val="19"/>
          <w:color w:val="0071CE"/>
        </w:rPr>
      </w:pPr>
      <w:r>
        <w:rPr>
          <w:rFonts w:ascii="Arial" w:cs="Arial" w:eastAsia="Arial" w:hAnsi="Arial"/>
          <w:sz w:val="25"/>
          <w:szCs w:val="25"/>
          <w:color w:val="3E3935"/>
        </w:rPr>
        <w:t>New Compensation Committee Leadership</w:t>
      </w:r>
    </w:p>
    <w:p>
      <w:pPr>
        <w:spacing w:after="0" w:line="226" w:lineRule="exact"/>
        <w:rPr>
          <w:sz w:val="20"/>
          <w:szCs w:val="20"/>
          <w:color w:val="auto"/>
        </w:rPr>
      </w:pPr>
    </w:p>
    <w:p>
      <w:pPr>
        <w:jc w:val="both"/>
        <w:ind w:left="320"/>
        <w:spacing w:after="0" w:line="234" w:lineRule="auto"/>
        <w:rPr>
          <w:sz w:val="20"/>
          <w:szCs w:val="20"/>
          <w:color w:val="auto"/>
        </w:rPr>
      </w:pPr>
      <w:r>
        <w:rPr>
          <w:rFonts w:ascii="Arial" w:cs="Arial" w:eastAsia="Arial" w:hAnsi="Arial"/>
          <w:sz w:val="20"/>
          <w:szCs w:val="20"/>
          <w:color w:val="3E3935"/>
        </w:rPr>
        <w:t>In August 2022, Wesley Bush took over as the Compensation Committee Chair, replacing Carol Stephenson who transitioned to being a member of the Committee in anticipation of her retirement from the Board this year. Please see Mr. Bush’s letter to shareholders</w:t>
      </w:r>
      <w:r>
        <w:rPr>
          <w:rFonts w:ascii="Arial" w:cs="Arial" w:eastAsia="Arial" w:hAnsi="Arial"/>
          <w:sz w:val="20"/>
          <w:szCs w:val="20"/>
          <w:b w:val="1"/>
          <w:bCs w:val="1"/>
          <w:color w:val="3E3935"/>
        </w:rPr>
        <w:t>,</w:t>
      </w:r>
      <w:r>
        <w:rPr>
          <w:rFonts w:ascii="Arial" w:cs="Arial" w:eastAsia="Arial" w:hAnsi="Arial"/>
          <w:sz w:val="20"/>
          <w:szCs w:val="20"/>
          <w:color w:val="3E3935"/>
        </w:rPr>
        <w:t xml:space="preserve"> which can be found on page 51. In his letter, he discusses the Compensation Committee’s key priorities for the year and its ongoing efforts to evolve our executive compensation program to align with shareholder feedback.</w:t>
      </w:r>
    </w:p>
    <w:p>
      <w:pPr>
        <w:spacing w:after="0" w:line="322" w:lineRule="exact"/>
        <w:rPr>
          <w:sz w:val="20"/>
          <w:szCs w:val="20"/>
          <w:color w:val="auto"/>
        </w:rPr>
      </w:pPr>
    </w:p>
    <w:p>
      <w:pPr>
        <w:ind w:left="10740"/>
        <w:spacing w:after="0"/>
        <w:rPr>
          <w:sz w:val="20"/>
          <w:szCs w:val="20"/>
          <w:color w:val="auto"/>
        </w:rPr>
      </w:pPr>
      <w:r>
        <w:rPr>
          <w:rFonts w:ascii="Arial" w:cs="Arial" w:eastAsia="Arial" w:hAnsi="Arial"/>
          <w:sz w:val="14"/>
          <w:szCs w:val="14"/>
          <w:color w:val="0071CE"/>
        </w:rPr>
        <w:t>5</w:t>
      </w:r>
    </w:p>
    <w:p>
      <w:pPr>
        <w:sectPr>
          <w:pgSz w:w="11900" w:h="16838" w:orient="portrait"/>
          <w:cols w:equalWidth="0" w:num="1">
            <w:col w:w="10940"/>
          </w:cols>
          <w:pgMar w:left="320" w:top="482" w:right="6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75565</wp:posOffset>
            </wp:positionH>
            <wp:positionV relativeFrom="paragraph">
              <wp:posOffset>210185</wp:posOffset>
            </wp:positionV>
            <wp:extent cx="6990715" cy="75565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990715" cy="755650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20"/>
        <w:spacing w:after="0"/>
        <w:rPr>
          <w:sz w:val="20"/>
          <w:szCs w:val="20"/>
          <w:color w:val="auto"/>
        </w:rPr>
      </w:pPr>
      <w:r>
        <w:rPr>
          <w:rFonts w:ascii="Arial" w:cs="Arial" w:eastAsia="Arial" w:hAnsi="Arial"/>
          <w:sz w:val="29"/>
          <w:szCs w:val="29"/>
          <w:color w:val="3E3935"/>
        </w:rPr>
        <w:t>Shareholder Engagement</w:t>
      </w:r>
    </w:p>
    <w:p>
      <w:pPr>
        <w:spacing w:after="0" w:line="123" w:lineRule="exact"/>
        <w:rPr>
          <w:sz w:val="20"/>
          <w:szCs w:val="20"/>
          <w:color w:val="auto"/>
        </w:rPr>
      </w:pPr>
    </w:p>
    <w:p>
      <w:pPr>
        <w:jc w:val="both"/>
        <w:ind w:left="320"/>
        <w:spacing w:after="0" w:line="232" w:lineRule="auto"/>
        <w:rPr>
          <w:sz w:val="20"/>
          <w:szCs w:val="20"/>
          <w:color w:val="auto"/>
        </w:rPr>
      </w:pPr>
      <w:r>
        <w:rPr>
          <w:rFonts w:ascii="Arial" w:cs="Arial" w:eastAsia="Arial" w:hAnsi="Arial"/>
          <w:sz w:val="20"/>
          <w:szCs w:val="20"/>
          <w:color w:val="3E3935"/>
        </w:rPr>
        <w:t>The Company has an extensive shareholder outreach program and engages with institutional investors and other stakeholders to help the Board and management gain feedback on a variety of topics. The feedback received from these sessions is communicated to the Governance Committee and Compensation Committee throughout the year. In 2022, members of our Board or management team conducted over 45 stakeholder engagements, including with shareholders representing a majority of our common stock. In addition to those sessions, we participate in a number of activities throughout the year that provide the opportunity to communicate our strategy to shareholders and listen to a diverse set of opinions. A sample of such activity in 2022 included: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ind w:left="3500"/>
        <w:spacing w:after="0" w:line="231" w:lineRule="auto"/>
        <w:rPr>
          <w:sz w:val="20"/>
          <w:szCs w:val="20"/>
          <w:color w:val="auto"/>
        </w:rPr>
      </w:pPr>
      <w:r>
        <w:rPr>
          <w:rFonts w:ascii="Arial" w:cs="Arial" w:eastAsia="Arial" w:hAnsi="Arial"/>
          <w:sz w:val="20"/>
          <w:szCs w:val="20"/>
          <w:color w:val="0071CE"/>
        </w:rPr>
        <w:t>“As the Independent Lead Director, I help make sure the Board receives regular input from our shareholders. Every year since 2016, the Board has invited at least one institutional shareholder to a Board meeting to provide its perspective on the Company’s strategic direction. In addition, I regularly meet with investors to discuss the Board’s composition and evolving skills, oversight of ESG risks and opportunities, enhancements to our executive compensation plans, critical public policy issues, and our ongoing efforts to build a more sustainable and resilient supply chain.”</w:t>
      </w:r>
    </w:p>
    <w:p>
      <w:pPr>
        <w:spacing w:after="0" w:line="227" w:lineRule="exact"/>
        <w:rPr>
          <w:sz w:val="20"/>
          <w:szCs w:val="20"/>
          <w:color w:val="auto"/>
        </w:rPr>
      </w:pPr>
    </w:p>
    <w:p>
      <w:pPr>
        <w:jc w:val="center"/>
        <w:ind w:right="7280"/>
        <w:spacing w:after="0"/>
        <w:rPr>
          <w:sz w:val="20"/>
          <w:szCs w:val="20"/>
          <w:color w:val="auto"/>
        </w:rPr>
      </w:pPr>
      <w:r>
        <w:rPr>
          <w:rFonts w:ascii="Arial" w:cs="Arial" w:eastAsia="Arial" w:hAnsi="Arial"/>
          <w:sz w:val="20"/>
          <w:szCs w:val="20"/>
          <w:color w:val="3E3935"/>
        </w:rPr>
        <w:t>Patricia F. Russo</w:t>
      </w:r>
    </w:p>
    <w:p>
      <w:pPr>
        <w:spacing w:after="0" w:line="4" w:lineRule="exact"/>
        <w:rPr>
          <w:sz w:val="20"/>
          <w:szCs w:val="20"/>
          <w:color w:val="auto"/>
        </w:rPr>
      </w:pPr>
    </w:p>
    <w:p>
      <w:pPr>
        <w:jc w:val="center"/>
        <w:ind w:right="7280"/>
        <w:spacing w:after="0"/>
        <w:rPr>
          <w:sz w:val="20"/>
          <w:szCs w:val="20"/>
          <w:color w:val="auto"/>
        </w:rPr>
      </w:pPr>
      <w:r>
        <w:rPr>
          <w:rFonts w:ascii="Arial" w:cs="Arial" w:eastAsia="Arial" w:hAnsi="Arial"/>
          <w:sz w:val="20"/>
          <w:szCs w:val="20"/>
          <w:color w:val="3E3935"/>
        </w:rPr>
        <w:t>Independent Lead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120"/>
        <w:spacing w:after="0"/>
        <w:rPr>
          <w:sz w:val="20"/>
          <w:szCs w:val="20"/>
          <w:color w:val="auto"/>
        </w:rPr>
      </w:pPr>
      <w:r>
        <w:rPr>
          <w:rFonts w:ascii="Arial" w:cs="Arial" w:eastAsia="Arial" w:hAnsi="Arial"/>
          <w:sz w:val="14"/>
          <w:szCs w:val="14"/>
          <w:color w:val="0071CE"/>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-95885</wp:posOffset>
            </wp:positionV>
            <wp:extent cx="5983605" cy="10287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983605" cy="102870"/>
                    </a:xfrm>
                    <a:prstGeom prst="rect">
                      <a:avLst/>
                    </a:prstGeom>
                    <a:noFill/>
                  </pic:spPr>
                </pic:pic>
              </a:graphicData>
            </a:graphic>
          </wp:anchor>
        </w:drawing>
      </w:r>
    </w:p>
    <w:p>
      <w:pPr>
        <w:sectPr>
          <w:pgSz w:w="11900" w:h="16838" w:orient="portrait"/>
          <w:cols w:equalWidth="0" w:num="1">
            <w:col w:w="10920"/>
          </w:cols>
          <w:pgMar w:left="320" w:top="482" w:right="65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75565</wp:posOffset>
            </wp:positionH>
            <wp:positionV relativeFrom="paragraph">
              <wp:posOffset>210185</wp:posOffset>
            </wp:positionV>
            <wp:extent cx="6990715" cy="68535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990715" cy="685355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ind w:left="320"/>
        <w:spacing w:after="0"/>
        <w:rPr>
          <w:sz w:val="20"/>
          <w:szCs w:val="20"/>
          <w:color w:val="auto"/>
        </w:rPr>
      </w:pPr>
      <w:r>
        <w:rPr>
          <w:rFonts w:ascii="Arial" w:cs="Arial" w:eastAsia="Arial" w:hAnsi="Arial"/>
          <w:sz w:val="19"/>
          <w:szCs w:val="19"/>
          <w:color w:val="3E3935"/>
        </w:rPr>
        <w:t>The table below provides a summary of common themes we have heard that led to boardroom discussion and action:</w:t>
      </w:r>
    </w:p>
    <w:p>
      <w:pPr>
        <w:spacing w:after="0" w:line="311" w:lineRule="exact"/>
        <w:rPr>
          <w:sz w:val="20"/>
          <w:szCs w:val="20"/>
          <w:color w:val="auto"/>
        </w:rPr>
      </w:pPr>
    </w:p>
    <w:p>
      <w:pPr>
        <w:ind w:left="1860"/>
        <w:spacing w:after="0"/>
        <w:tabs>
          <w:tab w:leader="none" w:pos="7400" w:val="left"/>
        </w:tabs>
        <w:rPr>
          <w:sz w:val="20"/>
          <w:szCs w:val="20"/>
          <w:color w:val="auto"/>
        </w:rPr>
      </w:pPr>
      <w:r>
        <w:rPr>
          <w:rFonts w:ascii="Arial" w:cs="Arial" w:eastAsia="Arial" w:hAnsi="Arial"/>
          <w:sz w:val="18"/>
          <w:szCs w:val="18"/>
          <w:b w:val="1"/>
          <w:bCs w:val="1"/>
          <w:color w:val="00C1DE"/>
        </w:rPr>
        <w:t>Message</w:t>
      </w:r>
      <w:r>
        <w:rPr>
          <w:sz w:val="20"/>
          <w:szCs w:val="20"/>
          <w:color w:val="auto"/>
        </w:rPr>
        <w:tab/>
      </w:r>
      <w:r>
        <w:rPr>
          <w:rFonts w:ascii="Arial" w:cs="Arial" w:eastAsia="Arial" w:hAnsi="Arial"/>
          <w:sz w:val="18"/>
          <w:szCs w:val="18"/>
          <w:b w:val="1"/>
          <w:bCs w:val="1"/>
          <w:color w:val="00C1DE"/>
        </w:rPr>
        <w:t>Actions</w:t>
      </w:r>
    </w:p>
    <w:p>
      <w:pPr>
        <w:sectPr>
          <w:pgSz w:w="11900" w:h="16838" w:orient="portrait"/>
          <w:cols w:equalWidth="0" w:num="1">
            <w:col w:w="10920"/>
          </w:cols>
          <w:pgMar w:left="320" w:top="482" w:right="659" w:bottom="1440" w:gutter="0" w:footer="0" w:header="0"/>
        </w:sectPr>
      </w:pPr>
    </w:p>
    <w:p>
      <w:pPr>
        <w:spacing w:after="0" w:line="128" w:lineRule="exact"/>
        <w:rPr>
          <w:sz w:val="20"/>
          <w:szCs w:val="20"/>
          <w:color w:val="auto"/>
        </w:rPr>
      </w:pPr>
    </w:p>
    <w:p>
      <w:pPr>
        <w:ind w:left="320"/>
        <w:spacing w:after="0" w:line="260" w:lineRule="auto"/>
        <w:rPr>
          <w:sz w:val="20"/>
          <w:szCs w:val="20"/>
          <w:color w:val="auto"/>
        </w:rPr>
      </w:pPr>
      <w:r>
        <w:rPr>
          <w:rFonts w:ascii="Arial" w:cs="Arial" w:eastAsia="Arial" w:hAnsi="Arial"/>
          <w:sz w:val="19"/>
          <w:szCs w:val="19"/>
          <w:color w:val="3E3935"/>
        </w:rPr>
        <w:t>Requested to disclose Board priorities for future director recruitment and the succession plan with regards to diversity.</w:t>
      </w:r>
    </w:p>
    <w:p>
      <w:pPr>
        <w:spacing w:after="0" w:line="20" w:lineRule="exact"/>
        <w:rPr>
          <w:sz w:val="20"/>
          <w:szCs w:val="20"/>
          <w:color w:val="auto"/>
        </w:rPr>
      </w:pPr>
      <w:r>
        <w:rPr>
          <w:sz w:val="20"/>
          <w:szCs w:val="20"/>
          <w:color w:val="auto"/>
        </w:rPr>
        <w:br w:type="column"/>
      </w:r>
    </w:p>
    <w:p>
      <w:pPr>
        <w:spacing w:after="0" w:line="108" w:lineRule="exact"/>
        <w:rPr>
          <w:sz w:val="20"/>
          <w:szCs w:val="20"/>
          <w:color w:val="auto"/>
        </w:rPr>
      </w:pPr>
    </w:p>
    <w:p>
      <w:pPr>
        <w:jc w:val="both"/>
        <w:spacing w:after="0" w:line="232" w:lineRule="auto"/>
        <w:rPr>
          <w:sz w:val="20"/>
          <w:szCs w:val="20"/>
          <w:color w:val="auto"/>
        </w:rPr>
      </w:pPr>
      <w:r>
        <w:rPr>
          <w:rFonts w:ascii="Arial" w:cs="Arial" w:eastAsia="Arial" w:hAnsi="Arial"/>
          <w:sz w:val="20"/>
          <w:szCs w:val="20"/>
          <w:color w:val="3E3935"/>
        </w:rPr>
        <w:t>For a discussion of the actions taken to further evolve the Board’s composition, see page 21. We also amended our Corporate Governance Guidelines to formalize the Board’s (long-standing) practice of including highly qualified women and individuals from minority groups in the pool of candidates from which Board nominees are chosen. We also clarified that our definition of diversity includes nationality, gender, age, ethnicity, and sexual orientation.</w:t>
      </w:r>
    </w:p>
    <w:p>
      <w:pPr>
        <w:spacing w:after="0" w:line="91" w:lineRule="exact"/>
        <w:rPr>
          <w:sz w:val="20"/>
          <w:szCs w:val="20"/>
          <w:color w:val="auto"/>
        </w:rPr>
      </w:pPr>
    </w:p>
    <w:p>
      <w:pPr>
        <w:sectPr>
          <w:pgSz w:w="11900" w:h="16838" w:orient="portrait"/>
          <w:cols w:equalWidth="0" w:num="2">
            <w:col w:w="3940" w:space="540"/>
            <w:col w:w="6440"/>
          </w:cols>
          <w:pgMar w:left="320" w:top="482" w:right="659" w:bottom="1440" w:gutter="0" w:footer="0" w:header="0"/>
          <w:type w:val="continuous"/>
        </w:sectPr>
      </w:pPr>
    </w:p>
    <w:p>
      <w:pPr>
        <w:ind w:left="320" w:right="120"/>
        <w:spacing w:after="0" w:line="241" w:lineRule="auto"/>
        <w:rPr>
          <w:sz w:val="20"/>
          <w:szCs w:val="20"/>
          <w:color w:val="auto"/>
        </w:rPr>
      </w:pPr>
      <w:r>
        <w:rPr>
          <w:rFonts w:ascii="Arial" w:cs="Arial" w:eastAsia="Arial" w:hAnsi="Arial"/>
          <w:sz w:val="20"/>
          <w:szCs w:val="20"/>
          <w:color w:val="3E3935"/>
        </w:rPr>
        <w:t>Encouraged to modernize the Board’s approach to equity grants for non-employee Directors.</w:t>
      </w:r>
    </w:p>
    <w:p>
      <w:pPr>
        <w:spacing w:after="0" w:line="20" w:lineRule="exact"/>
        <w:rPr>
          <w:sz w:val="20"/>
          <w:szCs w:val="20"/>
          <w:color w:val="auto"/>
        </w:rPr>
      </w:pPr>
      <w:r>
        <w:rPr>
          <w:sz w:val="20"/>
          <w:szCs w:val="20"/>
          <w:color w:val="auto"/>
        </w:rPr>
        <w:br w:type="column"/>
      </w:r>
    </w:p>
    <w:p>
      <w:pPr>
        <w:jc w:val="both"/>
        <w:spacing w:after="0" w:line="237" w:lineRule="auto"/>
        <w:rPr>
          <w:sz w:val="20"/>
          <w:szCs w:val="20"/>
          <w:color w:val="auto"/>
        </w:rPr>
      </w:pPr>
      <w:r>
        <w:rPr>
          <w:rFonts w:ascii="Arial" w:cs="Arial" w:eastAsia="Arial" w:hAnsi="Arial"/>
          <w:sz w:val="20"/>
          <w:szCs w:val="20"/>
          <w:color w:val="3E3935"/>
        </w:rPr>
        <w:t>The Governance Committee conducted a comprehensive review of our non-employee director compensation program, which resulted in increasing the mandatory deferral requirement and stock ownership requirements. For more discussion of the changes, see page 23.</w:t>
      </w:r>
    </w:p>
    <w:p>
      <w:pPr>
        <w:spacing w:after="0" w:line="91" w:lineRule="exact"/>
        <w:rPr>
          <w:sz w:val="20"/>
          <w:szCs w:val="20"/>
          <w:color w:val="auto"/>
        </w:rPr>
      </w:pPr>
    </w:p>
    <w:p>
      <w:pPr>
        <w:sectPr>
          <w:pgSz w:w="11900" w:h="16838" w:orient="portrait"/>
          <w:cols w:equalWidth="0" w:num="2">
            <w:col w:w="3760" w:space="720"/>
            <w:col w:w="6440"/>
          </w:cols>
          <w:pgMar w:left="320" w:top="482" w:right="659" w:bottom="1440" w:gutter="0" w:footer="0" w:header="0"/>
          <w:type w:val="continuous"/>
        </w:sectPr>
      </w:pPr>
    </w:p>
    <w:p>
      <w:pPr>
        <w:ind w:left="320"/>
        <w:spacing w:after="0" w:line="241" w:lineRule="auto"/>
        <w:rPr>
          <w:sz w:val="20"/>
          <w:szCs w:val="20"/>
          <w:color w:val="auto"/>
        </w:rPr>
      </w:pPr>
      <w:r>
        <w:rPr>
          <w:rFonts w:ascii="Arial" w:cs="Arial" w:eastAsia="Arial" w:hAnsi="Arial"/>
          <w:sz w:val="20"/>
          <w:szCs w:val="20"/>
          <w:color w:val="3E3935"/>
        </w:rPr>
        <w:t>Prior shareholder proposals asked the Board to lower the Company’s threshold to call a special meeting.</w:t>
      </w:r>
    </w:p>
    <w:p>
      <w:pPr>
        <w:spacing w:after="0" w:line="20" w:lineRule="exact"/>
        <w:rPr>
          <w:sz w:val="20"/>
          <w:szCs w:val="20"/>
          <w:color w:val="auto"/>
        </w:rPr>
      </w:pPr>
      <w:r>
        <w:rPr>
          <w:sz w:val="20"/>
          <w:szCs w:val="20"/>
          <w:color w:val="auto"/>
        </w:rPr>
        <w:br w:type="column"/>
      </w:r>
    </w:p>
    <w:p>
      <w:pPr>
        <w:jc w:val="both"/>
        <w:spacing w:after="0" w:line="237" w:lineRule="auto"/>
        <w:rPr>
          <w:sz w:val="20"/>
          <w:szCs w:val="20"/>
          <w:color w:val="auto"/>
        </w:rPr>
      </w:pPr>
      <w:r>
        <w:rPr>
          <w:rFonts w:ascii="Arial" w:cs="Arial" w:eastAsia="Arial" w:hAnsi="Arial"/>
          <w:sz w:val="20"/>
          <w:szCs w:val="20"/>
          <w:color w:val="3E3935"/>
        </w:rPr>
        <w:t>In response to discussions with our shareholders, the Board recently amended GM’s Bylaws to provide that any shareholder or group of shareholders that own an aggregate of at least 15 percent of GM’s outstanding common stock may call a special meeting.</w:t>
      </w:r>
    </w:p>
    <w:p>
      <w:pPr>
        <w:spacing w:after="0" w:line="91" w:lineRule="exact"/>
        <w:rPr>
          <w:sz w:val="20"/>
          <w:szCs w:val="20"/>
          <w:color w:val="auto"/>
        </w:rPr>
      </w:pPr>
    </w:p>
    <w:p>
      <w:pPr>
        <w:sectPr>
          <w:pgSz w:w="11900" w:h="16838" w:orient="portrait"/>
          <w:cols w:equalWidth="0" w:num="2">
            <w:col w:w="4060" w:space="420"/>
            <w:col w:w="6440"/>
          </w:cols>
          <w:pgMar w:left="320" w:top="482" w:right="659" w:bottom="1440" w:gutter="0" w:footer="0" w:header="0"/>
          <w:type w:val="continuous"/>
        </w:sectPr>
      </w:pPr>
    </w:p>
    <w:p>
      <w:pPr>
        <w:ind w:left="320" w:right="40"/>
        <w:spacing w:after="0" w:line="241" w:lineRule="auto"/>
        <w:rPr>
          <w:sz w:val="20"/>
          <w:szCs w:val="20"/>
          <w:color w:val="auto"/>
        </w:rPr>
      </w:pPr>
      <w:r>
        <w:rPr>
          <w:rFonts w:ascii="Arial" w:cs="Arial" w:eastAsia="Arial" w:hAnsi="Arial"/>
          <w:sz w:val="20"/>
          <w:szCs w:val="20"/>
          <w:color w:val="3E3935"/>
        </w:rPr>
        <w:t>Encouraged to return capital to shareholders as part of the Company’s capital allocation strategy.</w:t>
      </w:r>
    </w:p>
    <w:p>
      <w:pPr>
        <w:spacing w:after="0" w:line="20" w:lineRule="exact"/>
        <w:rPr>
          <w:sz w:val="20"/>
          <w:szCs w:val="20"/>
          <w:color w:val="auto"/>
        </w:rPr>
      </w:pPr>
      <w:r>
        <w:rPr>
          <w:sz w:val="20"/>
          <w:szCs w:val="20"/>
          <w:color w:val="auto"/>
        </w:rPr>
        <w:br w:type="column"/>
      </w:r>
    </w:p>
    <w:p>
      <w:pPr>
        <w:jc w:val="both"/>
        <w:spacing w:after="0" w:line="233" w:lineRule="auto"/>
        <w:rPr>
          <w:sz w:val="20"/>
          <w:szCs w:val="20"/>
          <w:color w:val="auto"/>
        </w:rPr>
      </w:pPr>
      <w:r>
        <w:rPr>
          <w:rFonts w:ascii="Arial" w:cs="Arial" w:eastAsia="Arial" w:hAnsi="Arial"/>
          <w:sz w:val="20"/>
          <w:szCs w:val="20"/>
          <w:color w:val="3E3935"/>
        </w:rPr>
        <w:t>In 2022, we reinstated the Company’s quarterly dividend and reinstated our share repurchase program, which had been temporarily paused at the outset of the COVID-19 pandemic. Following input from the Board, we felt that management had made significant progress on its key strategic initiatives and became confident in the Company’s capacity to fund growth while also returning capital to shareholders.</w:t>
      </w:r>
    </w:p>
    <w:p>
      <w:pPr>
        <w:spacing w:after="0" w:line="91" w:lineRule="exact"/>
        <w:rPr>
          <w:sz w:val="20"/>
          <w:szCs w:val="20"/>
          <w:color w:val="auto"/>
        </w:rPr>
      </w:pPr>
    </w:p>
    <w:p>
      <w:pPr>
        <w:sectPr>
          <w:pgSz w:w="11900" w:h="16838" w:orient="portrait"/>
          <w:cols w:equalWidth="0" w:num="2">
            <w:col w:w="3760" w:space="720"/>
            <w:col w:w="6440"/>
          </w:cols>
          <w:pgMar w:left="320" w:top="482" w:right="659" w:bottom="1440" w:gutter="0" w:footer="0" w:header="0"/>
          <w:type w:val="continuous"/>
        </w:sectPr>
      </w:pPr>
    </w:p>
    <w:p>
      <w:pPr>
        <w:ind w:left="320"/>
        <w:spacing w:after="0" w:line="233" w:lineRule="auto"/>
        <w:rPr>
          <w:sz w:val="20"/>
          <w:szCs w:val="20"/>
          <w:color w:val="auto"/>
        </w:rPr>
      </w:pPr>
      <w:r>
        <w:rPr>
          <w:rFonts w:ascii="Arial" w:cs="Arial" w:eastAsia="Arial" w:hAnsi="Arial"/>
          <w:sz w:val="20"/>
          <w:szCs w:val="20"/>
          <w:color w:val="3E3935"/>
        </w:rPr>
        <w:t>Encouraged to continue to be transparent with the Company’s public policy priorities and take more action to create a resilient and secure supply chain ecosystem that incorporates decarbonization priorities and human rights.</w:t>
      </w:r>
    </w:p>
    <w:p>
      <w:pPr>
        <w:spacing w:after="0" w:line="20" w:lineRule="exact"/>
        <w:rPr>
          <w:sz w:val="20"/>
          <w:szCs w:val="20"/>
          <w:color w:val="auto"/>
        </w:rPr>
      </w:pPr>
      <w:r>
        <w:rPr>
          <w:sz w:val="20"/>
          <w:szCs w:val="20"/>
          <w:color w:val="auto"/>
        </w:rPr>
        <w:br w:type="column"/>
      </w:r>
    </w:p>
    <w:p>
      <w:pPr>
        <w:jc w:val="both"/>
        <w:spacing w:after="0" w:line="234" w:lineRule="auto"/>
        <w:rPr>
          <w:sz w:val="20"/>
          <w:szCs w:val="20"/>
          <w:color w:val="auto"/>
        </w:rPr>
      </w:pPr>
      <w:r>
        <w:rPr>
          <w:rFonts w:ascii="Arial" w:cs="Arial" w:eastAsia="Arial" w:hAnsi="Arial"/>
          <w:sz w:val="20"/>
          <w:szCs w:val="20"/>
          <w:color w:val="3E3935"/>
        </w:rPr>
        <w:t>We continued work with the Climate Action 100+ to publish the Company’s second Sustainability Advocacy Report, which discloses the company’s efforts to advocate for EV provisions within the Inflation Reduction Act of 2022 and the Infrastructure Investment and Jobs Act of 2021, which we believe support the goals of the Paris Agreement.</w:t>
      </w:r>
    </w:p>
    <w:p>
      <w:pPr>
        <w:spacing w:after="0" w:line="80" w:lineRule="exact"/>
        <w:rPr>
          <w:sz w:val="20"/>
          <w:szCs w:val="20"/>
          <w:color w:val="auto"/>
        </w:rPr>
      </w:pPr>
    </w:p>
    <w:p>
      <w:pPr>
        <w:jc w:val="both"/>
        <w:spacing w:after="0" w:line="230" w:lineRule="auto"/>
        <w:rPr>
          <w:sz w:val="20"/>
          <w:szCs w:val="20"/>
          <w:color w:val="auto"/>
        </w:rPr>
      </w:pPr>
      <w:r>
        <w:rPr>
          <w:rFonts w:ascii="Arial" w:cs="Arial" w:eastAsia="Arial" w:hAnsi="Arial"/>
          <w:sz w:val="20"/>
          <w:szCs w:val="20"/>
          <w:color w:val="3E3935"/>
        </w:rPr>
        <w:t>One of the main focus areas this year will be to continue momentum on building a resilient supply chain supporting our transition to EVs. Two recent examples of our actions include a $650 million equity investment and supply agreement with Lithium Americas Corp. to supply lithium sourced from the United States and a supply agreement with U.S. Steel for a U.S.-sourced sustainable steel solution that results in 75 percent fewer emissions. We also recently joined the First Movers Coalition with sustainable procurement commitments covering concrete, steel, and aluminum.</w:t>
      </w:r>
    </w:p>
    <w:p>
      <w:pPr>
        <w:spacing w:after="0" w:line="109" w:lineRule="exact"/>
        <w:rPr>
          <w:sz w:val="20"/>
          <w:szCs w:val="20"/>
          <w:color w:val="auto"/>
        </w:rPr>
      </w:pPr>
    </w:p>
    <w:p>
      <w:pPr>
        <w:sectPr>
          <w:pgSz w:w="11900" w:h="16838" w:orient="portrait"/>
          <w:cols w:equalWidth="0" w:num="2">
            <w:col w:w="4040" w:space="440"/>
            <w:col w:w="6440"/>
          </w:cols>
          <w:pgMar w:left="320" w:top="482" w:right="659" w:bottom="1440" w:gutter="0" w:footer="0" w:header="0"/>
          <w:type w:val="continuous"/>
        </w:sectPr>
      </w:pPr>
    </w:p>
    <w:p>
      <w:pPr>
        <w:ind w:left="320"/>
        <w:spacing w:after="0" w:line="260" w:lineRule="auto"/>
        <w:rPr>
          <w:sz w:val="20"/>
          <w:szCs w:val="20"/>
          <w:color w:val="auto"/>
        </w:rPr>
      </w:pPr>
      <w:r>
        <w:rPr>
          <w:rFonts w:ascii="Arial" w:cs="Arial" w:eastAsia="Arial" w:hAnsi="Arial"/>
          <w:sz w:val="19"/>
          <w:szCs w:val="19"/>
          <w:color w:val="3E3935"/>
        </w:rPr>
        <w:t>Encouraged to affirm that each director has sufficient time and availability to comply with the Company’s expectations.</w:t>
      </w:r>
    </w:p>
    <w:p>
      <w:pPr>
        <w:spacing w:after="0" w:line="20" w:lineRule="exact"/>
        <w:rPr>
          <w:sz w:val="20"/>
          <w:szCs w:val="20"/>
          <w:color w:val="auto"/>
        </w:rPr>
      </w:pPr>
      <w:r>
        <w:rPr>
          <w:sz w:val="20"/>
          <w:szCs w:val="20"/>
          <w:color w:val="auto"/>
        </w:rPr>
        <w:br w:type="column"/>
      </w:r>
    </w:p>
    <w:p>
      <w:pPr>
        <w:jc w:val="both"/>
        <w:spacing w:after="0" w:line="234" w:lineRule="auto"/>
        <w:rPr>
          <w:sz w:val="20"/>
          <w:szCs w:val="20"/>
          <w:color w:val="auto"/>
        </w:rPr>
      </w:pPr>
      <w:r>
        <w:rPr>
          <w:rFonts w:ascii="Arial" w:cs="Arial" w:eastAsia="Arial" w:hAnsi="Arial"/>
          <w:sz w:val="20"/>
          <w:szCs w:val="20"/>
          <w:color w:val="3E3935"/>
        </w:rPr>
        <w:t>We amended our Corporate Governance Guidelines to formalize an existing practice of the Governance Committee to ensure that each director has sufficient time to commit to the Company. In 2022, this review determined that each director nominee is fulfilling their obligations as a director of the Company.</w:t>
      </w:r>
    </w:p>
    <w:p>
      <w:pPr>
        <w:spacing w:after="0" w:line="200" w:lineRule="exact"/>
        <w:rPr>
          <w:sz w:val="20"/>
          <w:szCs w:val="20"/>
          <w:color w:val="auto"/>
        </w:rPr>
      </w:pPr>
    </w:p>
    <w:p>
      <w:pPr>
        <w:sectPr>
          <w:pgSz w:w="11900" w:h="16838" w:orient="portrait"/>
          <w:cols w:equalWidth="0" w:num="2">
            <w:col w:w="3940" w:space="540"/>
            <w:col w:w="6440"/>
          </w:cols>
          <w:pgMar w:left="320" w:top="482" w:right="659" w:bottom="1440" w:gutter="0" w:footer="0" w:header="0"/>
          <w:type w:val="continuous"/>
        </w:sectPr>
      </w:pPr>
    </w:p>
    <w:p>
      <w:pPr>
        <w:spacing w:after="0" w:line="203" w:lineRule="exact"/>
        <w:rPr>
          <w:sz w:val="20"/>
          <w:szCs w:val="20"/>
          <w:color w:val="auto"/>
        </w:rPr>
      </w:pPr>
    </w:p>
    <w:p>
      <w:pPr>
        <w:ind w:left="10740"/>
        <w:spacing w:after="0"/>
        <w:rPr>
          <w:sz w:val="20"/>
          <w:szCs w:val="20"/>
          <w:color w:val="auto"/>
        </w:rPr>
      </w:pPr>
      <w:r>
        <w:rPr>
          <w:rFonts w:ascii="Arial" w:cs="Arial" w:eastAsia="Arial" w:hAnsi="Arial"/>
          <w:sz w:val="14"/>
          <w:szCs w:val="14"/>
          <w:color w:val="0071CE"/>
        </w:rPr>
        <w:t>7</w:t>
      </w:r>
    </w:p>
    <w:p>
      <w:pPr>
        <w:sectPr>
          <w:pgSz w:w="11900" w:h="16838" w:orient="portrait"/>
          <w:cols w:equalWidth="0" w:num="1">
            <w:col w:w="10920"/>
          </w:cols>
          <w:pgMar w:left="320" w:top="482" w:right="659" w:bottom="1440" w:gutter="0" w:footer="0" w:header="0"/>
          <w:type w:val="continuous"/>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75565</wp:posOffset>
            </wp:positionH>
            <wp:positionV relativeFrom="paragraph">
              <wp:posOffset>210185</wp:posOffset>
            </wp:positionV>
            <wp:extent cx="6990715" cy="674179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990715" cy="674179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20"/>
        <w:spacing w:after="0"/>
        <w:rPr>
          <w:sz w:val="20"/>
          <w:szCs w:val="20"/>
          <w:color w:val="auto"/>
        </w:rPr>
      </w:pPr>
      <w:r>
        <w:rPr>
          <w:rFonts w:ascii="Arial" w:cs="Arial" w:eastAsia="Arial" w:hAnsi="Arial"/>
          <w:sz w:val="29"/>
          <w:szCs w:val="29"/>
          <w:color w:val="3E3935"/>
        </w:rPr>
        <w:t>Environmental, Social, and Governance Highlights</w:t>
      </w:r>
    </w:p>
    <w:p>
      <w:pPr>
        <w:spacing w:after="0" w:line="135" w:lineRule="exact"/>
        <w:rPr>
          <w:sz w:val="20"/>
          <w:szCs w:val="20"/>
          <w:color w:val="auto"/>
        </w:rPr>
      </w:pPr>
    </w:p>
    <w:p>
      <w:pPr>
        <w:ind w:left="820" w:hanging="504"/>
        <w:spacing w:after="0"/>
        <w:tabs>
          <w:tab w:leader="none" w:pos="820" w:val="left"/>
        </w:tabs>
        <w:numPr>
          <w:ilvl w:val="0"/>
          <w:numId w:val="12"/>
        </w:numPr>
        <w:rPr>
          <w:rFonts w:ascii="Times New Roman" w:cs="Times New Roman" w:eastAsia="Times New Roman" w:hAnsi="Times New Roman"/>
          <w:sz w:val="19"/>
          <w:szCs w:val="19"/>
          <w:color w:val="0071CE"/>
        </w:rPr>
      </w:pPr>
      <w:r>
        <w:rPr>
          <w:rFonts w:ascii="Arial" w:cs="Arial" w:eastAsia="Arial" w:hAnsi="Arial"/>
          <w:sz w:val="25"/>
          <w:szCs w:val="25"/>
          <w:color w:val="3E3935"/>
        </w:rPr>
        <w:t>Environmental Highlights</w:t>
      </w:r>
    </w:p>
    <w:p>
      <w:pPr>
        <w:spacing w:after="0" w:line="131" w:lineRule="exact"/>
        <w:rPr>
          <w:rFonts w:ascii="Times New Roman" w:cs="Times New Roman" w:eastAsia="Times New Roman" w:hAnsi="Times New Roman"/>
          <w:sz w:val="19"/>
          <w:szCs w:val="19"/>
          <w:color w:val="0071CE"/>
        </w:rPr>
      </w:pPr>
    </w:p>
    <w:p>
      <w:pPr>
        <w:ind w:left="1360" w:hanging="518"/>
        <w:spacing w:after="0"/>
        <w:tabs>
          <w:tab w:leader="none" w:pos="1360" w:val="left"/>
        </w:tabs>
        <w:numPr>
          <w:ilvl w:val="1"/>
          <w:numId w:val="12"/>
        </w:numPr>
        <w:rPr>
          <w:rFonts w:ascii="Arial" w:cs="Arial" w:eastAsia="Arial" w:hAnsi="Arial"/>
          <w:sz w:val="20"/>
          <w:szCs w:val="20"/>
          <w:color w:val="00C1DE"/>
        </w:rPr>
      </w:pPr>
      <w:r>
        <w:rPr>
          <w:rFonts w:ascii="Arial" w:cs="Arial" w:eastAsia="Arial" w:hAnsi="Arial"/>
          <w:sz w:val="20"/>
          <w:szCs w:val="20"/>
          <w:color w:val="3E3935"/>
        </w:rPr>
        <w:t>GM joined the First Movers Coalition with concrete, steel, and aluminum commitments</w:t>
      </w:r>
    </w:p>
    <w:p>
      <w:pPr>
        <w:spacing w:after="0" w:line="121" w:lineRule="exact"/>
        <w:rPr>
          <w:rFonts w:ascii="Arial" w:cs="Arial" w:eastAsia="Arial" w:hAnsi="Arial"/>
          <w:sz w:val="20"/>
          <w:szCs w:val="20"/>
          <w:color w:val="00C1DE"/>
        </w:rPr>
      </w:pPr>
    </w:p>
    <w:p>
      <w:pPr>
        <w:ind w:left="1360" w:hanging="518"/>
        <w:spacing w:after="0"/>
        <w:tabs>
          <w:tab w:leader="none" w:pos="1360" w:val="left"/>
        </w:tabs>
        <w:numPr>
          <w:ilvl w:val="1"/>
          <w:numId w:val="12"/>
        </w:numPr>
        <w:rPr>
          <w:rFonts w:ascii="Arial" w:cs="Arial" w:eastAsia="Arial" w:hAnsi="Arial"/>
          <w:sz w:val="20"/>
          <w:szCs w:val="20"/>
          <w:color w:val="00C1DE"/>
        </w:rPr>
      </w:pPr>
      <w:r>
        <w:rPr>
          <w:rFonts w:ascii="Arial" w:cs="Arial" w:eastAsia="Arial" w:hAnsi="Arial"/>
          <w:sz w:val="20"/>
          <w:szCs w:val="20"/>
          <w:color w:val="3E3935"/>
        </w:rPr>
        <w:t>GM has secured enough renewable energy to power its U.S. sites by 2025 based on current projections</w:t>
      </w:r>
    </w:p>
    <w:p>
      <w:pPr>
        <w:spacing w:after="0" w:line="121" w:lineRule="exact"/>
        <w:rPr>
          <w:rFonts w:ascii="Arial" w:cs="Arial" w:eastAsia="Arial" w:hAnsi="Arial"/>
          <w:sz w:val="20"/>
          <w:szCs w:val="20"/>
          <w:color w:val="00C1DE"/>
        </w:rPr>
      </w:pPr>
    </w:p>
    <w:p>
      <w:pPr>
        <w:ind w:left="1360" w:hanging="518"/>
        <w:spacing w:after="0"/>
        <w:tabs>
          <w:tab w:leader="none" w:pos="1360" w:val="left"/>
        </w:tabs>
        <w:numPr>
          <w:ilvl w:val="1"/>
          <w:numId w:val="12"/>
        </w:numPr>
        <w:rPr>
          <w:rFonts w:ascii="Arial" w:cs="Arial" w:eastAsia="Arial" w:hAnsi="Arial"/>
          <w:sz w:val="20"/>
          <w:szCs w:val="20"/>
          <w:color w:val="00C1DE"/>
        </w:rPr>
      </w:pPr>
      <w:r>
        <w:rPr>
          <w:rFonts w:ascii="Arial" w:cs="Arial" w:eastAsia="Arial" w:hAnsi="Arial"/>
          <w:sz w:val="20"/>
          <w:szCs w:val="20"/>
          <w:color w:val="3E3935"/>
        </w:rPr>
        <w:t>New Ultium Cells LLC battery plant opened in Ohio to support the scaling of production of our EVs</w:t>
      </w:r>
    </w:p>
    <w:p>
      <w:pPr>
        <w:spacing w:after="0" w:line="121" w:lineRule="exact"/>
        <w:rPr>
          <w:rFonts w:ascii="Arial" w:cs="Arial" w:eastAsia="Arial" w:hAnsi="Arial"/>
          <w:sz w:val="20"/>
          <w:szCs w:val="20"/>
          <w:color w:val="00C1DE"/>
        </w:rPr>
      </w:pPr>
    </w:p>
    <w:p>
      <w:pPr>
        <w:ind w:left="1360" w:hanging="518"/>
        <w:spacing w:after="0"/>
        <w:tabs>
          <w:tab w:leader="none" w:pos="1360" w:val="left"/>
        </w:tabs>
        <w:numPr>
          <w:ilvl w:val="1"/>
          <w:numId w:val="12"/>
        </w:numPr>
        <w:rPr>
          <w:rFonts w:ascii="Arial" w:cs="Arial" w:eastAsia="Arial" w:hAnsi="Arial"/>
          <w:sz w:val="20"/>
          <w:szCs w:val="20"/>
          <w:color w:val="00C1DE"/>
        </w:rPr>
      </w:pPr>
      <w:r>
        <w:rPr>
          <w:rFonts w:ascii="Arial" w:cs="Arial" w:eastAsia="Arial" w:hAnsi="Arial"/>
          <w:sz w:val="20"/>
          <w:szCs w:val="20"/>
          <w:color w:val="3E3935"/>
        </w:rPr>
        <w:t>Record sales of Chevrolet Bolt EV and Bolt EUV in 2022</w:t>
      </w:r>
    </w:p>
    <w:p>
      <w:pPr>
        <w:spacing w:after="0" w:line="264" w:lineRule="exact"/>
        <w:rPr>
          <w:sz w:val="20"/>
          <w:szCs w:val="20"/>
          <w:color w:val="auto"/>
        </w:rPr>
      </w:pPr>
    </w:p>
    <w:tbl>
      <w:tblPr>
        <w:tblLayout w:type="fixed"/>
        <w:tblInd w:w="320" w:type="dxa"/>
        <w:tblCellMar>
          <w:top w:w="0" w:type="dxa"/>
          <w:left w:w="0" w:type="dxa"/>
          <w:bottom w:w="0" w:type="dxa"/>
          <w:right w:w="0" w:type="dxa"/>
        </w:tblCellMar>
      </w:tblPr>
      <w:tr>
        <w:trPr>
          <w:trHeight w:val="292"/>
        </w:trPr>
        <w:tc>
          <w:tcPr>
            <w:tcW w:w="3180" w:type="dxa"/>
            <w:vAlign w:val="bottom"/>
            <w:shd w:val="clear" w:color="auto" w:fill="D8F5FA"/>
          </w:tcPr>
          <w:p>
            <w:pPr>
              <w:ind w:left="80"/>
              <w:spacing w:after="0"/>
              <w:rPr>
                <w:sz w:val="20"/>
                <w:szCs w:val="20"/>
                <w:color w:val="auto"/>
              </w:rPr>
            </w:pPr>
            <w:r>
              <w:rPr>
                <w:rFonts w:ascii="Arial" w:cs="Arial" w:eastAsia="Arial" w:hAnsi="Arial"/>
                <w:sz w:val="18"/>
                <w:szCs w:val="18"/>
                <w:b w:val="1"/>
                <w:bCs w:val="1"/>
                <w:color w:val="00C1DE"/>
              </w:rPr>
              <w:t>Addressing Environmental Impact</w:t>
            </w:r>
          </w:p>
        </w:tc>
        <w:tc>
          <w:tcPr>
            <w:tcW w:w="7420" w:type="dxa"/>
            <w:vAlign w:val="bottom"/>
            <w:shd w:val="clear" w:color="auto" w:fill="D8F5FA"/>
          </w:tcPr>
          <w:p>
            <w:pPr>
              <w:ind w:left="220"/>
              <w:spacing w:after="0"/>
              <w:rPr>
                <w:sz w:val="20"/>
                <w:szCs w:val="20"/>
                <w:color w:val="auto"/>
              </w:rPr>
            </w:pPr>
            <w:r>
              <w:rPr>
                <w:rFonts w:ascii="Arial" w:cs="Arial" w:eastAsia="Arial" w:hAnsi="Arial"/>
                <w:sz w:val="18"/>
                <w:szCs w:val="18"/>
                <w:color w:val="3E3935"/>
              </w:rPr>
              <w:t>GM recognizes the importance of taking action to limit our environmental impact. We are</w:t>
            </w:r>
          </w:p>
        </w:tc>
      </w:tr>
      <w:tr>
        <w:trPr>
          <w:trHeight w:val="203"/>
        </w:trPr>
        <w:tc>
          <w:tcPr>
            <w:tcW w:w="3180" w:type="dxa"/>
            <w:vAlign w:val="bottom"/>
            <w:shd w:val="clear" w:color="auto" w:fill="D8F5FA"/>
          </w:tcPr>
          <w:p>
            <w:pPr>
              <w:spacing w:after="0"/>
              <w:rPr>
                <w:sz w:val="17"/>
                <w:szCs w:val="17"/>
                <w:color w:val="auto"/>
              </w:rPr>
            </w:pPr>
          </w:p>
        </w:tc>
        <w:tc>
          <w:tcPr>
            <w:tcW w:w="7420" w:type="dxa"/>
            <w:vAlign w:val="bottom"/>
            <w:shd w:val="clear" w:color="auto" w:fill="D8F5FA"/>
          </w:tcPr>
          <w:p>
            <w:pPr>
              <w:ind w:left="220"/>
              <w:spacing w:after="0" w:line="202" w:lineRule="exact"/>
              <w:rPr>
                <w:sz w:val="20"/>
                <w:szCs w:val="20"/>
                <w:color w:val="auto"/>
              </w:rPr>
            </w:pPr>
            <w:r>
              <w:rPr>
                <w:rFonts w:ascii="Arial" w:cs="Arial" w:eastAsia="Arial" w:hAnsi="Arial"/>
                <w:sz w:val="18"/>
                <w:szCs w:val="18"/>
                <w:color w:val="3E3935"/>
              </w:rPr>
              <w:t>focused on continuing to enhance the sustainability of our business. This includes</w:t>
            </w:r>
          </w:p>
        </w:tc>
      </w:tr>
      <w:tr>
        <w:trPr>
          <w:trHeight w:val="203"/>
        </w:trPr>
        <w:tc>
          <w:tcPr>
            <w:tcW w:w="3180" w:type="dxa"/>
            <w:vAlign w:val="bottom"/>
            <w:shd w:val="clear" w:color="auto" w:fill="D8F5FA"/>
          </w:tcPr>
          <w:p>
            <w:pPr>
              <w:spacing w:after="0"/>
              <w:rPr>
                <w:sz w:val="17"/>
                <w:szCs w:val="17"/>
                <w:color w:val="auto"/>
              </w:rPr>
            </w:pPr>
          </w:p>
        </w:tc>
        <w:tc>
          <w:tcPr>
            <w:tcW w:w="7420" w:type="dxa"/>
            <w:vAlign w:val="bottom"/>
            <w:shd w:val="clear" w:color="auto" w:fill="D8F5FA"/>
          </w:tcPr>
          <w:p>
            <w:pPr>
              <w:ind w:left="220"/>
              <w:spacing w:after="0" w:line="202" w:lineRule="exact"/>
              <w:rPr>
                <w:sz w:val="20"/>
                <w:szCs w:val="20"/>
                <w:color w:val="auto"/>
              </w:rPr>
            </w:pPr>
            <w:r>
              <w:rPr>
                <w:rFonts w:ascii="Arial" w:cs="Arial" w:eastAsia="Arial" w:hAnsi="Arial"/>
                <w:sz w:val="18"/>
                <w:szCs w:val="18"/>
                <w:color w:val="3E3935"/>
              </w:rPr>
              <w:t>identifying and managing climate-related risks and opportunities, and setting ambitious</w:t>
            </w:r>
          </w:p>
        </w:tc>
      </w:tr>
      <w:tr>
        <w:trPr>
          <w:trHeight w:val="203"/>
        </w:trPr>
        <w:tc>
          <w:tcPr>
            <w:tcW w:w="3180" w:type="dxa"/>
            <w:vAlign w:val="bottom"/>
            <w:shd w:val="clear" w:color="auto" w:fill="D8F5FA"/>
          </w:tcPr>
          <w:p>
            <w:pPr>
              <w:spacing w:after="0"/>
              <w:rPr>
                <w:sz w:val="17"/>
                <w:szCs w:val="17"/>
                <w:color w:val="auto"/>
              </w:rPr>
            </w:pPr>
          </w:p>
        </w:tc>
        <w:tc>
          <w:tcPr>
            <w:tcW w:w="7420" w:type="dxa"/>
            <w:vAlign w:val="bottom"/>
            <w:shd w:val="clear" w:color="auto" w:fill="D8F5FA"/>
          </w:tcPr>
          <w:p>
            <w:pPr>
              <w:ind w:left="220"/>
              <w:spacing w:after="0" w:line="202" w:lineRule="exact"/>
              <w:rPr>
                <w:sz w:val="20"/>
                <w:szCs w:val="20"/>
                <w:color w:val="auto"/>
              </w:rPr>
            </w:pPr>
            <w:r>
              <w:rPr>
                <w:rFonts w:ascii="Arial" w:cs="Arial" w:eastAsia="Arial" w:hAnsi="Arial"/>
                <w:sz w:val="18"/>
                <w:szCs w:val="18"/>
                <w:color w:val="3E3935"/>
              </w:rPr>
              <w:t>goals to reduce our impact. One of our goals is to be carbon neutral in our products and</w:t>
            </w:r>
          </w:p>
        </w:tc>
      </w:tr>
      <w:tr>
        <w:trPr>
          <w:trHeight w:val="203"/>
        </w:trPr>
        <w:tc>
          <w:tcPr>
            <w:tcW w:w="3180" w:type="dxa"/>
            <w:vAlign w:val="bottom"/>
            <w:shd w:val="clear" w:color="auto" w:fill="D8F5FA"/>
          </w:tcPr>
          <w:p>
            <w:pPr>
              <w:spacing w:after="0"/>
              <w:rPr>
                <w:sz w:val="17"/>
                <w:szCs w:val="17"/>
                <w:color w:val="auto"/>
              </w:rPr>
            </w:pPr>
          </w:p>
        </w:tc>
        <w:tc>
          <w:tcPr>
            <w:tcW w:w="7420" w:type="dxa"/>
            <w:vAlign w:val="bottom"/>
            <w:shd w:val="clear" w:color="auto" w:fill="D8F5FA"/>
          </w:tcPr>
          <w:p>
            <w:pPr>
              <w:ind w:left="220"/>
              <w:spacing w:after="0" w:line="202" w:lineRule="exact"/>
              <w:rPr>
                <w:sz w:val="20"/>
                <w:szCs w:val="20"/>
                <w:color w:val="auto"/>
              </w:rPr>
            </w:pPr>
            <w:r>
              <w:rPr>
                <w:rFonts w:ascii="Arial" w:cs="Arial" w:eastAsia="Arial" w:hAnsi="Arial"/>
                <w:sz w:val="18"/>
                <w:szCs w:val="18"/>
                <w:color w:val="3E3935"/>
              </w:rPr>
              <w:t>operations by 2040. Prioritizing transparency, we annually report on our GHG emissions</w:t>
            </w:r>
          </w:p>
        </w:tc>
      </w:tr>
      <w:tr>
        <w:trPr>
          <w:trHeight w:val="203"/>
        </w:trPr>
        <w:tc>
          <w:tcPr>
            <w:tcW w:w="3180" w:type="dxa"/>
            <w:vAlign w:val="bottom"/>
            <w:shd w:val="clear" w:color="auto" w:fill="D8F5FA"/>
          </w:tcPr>
          <w:p>
            <w:pPr>
              <w:spacing w:after="0"/>
              <w:rPr>
                <w:sz w:val="17"/>
                <w:szCs w:val="17"/>
                <w:color w:val="auto"/>
              </w:rPr>
            </w:pPr>
          </w:p>
        </w:tc>
        <w:tc>
          <w:tcPr>
            <w:tcW w:w="7420" w:type="dxa"/>
            <w:vAlign w:val="bottom"/>
            <w:shd w:val="clear" w:color="auto" w:fill="D8F5FA"/>
          </w:tcPr>
          <w:p>
            <w:pPr>
              <w:ind w:left="220"/>
              <w:spacing w:after="0" w:line="202" w:lineRule="exact"/>
              <w:rPr>
                <w:sz w:val="20"/>
                <w:szCs w:val="20"/>
                <w:color w:val="auto"/>
              </w:rPr>
            </w:pPr>
            <w:r>
              <w:rPr>
                <w:rFonts w:ascii="Arial" w:cs="Arial" w:eastAsia="Arial" w:hAnsi="Arial"/>
                <w:sz w:val="18"/>
                <w:szCs w:val="18"/>
                <w:color w:val="3E3935"/>
              </w:rPr>
              <w:t>in our Sustainability Report. We have also set environmental sustainability goals related</w:t>
            </w:r>
          </w:p>
        </w:tc>
      </w:tr>
      <w:tr>
        <w:trPr>
          <w:trHeight w:val="203"/>
        </w:trPr>
        <w:tc>
          <w:tcPr>
            <w:tcW w:w="3180" w:type="dxa"/>
            <w:vAlign w:val="bottom"/>
            <w:shd w:val="clear" w:color="auto" w:fill="D8F5FA"/>
          </w:tcPr>
          <w:p>
            <w:pPr>
              <w:spacing w:after="0"/>
              <w:rPr>
                <w:sz w:val="17"/>
                <w:szCs w:val="17"/>
                <w:color w:val="auto"/>
              </w:rPr>
            </w:pPr>
          </w:p>
        </w:tc>
        <w:tc>
          <w:tcPr>
            <w:tcW w:w="7420" w:type="dxa"/>
            <w:vAlign w:val="bottom"/>
            <w:shd w:val="clear" w:color="auto" w:fill="D8F5FA"/>
          </w:tcPr>
          <w:p>
            <w:pPr>
              <w:ind w:left="220"/>
              <w:spacing w:after="0" w:line="202" w:lineRule="exact"/>
              <w:rPr>
                <w:sz w:val="20"/>
                <w:szCs w:val="20"/>
                <w:color w:val="auto"/>
              </w:rPr>
            </w:pPr>
            <w:r>
              <w:rPr>
                <w:rFonts w:ascii="Arial" w:cs="Arial" w:eastAsia="Arial" w:hAnsi="Arial"/>
                <w:sz w:val="18"/>
                <w:szCs w:val="18"/>
                <w:color w:val="3E3935"/>
              </w:rPr>
              <w:t>to energy, water, and waste. For more information on our sustainability goals, progress,</w:t>
            </w:r>
          </w:p>
        </w:tc>
      </w:tr>
      <w:tr>
        <w:trPr>
          <w:trHeight w:val="203"/>
        </w:trPr>
        <w:tc>
          <w:tcPr>
            <w:tcW w:w="3180" w:type="dxa"/>
            <w:vAlign w:val="bottom"/>
            <w:shd w:val="clear" w:color="auto" w:fill="D8F5FA"/>
          </w:tcPr>
          <w:p>
            <w:pPr>
              <w:spacing w:after="0"/>
              <w:rPr>
                <w:sz w:val="17"/>
                <w:szCs w:val="17"/>
                <w:color w:val="auto"/>
              </w:rPr>
            </w:pPr>
          </w:p>
        </w:tc>
        <w:tc>
          <w:tcPr>
            <w:tcW w:w="7420" w:type="dxa"/>
            <w:vAlign w:val="bottom"/>
            <w:shd w:val="clear" w:color="auto" w:fill="D8F5FA"/>
          </w:tcPr>
          <w:p>
            <w:pPr>
              <w:ind w:left="220"/>
              <w:spacing w:after="0" w:line="202" w:lineRule="exact"/>
              <w:rPr>
                <w:sz w:val="20"/>
                <w:szCs w:val="20"/>
                <w:color w:val="auto"/>
              </w:rPr>
            </w:pPr>
            <w:r>
              <w:rPr>
                <w:rFonts w:ascii="Arial" w:cs="Arial" w:eastAsia="Arial" w:hAnsi="Arial"/>
                <w:sz w:val="18"/>
                <w:szCs w:val="18"/>
                <w:color w:val="3E3935"/>
              </w:rPr>
              <w:t>and  our  strategy,  please  see  our  2022  Sustainability  Report  available  at</w:t>
            </w:r>
          </w:p>
        </w:tc>
      </w:tr>
      <w:tr>
        <w:trPr>
          <w:trHeight w:val="239"/>
        </w:trPr>
        <w:tc>
          <w:tcPr>
            <w:tcW w:w="3180" w:type="dxa"/>
            <w:vAlign w:val="bottom"/>
            <w:shd w:val="clear" w:color="auto" w:fill="D8F5FA"/>
          </w:tcPr>
          <w:p>
            <w:pPr>
              <w:spacing w:after="0"/>
              <w:rPr>
                <w:sz w:val="20"/>
                <w:szCs w:val="20"/>
                <w:color w:val="auto"/>
              </w:rPr>
            </w:pPr>
          </w:p>
        </w:tc>
        <w:tc>
          <w:tcPr>
            <w:tcW w:w="7420" w:type="dxa"/>
            <w:vAlign w:val="bottom"/>
            <w:shd w:val="clear" w:color="auto" w:fill="D8F5FA"/>
          </w:tcPr>
          <w:p>
            <w:pPr>
              <w:ind w:left="220"/>
              <w:spacing w:after="0"/>
              <w:rPr>
                <w:sz w:val="20"/>
                <w:szCs w:val="20"/>
                <w:color w:val="auto"/>
              </w:rPr>
            </w:pPr>
            <w:r>
              <w:rPr>
                <w:rFonts w:ascii="Arial" w:cs="Arial" w:eastAsia="Arial" w:hAnsi="Arial"/>
                <w:sz w:val="18"/>
                <w:szCs w:val="18"/>
                <w:i w:val="1"/>
                <w:iCs w:val="1"/>
                <w:color w:val="00C1DE"/>
              </w:rPr>
              <w:t>gmsustainability.com</w:t>
            </w:r>
            <w:r>
              <w:rPr>
                <w:rFonts w:ascii="Arial" w:cs="Arial" w:eastAsia="Arial" w:hAnsi="Arial"/>
                <w:sz w:val="18"/>
                <w:szCs w:val="18"/>
                <w:color w:val="3E3935"/>
              </w:rPr>
              <w:t>.</w:t>
            </w:r>
          </w:p>
        </w:tc>
      </w:tr>
      <w:tr>
        <w:trPr>
          <w:trHeight w:val="396"/>
        </w:trPr>
        <w:tc>
          <w:tcPr>
            <w:tcW w:w="3180" w:type="dxa"/>
            <w:vAlign w:val="bottom"/>
            <w:shd w:val="clear" w:color="auto" w:fill="D8F5FA"/>
          </w:tcPr>
          <w:p>
            <w:pPr>
              <w:ind w:left="80"/>
              <w:spacing w:after="0"/>
              <w:rPr>
                <w:sz w:val="20"/>
                <w:szCs w:val="20"/>
                <w:color w:val="auto"/>
              </w:rPr>
            </w:pPr>
            <w:r>
              <w:rPr>
                <w:rFonts w:ascii="Arial" w:cs="Arial" w:eastAsia="Arial" w:hAnsi="Arial"/>
                <w:sz w:val="18"/>
                <w:szCs w:val="18"/>
                <w:b w:val="1"/>
                <w:bCs w:val="1"/>
                <w:color w:val="00C1DE"/>
              </w:rPr>
              <w:t>Enhancing Supply Chain</w:t>
            </w:r>
          </w:p>
        </w:tc>
        <w:tc>
          <w:tcPr>
            <w:tcW w:w="7420" w:type="dxa"/>
            <w:vAlign w:val="bottom"/>
            <w:shd w:val="clear" w:color="auto" w:fill="D8F5FA"/>
          </w:tcPr>
          <w:p>
            <w:pPr>
              <w:ind w:left="220"/>
              <w:spacing w:after="0"/>
              <w:rPr>
                <w:sz w:val="20"/>
                <w:szCs w:val="20"/>
                <w:color w:val="auto"/>
              </w:rPr>
            </w:pPr>
            <w:r>
              <w:rPr>
                <w:rFonts w:ascii="Arial" w:cs="Arial" w:eastAsia="Arial" w:hAnsi="Arial"/>
                <w:sz w:val="18"/>
                <w:szCs w:val="18"/>
                <w:color w:val="3E3935"/>
              </w:rPr>
              <w:t>To drive resiliency and sustainability across our supply chain, GM is engaging with</w:t>
            </w:r>
          </w:p>
        </w:tc>
      </w:tr>
      <w:tr>
        <w:trPr>
          <w:trHeight w:val="203"/>
        </w:trPr>
        <w:tc>
          <w:tcPr>
            <w:tcW w:w="3180" w:type="dxa"/>
            <w:vAlign w:val="bottom"/>
            <w:shd w:val="clear" w:color="auto" w:fill="D8F5FA"/>
          </w:tcPr>
          <w:p>
            <w:pPr>
              <w:ind w:left="80"/>
              <w:spacing w:after="0" w:line="202" w:lineRule="exact"/>
              <w:rPr>
                <w:sz w:val="20"/>
                <w:szCs w:val="20"/>
                <w:color w:val="auto"/>
              </w:rPr>
            </w:pPr>
            <w:r>
              <w:rPr>
                <w:rFonts w:ascii="Arial" w:cs="Arial" w:eastAsia="Arial" w:hAnsi="Arial"/>
                <w:sz w:val="18"/>
                <w:szCs w:val="18"/>
                <w:b w:val="1"/>
                <w:bCs w:val="1"/>
                <w:color w:val="00C1DE"/>
              </w:rPr>
              <w:t>Resiliency</w:t>
            </w:r>
          </w:p>
        </w:tc>
        <w:tc>
          <w:tcPr>
            <w:tcW w:w="7420" w:type="dxa"/>
            <w:vAlign w:val="bottom"/>
            <w:shd w:val="clear" w:color="auto" w:fill="D8F5FA"/>
          </w:tcPr>
          <w:p>
            <w:pPr>
              <w:ind w:left="220"/>
              <w:spacing w:after="0" w:line="202" w:lineRule="exact"/>
              <w:rPr>
                <w:sz w:val="20"/>
                <w:szCs w:val="20"/>
                <w:color w:val="auto"/>
              </w:rPr>
            </w:pPr>
            <w:r>
              <w:rPr>
                <w:rFonts w:ascii="Arial" w:cs="Arial" w:eastAsia="Arial" w:hAnsi="Arial"/>
                <w:sz w:val="18"/>
                <w:szCs w:val="18"/>
                <w:color w:val="3E3935"/>
              </w:rPr>
              <w:t>suppliers, industry groups, and nonprofits. In 2022, we enhanced our Supplier Code of</w:t>
            </w:r>
          </w:p>
        </w:tc>
      </w:tr>
      <w:tr>
        <w:trPr>
          <w:trHeight w:val="203"/>
        </w:trPr>
        <w:tc>
          <w:tcPr>
            <w:tcW w:w="3180" w:type="dxa"/>
            <w:vAlign w:val="bottom"/>
            <w:shd w:val="clear" w:color="auto" w:fill="D8F5FA"/>
          </w:tcPr>
          <w:p>
            <w:pPr>
              <w:spacing w:after="0"/>
              <w:rPr>
                <w:sz w:val="17"/>
                <w:szCs w:val="17"/>
                <w:color w:val="auto"/>
              </w:rPr>
            </w:pPr>
          </w:p>
        </w:tc>
        <w:tc>
          <w:tcPr>
            <w:tcW w:w="7420" w:type="dxa"/>
            <w:vAlign w:val="bottom"/>
            <w:shd w:val="clear" w:color="auto" w:fill="D8F5FA"/>
          </w:tcPr>
          <w:p>
            <w:pPr>
              <w:ind w:left="220"/>
              <w:spacing w:after="0" w:line="202" w:lineRule="exact"/>
              <w:rPr>
                <w:sz w:val="20"/>
                <w:szCs w:val="20"/>
                <w:color w:val="auto"/>
              </w:rPr>
            </w:pPr>
            <w:r>
              <w:rPr>
                <w:rFonts w:ascii="Arial" w:cs="Arial" w:eastAsia="Arial" w:hAnsi="Arial"/>
                <w:sz w:val="18"/>
                <w:szCs w:val="18"/>
                <w:color w:val="3E3935"/>
              </w:rPr>
              <w:t>Conduct and invited Tier 1 suppliers to sign our ESG Partnership Pledge to demonstrate</w:t>
            </w:r>
          </w:p>
        </w:tc>
      </w:tr>
      <w:tr>
        <w:trPr>
          <w:trHeight w:val="203"/>
        </w:trPr>
        <w:tc>
          <w:tcPr>
            <w:tcW w:w="3180" w:type="dxa"/>
            <w:vAlign w:val="bottom"/>
            <w:shd w:val="clear" w:color="auto" w:fill="D8F5FA"/>
          </w:tcPr>
          <w:p>
            <w:pPr>
              <w:spacing w:after="0"/>
              <w:rPr>
                <w:sz w:val="17"/>
                <w:szCs w:val="17"/>
                <w:color w:val="auto"/>
              </w:rPr>
            </w:pPr>
          </w:p>
        </w:tc>
        <w:tc>
          <w:tcPr>
            <w:tcW w:w="7420" w:type="dxa"/>
            <w:vAlign w:val="bottom"/>
            <w:shd w:val="clear" w:color="auto" w:fill="D8F5FA"/>
          </w:tcPr>
          <w:p>
            <w:pPr>
              <w:ind w:left="220"/>
              <w:spacing w:after="0" w:line="202" w:lineRule="exact"/>
              <w:rPr>
                <w:sz w:val="20"/>
                <w:szCs w:val="20"/>
                <w:color w:val="auto"/>
              </w:rPr>
            </w:pPr>
            <w:r>
              <w:rPr>
                <w:rFonts w:ascii="Arial" w:cs="Arial" w:eastAsia="Arial" w:hAnsi="Arial"/>
                <w:sz w:val="18"/>
                <w:szCs w:val="18"/>
                <w:color w:val="3E3935"/>
              </w:rPr>
              <w:t>their commitment to principles of sustainability and human rights. By the end of 2022,</w:t>
            </w:r>
          </w:p>
        </w:tc>
      </w:tr>
      <w:tr>
        <w:trPr>
          <w:trHeight w:val="203"/>
        </w:trPr>
        <w:tc>
          <w:tcPr>
            <w:tcW w:w="3180" w:type="dxa"/>
            <w:vAlign w:val="bottom"/>
            <w:shd w:val="clear" w:color="auto" w:fill="D8F5FA"/>
          </w:tcPr>
          <w:p>
            <w:pPr>
              <w:spacing w:after="0"/>
              <w:rPr>
                <w:sz w:val="17"/>
                <w:szCs w:val="17"/>
                <w:color w:val="auto"/>
              </w:rPr>
            </w:pPr>
          </w:p>
        </w:tc>
        <w:tc>
          <w:tcPr>
            <w:tcW w:w="7420" w:type="dxa"/>
            <w:vAlign w:val="bottom"/>
            <w:shd w:val="clear" w:color="auto" w:fill="D8F5FA"/>
          </w:tcPr>
          <w:p>
            <w:pPr>
              <w:ind w:left="220"/>
              <w:spacing w:after="0" w:line="202" w:lineRule="exact"/>
              <w:rPr>
                <w:sz w:val="20"/>
                <w:szCs w:val="20"/>
                <w:color w:val="auto"/>
              </w:rPr>
            </w:pPr>
            <w:r>
              <w:rPr>
                <w:rFonts w:ascii="Arial" w:cs="Arial" w:eastAsia="Arial" w:hAnsi="Arial"/>
                <w:sz w:val="18"/>
                <w:szCs w:val="18"/>
                <w:color w:val="3E3935"/>
              </w:rPr>
              <w:t>68 percent of our direct suppliers, by budgeted annual purchase value, had committed to</w:t>
            </w:r>
          </w:p>
        </w:tc>
      </w:tr>
      <w:tr>
        <w:trPr>
          <w:trHeight w:val="203"/>
        </w:trPr>
        <w:tc>
          <w:tcPr>
            <w:tcW w:w="3180" w:type="dxa"/>
            <w:vAlign w:val="bottom"/>
            <w:shd w:val="clear" w:color="auto" w:fill="D8F5FA"/>
          </w:tcPr>
          <w:p>
            <w:pPr>
              <w:spacing w:after="0"/>
              <w:rPr>
                <w:sz w:val="17"/>
                <w:szCs w:val="17"/>
                <w:color w:val="auto"/>
              </w:rPr>
            </w:pPr>
          </w:p>
        </w:tc>
        <w:tc>
          <w:tcPr>
            <w:tcW w:w="7420" w:type="dxa"/>
            <w:vAlign w:val="bottom"/>
            <w:shd w:val="clear" w:color="auto" w:fill="D8F5FA"/>
          </w:tcPr>
          <w:p>
            <w:pPr>
              <w:ind w:left="220"/>
              <w:spacing w:after="0" w:line="202" w:lineRule="exact"/>
              <w:rPr>
                <w:sz w:val="20"/>
                <w:szCs w:val="20"/>
                <w:color w:val="auto"/>
              </w:rPr>
            </w:pPr>
            <w:r>
              <w:rPr>
                <w:rFonts w:ascii="Arial" w:cs="Arial" w:eastAsia="Arial" w:hAnsi="Arial"/>
                <w:sz w:val="18"/>
                <w:szCs w:val="18"/>
                <w:color w:val="3E3935"/>
              </w:rPr>
              <w:t>the Pledge. We are also focused on forging long-term strategic relationships to build a</w:t>
            </w:r>
          </w:p>
        </w:tc>
      </w:tr>
      <w:tr>
        <w:trPr>
          <w:trHeight w:val="203"/>
        </w:trPr>
        <w:tc>
          <w:tcPr>
            <w:tcW w:w="3180" w:type="dxa"/>
            <w:vAlign w:val="bottom"/>
            <w:shd w:val="clear" w:color="auto" w:fill="D8F5FA"/>
          </w:tcPr>
          <w:p>
            <w:pPr>
              <w:spacing w:after="0"/>
              <w:rPr>
                <w:sz w:val="17"/>
                <w:szCs w:val="17"/>
                <w:color w:val="auto"/>
              </w:rPr>
            </w:pPr>
          </w:p>
        </w:tc>
        <w:tc>
          <w:tcPr>
            <w:tcW w:w="7420" w:type="dxa"/>
            <w:vAlign w:val="bottom"/>
            <w:shd w:val="clear" w:color="auto" w:fill="D8F5FA"/>
          </w:tcPr>
          <w:p>
            <w:pPr>
              <w:ind w:left="220"/>
              <w:spacing w:after="0" w:line="202" w:lineRule="exact"/>
              <w:rPr>
                <w:sz w:val="20"/>
                <w:szCs w:val="20"/>
                <w:color w:val="auto"/>
              </w:rPr>
            </w:pPr>
            <w:r>
              <w:rPr>
                <w:rFonts w:ascii="Arial" w:cs="Arial" w:eastAsia="Arial" w:hAnsi="Arial"/>
                <w:sz w:val="18"/>
                <w:szCs w:val="18"/>
                <w:color w:val="3E3935"/>
              </w:rPr>
              <w:t>North America-focused supply chain that spans the EV battery ecosystem — from raw</w:t>
            </w:r>
          </w:p>
        </w:tc>
      </w:tr>
      <w:tr>
        <w:trPr>
          <w:trHeight w:val="203"/>
        </w:trPr>
        <w:tc>
          <w:tcPr>
            <w:tcW w:w="3180" w:type="dxa"/>
            <w:vAlign w:val="bottom"/>
            <w:shd w:val="clear" w:color="auto" w:fill="D8F5FA"/>
          </w:tcPr>
          <w:p>
            <w:pPr>
              <w:spacing w:after="0"/>
              <w:rPr>
                <w:sz w:val="17"/>
                <w:szCs w:val="17"/>
                <w:color w:val="auto"/>
              </w:rPr>
            </w:pPr>
          </w:p>
        </w:tc>
        <w:tc>
          <w:tcPr>
            <w:tcW w:w="7420" w:type="dxa"/>
            <w:vAlign w:val="bottom"/>
            <w:shd w:val="clear" w:color="auto" w:fill="D8F5FA"/>
          </w:tcPr>
          <w:p>
            <w:pPr>
              <w:ind w:left="220"/>
              <w:spacing w:after="0" w:line="202" w:lineRule="exact"/>
              <w:rPr>
                <w:sz w:val="20"/>
                <w:szCs w:val="20"/>
                <w:color w:val="auto"/>
              </w:rPr>
            </w:pPr>
            <w:r>
              <w:rPr>
                <w:rFonts w:ascii="Arial" w:cs="Arial" w:eastAsia="Arial" w:hAnsi="Arial"/>
                <w:sz w:val="18"/>
                <w:szCs w:val="18"/>
                <w:color w:val="3E3935"/>
              </w:rPr>
              <w:t>materials to battery cells. In 2022, we announced several new strategic supply</w:t>
            </w:r>
          </w:p>
        </w:tc>
      </w:tr>
      <w:tr>
        <w:trPr>
          <w:trHeight w:val="239"/>
        </w:trPr>
        <w:tc>
          <w:tcPr>
            <w:tcW w:w="3180" w:type="dxa"/>
            <w:vAlign w:val="bottom"/>
            <w:shd w:val="clear" w:color="auto" w:fill="D8F5FA"/>
          </w:tcPr>
          <w:p>
            <w:pPr>
              <w:spacing w:after="0"/>
              <w:rPr>
                <w:sz w:val="20"/>
                <w:szCs w:val="20"/>
                <w:color w:val="auto"/>
              </w:rPr>
            </w:pPr>
          </w:p>
        </w:tc>
        <w:tc>
          <w:tcPr>
            <w:tcW w:w="7420" w:type="dxa"/>
            <w:vAlign w:val="bottom"/>
            <w:shd w:val="clear" w:color="auto" w:fill="D8F5FA"/>
          </w:tcPr>
          <w:p>
            <w:pPr>
              <w:ind w:left="220"/>
              <w:spacing w:after="0"/>
              <w:rPr>
                <w:sz w:val="20"/>
                <w:szCs w:val="20"/>
                <w:color w:val="auto"/>
              </w:rPr>
            </w:pPr>
            <w:r>
              <w:rPr>
                <w:rFonts w:ascii="Arial" w:cs="Arial" w:eastAsia="Arial" w:hAnsi="Arial"/>
                <w:sz w:val="18"/>
                <w:szCs w:val="18"/>
                <w:color w:val="3E3935"/>
              </w:rPr>
              <w:t>arrangements.</w:t>
            </w:r>
          </w:p>
        </w:tc>
      </w:tr>
      <w:tr>
        <w:trPr>
          <w:trHeight w:val="396"/>
        </w:trPr>
        <w:tc>
          <w:tcPr>
            <w:tcW w:w="3180" w:type="dxa"/>
            <w:vAlign w:val="bottom"/>
            <w:shd w:val="clear" w:color="auto" w:fill="D8F5FA"/>
          </w:tcPr>
          <w:p>
            <w:pPr>
              <w:ind w:left="80"/>
              <w:spacing w:after="0"/>
              <w:rPr>
                <w:sz w:val="20"/>
                <w:szCs w:val="20"/>
                <w:color w:val="auto"/>
              </w:rPr>
            </w:pPr>
            <w:r>
              <w:rPr>
                <w:rFonts w:ascii="Arial" w:cs="Arial" w:eastAsia="Arial" w:hAnsi="Arial"/>
                <w:sz w:val="18"/>
                <w:szCs w:val="18"/>
                <w:b w:val="1"/>
                <w:bCs w:val="1"/>
                <w:color w:val="00C1DE"/>
              </w:rPr>
              <w:t>Funding the Future</w:t>
            </w:r>
          </w:p>
        </w:tc>
        <w:tc>
          <w:tcPr>
            <w:tcW w:w="7420" w:type="dxa"/>
            <w:vAlign w:val="bottom"/>
            <w:shd w:val="clear" w:color="auto" w:fill="D8F5FA"/>
          </w:tcPr>
          <w:p>
            <w:pPr>
              <w:ind w:left="220"/>
              <w:spacing w:after="0"/>
              <w:rPr>
                <w:sz w:val="20"/>
                <w:szCs w:val="20"/>
                <w:color w:val="auto"/>
              </w:rPr>
            </w:pPr>
            <w:r>
              <w:rPr>
                <w:rFonts w:ascii="Arial" w:cs="Arial" w:eastAsia="Arial" w:hAnsi="Arial"/>
                <w:sz w:val="18"/>
                <w:szCs w:val="18"/>
                <w:color w:val="3E3935"/>
              </w:rPr>
              <w:t>In 2022, GM published a Sustainable Finance Framework, which we believe will help</w:t>
            </w:r>
          </w:p>
        </w:tc>
      </w:tr>
      <w:tr>
        <w:trPr>
          <w:trHeight w:val="203"/>
        </w:trPr>
        <w:tc>
          <w:tcPr>
            <w:tcW w:w="3180" w:type="dxa"/>
            <w:vAlign w:val="bottom"/>
            <w:shd w:val="clear" w:color="auto" w:fill="D8F5FA"/>
          </w:tcPr>
          <w:p>
            <w:pPr>
              <w:spacing w:after="0"/>
              <w:rPr>
                <w:sz w:val="17"/>
                <w:szCs w:val="17"/>
                <w:color w:val="auto"/>
              </w:rPr>
            </w:pPr>
          </w:p>
        </w:tc>
        <w:tc>
          <w:tcPr>
            <w:tcW w:w="7420" w:type="dxa"/>
            <w:vAlign w:val="bottom"/>
            <w:shd w:val="clear" w:color="auto" w:fill="D8F5FA"/>
          </w:tcPr>
          <w:p>
            <w:pPr>
              <w:ind w:left="220"/>
              <w:spacing w:after="0" w:line="202" w:lineRule="exact"/>
              <w:rPr>
                <w:sz w:val="20"/>
                <w:szCs w:val="20"/>
                <w:color w:val="auto"/>
              </w:rPr>
            </w:pPr>
            <w:r>
              <w:rPr>
                <w:rFonts w:ascii="Arial" w:cs="Arial" w:eastAsia="Arial" w:hAnsi="Arial"/>
                <w:sz w:val="18"/>
                <w:szCs w:val="18"/>
                <w:color w:val="3E3935"/>
              </w:rPr>
              <w:t>further align our financing activities with our sustainability strategy, and issued $2.25</w:t>
            </w:r>
          </w:p>
        </w:tc>
      </w:tr>
      <w:tr>
        <w:trPr>
          <w:trHeight w:val="203"/>
        </w:trPr>
        <w:tc>
          <w:tcPr>
            <w:tcW w:w="3180" w:type="dxa"/>
            <w:vAlign w:val="bottom"/>
            <w:shd w:val="clear" w:color="auto" w:fill="D8F5FA"/>
          </w:tcPr>
          <w:p>
            <w:pPr>
              <w:spacing w:after="0"/>
              <w:rPr>
                <w:sz w:val="17"/>
                <w:szCs w:val="17"/>
                <w:color w:val="auto"/>
              </w:rPr>
            </w:pPr>
          </w:p>
        </w:tc>
        <w:tc>
          <w:tcPr>
            <w:tcW w:w="7420" w:type="dxa"/>
            <w:vAlign w:val="bottom"/>
            <w:shd w:val="clear" w:color="auto" w:fill="D8F5FA"/>
          </w:tcPr>
          <w:p>
            <w:pPr>
              <w:ind w:left="220"/>
              <w:spacing w:after="0" w:line="202" w:lineRule="exact"/>
              <w:rPr>
                <w:sz w:val="20"/>
                <w:szCs w:val="20"/>
                <w:color w:val="auto"/>
              </w:rPr>
            </w:pPr>
            <w:r>
              <w:rPr>
                <w:rFonts w:ascii="Arial" w:cs="Arial" w:eastAsia="Arial" w:hAnsi="Arial"/>
                <w:sz w:val="18"/>
                <w:szCs w:val="18"/>
                <w:color w:val="3E3935"/>
              </w:rPr>
              <w:t>billion of green bonds under the Framework, the proceeds of which were allocated to</w:t>
            </w:r>
          </w:p>
        </w:tc>
      </w:tr>
      <w:tr>
        <w:trPr>
          <w:trHeight w:val="239"/>
        </w:trPr>
        <w:tc>
          <w:tcPr>
            <w:tcW w:w="3180" w:type="dxa"/>
            <w:vAlign w:val="bottom"/>
            <w:shd w:val="clear" w:color="auto" w:fill="D8F5FA"/>
          </w:tcPr>
          <w:p>
            <w:pPr>
              <w:spacing w:after="0"/>
              <w:rPr>
                <w:sz w:val="20"/>
                <w:szCs w:val="20"/>
                <w:color w:val="auto"/>
              </w:rPr>
            </w:pPr>
          </w:p>
        </w:tc>
        <w:tc>
          <w:tcPr>
            <w:tcW w:w="7420" w:type="dxa"/>
            <w:vAlign w:val="bottom"/>
            <w:shd w:val="clear" w:color="auto" w:fill="D8F5FA"/>
          </w:tcPr>
          <w:p>
            <w:pPr>
              <w:ind w:left="220"/>
              <w:spacing w:after="0"/>
              <w:rPr>
                <w:sz w:val="20"/>
                <w:szCs w:val="20"/>
                <w:color w:val="auto"/>
              </w:rPr>
            </w:pPr>
            <w:r>
              <w:rPr>
                <w:rFonts w:ascii="Arial" w:cs="Arial" w:eastAsia="Arial" w:hAnsi="Arial"/>
                <w:sz w:val="18"/>
                <w:szCs w:val="18"/>
                <w:color w:val="3E3935"/>
              </w:rPr>
              <w:t>clean transportation solutions, as described in our Framework.</w:t>
            </w:r>
          </w:p>
        </w:tc>
      </w:tr>
      <w:tr>
        <w:trPr>
          <w:trHeight w:val="396"/>
        </w:trPr>
        <w:tc>
          <w:tcPr>
            <w:tcW w:w="3180" w:type="dxa"/>
            <w:vAlign w:val="bottom"/>
            <w:shd w:val="clear" w:color="auto" w:fill="D8F5FA"/>
          </w:tcPr>
          <w:p>
            <w:pPr>
              <w:ind w:left="80"/>
              <w:spacing w:after="0"/>
              <w:rPr>
                <w:sz w:val="20"/>
                <w:szCs w:val="20"/>
                <w:color w:val="auto"/>
              </w:rPr>
            </w:pPr>
            <w:r>
              <w:rPr>
                <w:rFonts w:ascii="Arial" w:cs="Arial" w:eastAsia="Arial" w:hAnsi="Arial"/>
                <w:sz w:val="18"/>
                <w:szCs w:val="18"/>
                <w:b w:val="1"/>
                <w:bCs w:val="1"/>
                <w:color w:val="00C1DE"/>
              </w:rPr>
              <w:t>Collaboration and Integration</w:t>
            </w:r>
          </w:p>
        </w:tc>
        <w:tc>
          <w:tcPr>
            <w:tcW w:w="7420" w:type="dxa"/>
            <w:vAlign w:val="bottom"/>
            <w:shd w:val="clear" w:color="auto" w:fill="D8F5FA"/>
          </w:tcPr>
          <w:p>
            <w:pPr>
              <w:ind w:left="220"/>
              <w:spacing w:after="0"/>
              <w:rPr>
                <w:sz w:val="20"/>
                <w:szCs w:val="20"/>
                <w:color w:val="auto"/>
              </w:rPr>
            </w:pPr>
            <w:r>
              <w:rPr>
                <w:rFonts w:ascii="Arial" w:cs="Arial" w:eastAsia="Arial" w:hAnsi="Arial"/>
                <w:sz w:val="18"/>
                <w:szCs w:val="18"/>
                <w:color w:val="3E3935"/>
              </w:rPr>
              <w:t>Sustainability is an important part of GM’s work to support an all-electric future, our</w:t>
            </w:r>
          </w:p>
        </w:tc>
      </w:tr>
      <w:tr>
        <w:trPr>
          <w:trHeight w:val="203"/>
        </w:trPr>
        <w:tc>
          <w:tcPr>
            <w:tcW w:w="3180" w:type="dxa"/>
            <w:vAlign w:val="bottom"/>
            <w:shd w:val="clear" w:color="auto" w:fill="D8F5FA"/>
          </w:tcPr>
          <w:p>
            <w:pPr>
              <w:spacing w:after="0"/>
              <w:rPr>
                <w:sz w:val="17"/>
                <w:szCs w:val="17"/>
                <w:color w:val="auto"/>
              </w:rPr>
            </w:pPr>
          </w:p>
        </w:tc>
        <w:tc>
          <w:tcPr>
            <w:tcW w:w="7420" w:type="dxa"/>
            <w:vAlign w:val="bottom"/>
            <w:shd w:val="clear" w:color="auto" w:fill="D8F5FA"/>
          </w:tcPr>
          <w:p>
            <w:pPr>
              <w:ind w:left="220"/>
              <w:spacing w:after="0" w:line="202" w:lineRule="exact"/>
              <w:rPr>
                <w:sz w:val="20"/>
                <w:szCs w:val="20"/>
                <w:color w:val="auto"/>
              </w:rPr>
            </w:pPr>
            <w:r>
              <w:rPr>
                <w:rFonts w:ascii="Arial" w:cs="Arial" w:eastAsia="Arial" w:hAnsi="Arial"/>
                <w:sz w:val="18"/>
                <w:szCs w:val="18"/>
                <w:color w:val="3E3935"/>
              </w:rPr>
              <w:t>sustainability strategy is weaved into our business strategy and both are focused on</w:t>
            </w:r>
          </w:p>
        </w:tc>
      </w:tr>
      <w:tr>
        <w:trPr>
          <w:trHeight w:val="203"/>
        </w:trPr>
        <w:tc>
          <w:tcPr>
            <w:tcW w:w="3180" w:type="dxa"/>
            <w:vAlign w:val="bottom"/>
            <w:shd w:val="clear" w:color="auto" w:fill="D8F5FA"/>
          </w:tcPr>
          <w:p>
            <w:pPr>
              <w:spacing w:after="0"/>
              <w:rPr>
                <w:sz w:val="17"/>
                <w:szCs w:val="17"/>
                <w:color w:val="auto"/>
              </w:rPr>
            </w:pPr>
          </w:p>
        </w:tc>
        <w:tc>
          <w:tcPr>
            <w:tcW w:w="7420" w:type="dxa"/>
            <w:vAlign w:val="bottom"/>
            <w:shd w:val="clear" w:color="auto" w:fill="D8F5FA"/>
          </w:tcPr>
          <w:p>
            <w:pPr>
              <w:ind w:left="220"/>
              <w:spacing w:after="0" w:line="202" w:lineRule="exact"/>
              <w:rPr>
                <w:sz w:val="20"/>
                <w:szCs w:val="20"/>
                <w:color w:val="auto"/>
              </w:rPr>
            </w:pPr>
            <w:r>
              <w:rPr>
                <w:rFonts w:ascii="Arial" w:cs="Arial" w:eastAsia="Arial" w:hAnsi="Arial"/>
                <w:sz w:val="18"/>
                <w:szCs w:val="18"/>
                <w:color w:val="3E3935"/>
              </w:rPr>
              <w:t>providing growth and long-term value. Working towards our sustainability and EV goals</w:t>
            </w:r>
          </w:p>
        </w:tc>
      </w:tr>
      <w:tr>
        <w:trPr>
          <w:trHeight w:val="203"/>
        </w:trPr>
        <w:tc>
          <w:tcPr>
            <w:tcW w:w="3180" w:type="dxa"/>
            <w:vAlign w:val="bottom"/>
            <w:shd w:val="clear" w:color="auto" w:fill="D8F5FA"/>
          </w:tcPr>
          <w:p>
            <w:pPr>
              <w:spacing w:after="0"/>
              <w:rPr>
                <w:sz w:val="17"/>
                <w:szCs w:val="17"/>
                <w:color w:val="auto"/>
              </w:rPr>
            </w:pPr>
          </w:p>
        </w:tc>
        <w:tc>
          <w:tcPr>
            <w:tcW w:w="7420" w:type="dxa"/>
            <w:vAlign w:val="bottom"/>
            <w:shd w:val="clear" w:color="auto" w:fill="D8F5FA"/>
          </w:tcPr>
          <w:p>
            <w:pPr>
              <w:ind w:left="220"/>
              <w:spacing w:after="0" w:line="202" w:lineRule="exact"/>
              <w:rPr>
                <w:sz w:val="20"/>
                <w:szCs w:val="20"/>
                <w:color w:val="auto"/>
              </w:rPr>
            </w:pPr>
            <w:r>
              <w:rPr>
                <w:rFonts w:ascii="Arial" w:cs="Arial" w:eastAsia="Arial" w:hAnsi="Arial"/>
                <w:sz w:val="18"/>
                <w:szCs w:val="18"/>
                <w:color w:val="3E3935"/>
              </w:rPr>
              <w:t>requires strong cross-functional collaboration. This work is overseen by our Board and</w:t>
            </w:r>
          </w:p>
        </w:tc>
      </w:tr>
      <w:tr>
        <w:trPr>
          <w:trHeight w:val="203"/>
        </w:trPr>
        <w:tc>
          <w:tcPr>
            <w:tcW w:w="3180" w:type="dxa"/>
            <w:vAlign w:val="bottom"/>
            <w:shd w:val="clear" w:color="auto" w:fill="D8F5FA"/>
          </w:tcPr>
          <w:p>
            <w:pPr>
              <w:spacing w:after="0"/>
              <w:rPr>
                <w:sz w:val="17"/>
                <w:szCs w:val="17"/>
                <w:color w:val="auto"/>
              </w:rPr>
            </w:pPr>
          </w:p>
        </w:tc>
        <w:tc>
          <w:tcPr>
            <w:tcW w:w="7420" w:type="dxa"/>
            <w:vAlign w:val="bottom"/>
            <w:shd w:val="clear" w:color="auto" w:fill="D8F5FA"/>
          </w:tcPr>
          <w:p>
            <w:pPr>
              <w:ind w:left="220"/>
              <w:spacing w:after="0" w:line="202" w:lineRule="exact"/>
              <w:rPr>
                <w:sz w:val="20"/>
                <w:szCs w:val="20"/>
                <w:color w:val="auto"/>
              </w:rPr>
            </w:pPr>
            <w:r>
              <w:rPr>
                <w:rFonts w:ascii="Arial" w:cs="Arial" w:eastAsia="Arial" w:hAnsi="Arial"/>
                <w:sz w:val="18"/>
                <w:szCs w:val="18"/>
                <w:color w:val="3E3935"/>
              </w:rPr>
              <w:t>executed by senior leaders across GM, including through our Office of Sustainability and</w:t>
            </w:r>
          </w:p>
        </w:tc>
      </w:tr>
      <w:tr>
        <w:trPr>
          <w:trHeight w:val="239"/>
        </w:trPr>
        <w:tc>
          <w:tcPr>
            <w:tcW w:w="3180" w:type="dxa"/>
            <w:vAlign w:val="bottom"/>
            <w:shd w:val="clear" w:color="auto" w:fill="D8F5FA"/>
          </w:tcPr>
          <w:p>
            <w:pPr>
              <w:spacing w:after="0"/>
              <w:rPr>
                <w:sz w:val="20"/>
                <w:szCs w:val="20"/>
                <w:color w:val="auto"/>
              </w:rPr>
            </w:pPr>
          </w:p>
        </w:tc>
        <w:tc>
          <w:tcPr>
            <w:tcW w:w="7420" w:type="dxa"/>
            <w:vAlign w:val="bottom"/>
            <w:shd w:val="clear" w:color="auto" w:fill="D8F5FA"/>
          </w:tcPr>
          <w:p>
            <w:pPr>
              <w:ind w:left="220"/>
              <w:spacing w:after="0"/>
              <w:rPr>
                <w:sz w:val="20"/>
                <w:szCs w:val="20"/>
                <w:color w:val="auto"/>
              </w:rPr>
            </w:pPr>
            <w:r>
              <w:rPr>
                <w:rFonts w:ascii="Arial" w:cs="Arial" w:eastAsia="Arial" w:hAnsi="Arial"/>
                <w:sz w:val="18"/>
                <w:szCs w:val="18"/>
                <w:color w:val="3E3935"/>
              </w:rPr>
              <w:t>ESG Disclosure Committee.</w:t>
            </w:r>
          </w:p>
        </w:tc>
      </w:tr>
      <w:tr>
        <w:trPr>
          <w:trHeight w:val="396"/>
        </w:trPr>
        <w:tc>
          <w:tcPr>
            <w:tcW w:w="3180" w:type="dxa"/>
            <w:vAlign w:val="bottom"/>
            <w:shd w:val="clear" w:color="auto" w:fill="D8F5FA"/>
          </w:tcPr>
          <w:p>
            <w:pPr>
              <w:ind w:left="80"/>
              <w:spacing w:after="0"/>
              <w:rPr>
                <w:sz w:val="20"/>
                <w:szCs w:val="20"/>
                <w:color w:val="auto"/>
              </w:rPr>
            </w:pPr>
            <w:r>
              <w:rPr>
                <w:rFonts w:ascii="Arial" w:cs="Arial" w:eastAsia="Arial" w:hAnsi="Arial"/>
                <w:sz w:val="18"/>
                <w:szCs w:val="18"/>
                <w:b w:val="1"/>
                <w:bCs w:val="1"/>
                <w:color w:val="00C1DE"/>
              </w:rPr>
              <w:t>Advocating and Engaging</w:t>
            </w:r>
          </w:p>
        </w:tc>
        <w:tc>
          <w:tcPr>
            <w:tcW w:w="7420" w:type="dxa"/>
            <w:vAlign w:val="bottom"/>
            <w:shd w:val="clear" w:color="auto" w:fill="D8F5FA"/>
          </w:tcPr>
          <w:p>
            <w:pPr>
              <w:ind w:left="220"/>
              <w:spacing w:after="0"/>
              <w:rPr>
                <w:sz w:val="20"/>
                <w:szCs w:val="20"/>
                <w:color w:val="auto"/>
              </w:rPr>
            </w:pPr>
            <w:r>
              <w:rPr>
                <w:rFonts w:ascii="Arial" w:cs="Arial" w:eastAsia="Arial" w:hAnsi="Arial"/>
                <w:sz w:val="18"/>
                <w:szCs w:val="18"/>
                <w:color w:val="3E3935"/>
              </w:rPr>
              <w:t>Accelerating the transition to a more sustainable, electric future requires collaboration</w:t>
            </w:r>
          </w:p>
        </w:tc>
      </w:tr>
      <w:tr>
        <w:trPr>
          <w:trHeight w:val="203"/>
        </w:trPr>
        <w:tc>
          <w:tcPr>
            <w:tcW w:w="3180" w:type="dxa"/>
            <w:vAlign w:val="bottom"/>
            <w:shd w:val="clear" w:color="auto" w:fill="D8F5FA"/>
          </w:tcPr>
          <w:p>
            <w:pPr>
              <w:spacing w:after="0"/>
              <w:rPr>
                <w:sz w:val="17"/>
                <w:szCs w:val="17"/>
                <w:color w:val="auto"/>
              </w:rPr>
            </w:pPr>
          </w:p>
        </w:tc>
        <w:tc>
          <w:tcPr>
            <w:tcW w:w="7420" w:type="dxa"/>
            <w:vAlign w:val="bottom"/>
            <w:shd w:val="clear" w:color="auto" w:fill="D8F5FA"/>
          </w:tcPr>
          <w:p>
            <w:pPr>
              <w:ind w:left="220"/>
              <w:spacing w:after="0" w:line="202" w:lineRule="exact"/>
              <w:rPr>
                <w:sz w:val="20"/>
                <w:szCs w:val="20"/>
                <w:color w:val="auto"/>
              </w:rPr>
            </w:pPr>
            <w:r>
              <w:rPr>
                <w:rFonts w:ascii="Arial" w:cs="Arial" w:eastAsia="Arial" w:hAnsi="Arial"/>
                <w:sz w:val="18"/>
                <w:szCs w:val="18"/>
                <w:color w:val="3E3935"/>
              </w:rPr>
              <w:t>across society. GM engages with businesses, nonprofits, and governments to develop</w:t>
            </w:r>
          </w:p>
        </w:tc>
      </w:tr>
      <w:tr>
        <w:trPr>
          <w:trHeight w:val="203"/>
        </w:trPr>
        <w:tc>
          <w:tcPr>
            <w:tcW w:w="3180" w:type="dxa"/>
            <w:vAlign w:val="bottom"/>
            <w:shd w:val="clear" w:color="auto" w:fill="D8F5FA"/>
          </w:tcPr>
          <w:p>
            <w:pPr>
              <w:spacing w:after="0"/>
              <w:rPr>
                <w:sz w:val="17"/>
                <w:szCs w:val="17"/>
                <w:color w:val="auto"/>
              </w:rPr>
            </w:pPr>
          </w:p>
        </w:tc>
        <w:tc>
          <w:tcPr>
            <w:tcW w:w="7420" w:type="dxa"/>
            <w:vAlign w:val="bottom"/>
            <w:shd w:val="clear" w:color="auto" w:fill="D8F5FA"/>
          </w:tcPr>
          <w:p>
            <w:pPr>
              <w:ind w:left="220"/>
              <w:spacing w:after="0" w:line="202" w:lineRule="exact"/>
              <w:rPr>
                <w:sz w:val="20"/>
                <w:szCs w:val="20"/>
                <w:color w:val="auto"/>
              </w:rPr>
            </w:pPr>
            <w:r>
              <w:rPr>
                <w:rFonts w:ascii="Arial" w:cs="Arial" w:eastAsia="Arial" w:hAnsi="Arial"/>
                <w:sz w:val="18"/>
                <w:szCs w:val="18"/>
                <w:color w:val="3E3935"/>
              </w:rPr>
              <w:t>sustainability initiatives, including public policy solutions to support decarbonizing</w:t>
            </w:r>
          </w:p>
        </w:tc>
      </w:tr>
      <w:tr>
        <w:trPr>
          <w:trHeight w:val="203"/>
        </w:trPr>
        <w:tc>
          <w:tcPr>
            <w:tcW w:w="3180" w:type="dxa"/>
            <w:vAlign w:val="bottom"/>
            <w:shd w:val="clear" w:color="auto" w:fill="D8F5FA"/>
          </w:tcPr>
          <w:p>
            <w:pPr>
              <w:spacing w:after="0"/>
              <w:rPr>
                <w:sz w:val="17"/>
                <w:szCs w:val="17"/>
                <w:color w:val="auto"/>
              </w:rPr>
            </w:pPr>
          </w:p>
        </w:tc>
        <w:tc>
          <w:tcPr>
            <w:tcW w:w="7420" w:type="dxa"/>
            <w:vAlign w:val="bottom"/>
            <w:shd w:val="clear" w:color="auto" w:fill="D8F5FA"/>
          </w:tcPr>
          <w:p>
            <w:pPr>
              <w:ind w:left="220"/>
              <w:spacing w:after="0" w:line="202" w:lineRule="exact"/>
              <w:rPr>
                <w:sz w:val="20"/>
                <w:szCs w:val="20"/>
                <w:color w:val="auto"/>
              </w:rPr>
            </w:pPr>
            <w:r>
              <w:rPr>
                <w:rFonts w:ascii="Arial" w:cs="Arial" w:eastAsia="Arial" w:hAnsi="Arial"/>
                <w:sz w:val="18"/>
                <w:szCs w:val="18"/>
                <w:color w:val="3E3935"/>
              </w:rPr>
              <w:t>transportation and the grid. For more information about our advocacy, please see our</w:t>
            </w:r>
          </w:p>
        </w:tc>
      </w:tr>
      <w:tr>
        <w:trPr>
          <w:trHeight w:val="239"/>
        </w:trPr>
        <w:tc>
          <w:tcPr>
            <w:tcW w:w="3180" w:type="dxa"/>
            <w:vAlign w:val="bottom"/>
            <w:shd w:val="clear" w:color="auto" w:fill="D8F5FA"/>
          </w:tcPr>
          <w:p>
            <w:pPr>
              <w:spacing w:after="0"/>
              <w:rPr>
                <w:sz w:val="20"/>
                <w:szCs w:val="20"/>
                <w:color w:val="auto"/>
              </w:rPr>
            </w:pPr>
          </w:p>
        </w:tc>
        <w:tc>
          <w:tcPr>
            <w:tcW w:w="7420" w:type="dxa"/>
            <w:vAlign w:val="bottom"/>
            <w:shd w:val="clear" w:color="auto" w:fill="D8F5FA"/>
          </w:tcPr>
          <w:p>
            <w:pPr>
              <w:ind w:left="220"/>
              <w:spacing w:after="0"/>
              <w:rPr>
                <w:sz w:val="20"/>
                <w:szCs w:val="20"/>
                <w:color w:val="auto"/>
              </w:rPr>
            </w:pPr>
            <w:r>
              <w:rPr>
                <w:rFonts w:ascii="Arial" w:cs="Arial" w:eastAsia="Arial" w:hAnsi="Arial"/>
                <w:sz w:val="18"/>
                <w:szCs w:val="18"/>
                <w:color w:val="3E3935"/>
              </w:rPr>
              <w:t xml:space="preserve">2022 Sustainability Advocacy Report, available at </w:t>
            </w:r>
            <w:r>
              <w:rPr>
                <w:rFonts w:ascii="Arial" w:cs="Arial" w:eastAsia="Arial" w:hAnsi="Arial"/>
                <w:sz w:val="18"/>
                <w:szCs w:val="18"/>
                <w:i w:val="1"/>
                <w:iCs w:val="1"/>
                <w:color w:val="00C1DE"/>
              </w:rPr>
              <w:t>investor.gm.com/esg</w:t>
            </w:r>
            <w:r>
              <w:rPr>
                <w:rFonts w:ascii="Arial" w:cs="Arial" w:eastAsia="Arial" w:hAnsi="Arial"/>
                <w:sz w:val="18"/>
                <w:szCs w:val="18"/>
                <w:color w:val="3E3935"/>
              </w:rPr>
              <w:t>.</w:t>
            </w:r>
          </w:p>
        </w:tc>
      </w:tr>
      <w:tr>
        <w:trPr>
          <w:trHeight w:val="91"/>
        </w:trPr>
        <w:tc>
          <w:tcPr>
            <w:tcW w:w="3180" w:type="dxa"/>
            <w:vAlign w:val="bottom"/>
            <w:shd w:val="clear" w:color="auto" w:fill="D8F5FA"/>
          </w:tcPr>
          <w:p>
            <w:pPr>
              <w:spacing w:after="0"/>
              <w:rPr>
                <w:sz w:val="7"/>
                <w:szCs w:val="7"/>
                <w:color w:val="auto"/>
              </w:rPr>
            </w:pPr>
          </w:p>
        </w:tc>
        <w:tc>
          <w:tcPr>
            <w:tcW w:w="7420" w:type="dxa"/>
            <w:vAlign w:val="bottom"/>
            <w:shd w:val="clear" w:color="auto" w:fill="D8F5FA"/>
          </w:tcPr>
          <w:p>
            <w:pPr>
              <w:spacing w:after="0"/>
              <w:rPr>
                <w:sz w:val="7"/>
                <w:szCs w:val="7"/>
                <w:color w:val="auto"/>
              </w:rPr>
            </w:pPr>
          </w:p>
        </w:tc>
      </w:tr>
    </w:tbl>
    <w:p>
      <w:pPr>
        <w:spacing w:after="0" w:line="342" w:lineRule="exact"/>
        <w:rPr>
          <w:sz w:val="20"/>
          <w:szCs w:val="20"/>
          <w:color w:val="auto"/>
        </w:rPr>
      </w:pPr>
    </w:p>
    <w:p>
      <w:pPr>
        <w:ind w:left="120"/>
        <w:spacing w:after="0"/>
        <w:rPr>
          <w:sz w:val="20"/>
          <w:szCs w:val="20"/>
          <w:color w:val="auto"/>
        </w:rPr>
      </w:pPr>
      <w:r>
        <w:rPr>
          <w:rFonts w:ascii="Arial" w:cs="Arial" w:eastAsia="Arial" w:hAnsi="Arial"/>
          <w:sz w:val="14"/>
          <w:szCs w:val="14"/>
          <w:color w:val="0071CE"/>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-95885</wp:posOffset>
            </wp:positionV>
            <wp:extent cx="5983605" cy="10287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983605" cy="102870"/>
                    </a:xfrm>
                    <a:prstGeom prst="rect">
                      <a:avLst/>
                    </a:prstGeom>
                    <a:noFill/>
                  </pic:spPr>
                </pic:pic>
              </a:graphicData>
            </a:graphic>
          </wp:anchor>
        </w:drawing>
      </w:r>
    </w:p>
    <w:p>
      <w:pPr>
        <w:sectPr>
          <w:pgSz w:w="11900" w:h="16838" w:orient="portrait"/>
          <w:cols w:equalWidth="0" w:num="1">
            <w:col w:w="10920"/>
          </w:cols>
          <w:pgMar w:left="320" w:top="482" w:right="65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75565</wp:posOffset>
            </wp:positionH>
            <wp:positionV relativeFrom="paragraph">
              <wp:posOffset>210185</wp:posOffset>
            </wp:positionV>
            <wp:extent cx="6990715" cy="72390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990715" cy="7239000"/>
                    </a:xfrm>
                    <a:prstGeom prst="rect">
                      <a:avLst/>
                    </a:prstGeom>
                    <a:noFill/>
                  </pic:spPr>
                </pic:pic>
              </a:graphicData>
            </a:graphic>
          </wp:anchor>
        </w:drawing>
      </w:r>
    </w:p>
    <w:p>
      <w:pPr>
        <w:spacing w:after="0" w:line="200" w:lineRule="exact"/>
        <w:rPr>
          <w:sz w:val="20"/>
          <w:szCs w:val="20"/>
          <w:color w:val="auto"/>
        </w:rPr>
      </w:pPr>
    </w:p>
    <w:p>
      <w:pPr>
        <w:spacing w:after="0" w:line="288" w:lineRule="exact"/>
        <w:rPr>
          <w:sz w:val="20"/>
          <w:szCs w:val="20"/>
          <w:color w:val="auto"/>
        </w:rPr>
      </w:pPr>
    </w:p>
    <w:p>
      <w:pPr>
        <w:ind w:left="820" w:hanging="504"/>
        <w:spacing w:after="0"/>
        <w:tabs>
          <w:tab w:leader="none" w:pos="820" w:val="left"/>
        </w:tabs>
        <w:numPr>
          <w:ilvl w:val="0"/>
          <w:numId w:val="13"/>
        </w:numPr>
        <w:rPr>
          <w:rFonts w:ascii="Times New Roman" w:cs="Times New Roman" w:eastAsia="Times New Roman" w:hAnsi="Times New Roman"/>
          <w:sz w:val="19"/>
          <w:szCs w:val="19"/>
          <w:color w:val="0071CE"/>
        </w:rPr>
      </w:pPr>
      <w:r>
        <w:rPr>
          <w:rFonts w:ascii="Arial" w:cs="Arial" w:eastAsia="Arial" w:hAnsi="Arial"/>
          <w:sz w:val="25"/>
          <w:szCs w:val="25"/>
          <w:color w:val="3E3935"/>
        </w:rPr>
        <w:t>Social Highlights</w:t>
      </w:r>
    </w:p>
    <w:p>
      <w:pPr>
        <w:spacing w:after="0" w:line="131" w:lineRule="exact"/>
        <w:rPr>
          <w:rFonts w:ascii="Times New Roman" w:cs="Times New Roman" w:eastAsia="Times New Roman" w:hAnsi="Times New Roman"/>
          <w:sz w:val="19"/>
          <w:szCs w:val="19"/>
          <w:color w:val="0071CE"/>
        </w:rPr>
      </w:pPr>
    </w:p>
    <w:p>
      <w:pPr>
        <w:ind w:left="1360" w:hanging="518"/>
        <w:spacing w:after="0"/>
        <w:tabs>
          <w:tab w:leader="none" w:pos="1360" w:val="left"/>
        </w:tabs>
        <w:numPr>
          <w:ilvl w:val="1"/>
          <w:numId w:val="13"/>
        </w:numPr>
        <w:rPr>
          <w:rFonts w:ascii="Arial" w:cs="Arial" w:eastAsia="Arial" w:hAnsi="Arial"/>
          <w:sz w:val="20"/>
          <w:szCs w:val="20"/>
          <w:color w:val="00C1DE"/>
        </w:rPr>
      </w:pPr>
      <w:r>
        <w:rPr>
          <w:rFonts w:ascii="Arial" w:cs="Arial" w:eastAsia="Arial" w:hAnsi="Arial"/>
          <w:sz w:val="20"/>
          <w:szCs w:val="20"/>
          <w:color w:val="3E3935"/>
        </w:rPr>
        <w:t>GM recognized as a DiversityInc Top 50 company for the 7</w:t>
      </w:r>
      <w:r>
        <w:rPr>
          <w:rFonts w:ascii="Arial" w:cs="Arial" w:eastAsia="Arial" w:hAnsi="Arial"/>
          <w:sz w:val="29"/>
          <w:szCs w:val="29"/>
          <w:color w:val="3E3935"/>
          <w:vertAlign w:val="superscript"/>
        </w:rPr>
        <w:t>th</w:t>
      </w:r>
      <w:r>
        <w:rPr>
          <w:rFonts w:ascii="Arial" w:cs="Arial" w:eastAsia="Arial" w:hAnsi="Arial"/>
          <w:sz w:val="20"/>
          <w:szCs w:val="20"/>
          <w:color w:val="3E3935"/>
        </w:rPr>
        <w:t xml:space="preserve"> consecutive year</w:t>
      </w:r>
    </w:p>
    <w:p>
      <w:pPr>
        <w:spacing w:after="0" w:line="35" w:lineRule="exact"/>
        <w:rPr>
          <w:rFonts w:ascii="Arial" w:cs="Arial" w:eastAsia="Arial" w:hAnsi="Arial"/>
          <w:sz w:val="20"/>
          <w:szCs w:val="20"/>
          <w:color w:val="00C1DE"/>
        </w:rPr>
      </w:pPr>
    </w:p>
    <w:p>
      <w:pPr>
        <w:ind w:left="1360" w:hanging="518"/>
        <w:spacing w:after="0"/>
        <w:tabs>
          <w:tab w:leader="none" w:pos="1360" w:val="left"/>
        </w:tabs>
        <w:numPr>
          <w:ilvl w:val="1"/>
          <w:numId w:val="13"/>
        </w:numPr>
        <w:rPr>
          <w:rFonts w:ascii="Arial" w:cs="Arial" w:eastAsia="Arial" w:hAnsi="Arial"/>
          <w:sz w:val="20"/>
          <w:szCs w:val="20"/>
          <w:color w:val="00C1DE"/>
        </w:rPr>
      </w:pPr>
      <w:r>
        <w:rPr>
          <w:rFonts w:ascii="Arial" w:cs="Arial" w:eastAsia="Arial" w:hAnsi="Arial"/>
          <w:sz w:val="20"/>
          <w:szCs w:val="20"/>
          <w:color w:val="3E3935"/>
        </w:rPr>
        <w:t>Top-ranked automotive corporation in the J.D. Power Initial Quality Study</w:t>
      </w:r>
    </w:p>
    <w:p>
      <w:pPr>
        <w:spacing w:after="0" w:line="103" w:lineRule="exact"/>
        <w:rPr>
          <w:rFonts w:ascii="Arial" w:cs="Arial" w:eastAsia="Arial" w:hAnsi="Arial"/>
          <w:sz w:val="20"/>
          <w:szCs w:val="20"/>
          <w:color w:val="00C1DE"/>
        </w:rPr>
      </w:pPr>
    </w:p>
    <w:p>
      <w:pPr>
        <w:ind w:left="1360" w:hanging="518"/>
        <w:spacing w:after="0"/>
        <w:tabs>
          <w:tab w:leader="none" w:pos="1360" w:val="left"/>
        </w:tabs>
        <w:numPr>
          <w:ilvl w:val="1"/>
          <w:numId w:val="13"/>
        </w:numPr>
        <w:rPr>
          <w:rFonts w:ascii="Arial" w:cs="Arial" w:eastAsia="Arial" w:hAnsi="Arial"/>
          <w:sz w:val="20"/>
          <w:szCs w:val="20"/>
          <w:color w:val="00C1DE"/>
        </w:rPr>
      </w:pPr>
      <w:r>
        <w:rPr>
          <w:rFonts w:ascii="Arial" w:cs="Arial" w:eastAsia="Arial" w:hAnsi="Arial"/>
          <w:sz w:val="20"/>
          <w:szCs w:val="20"/>
          <w:color w:val="3E3935"/>
        </w:rPr>
        <w:t>Recognized in the top 50 companies in the 2023 JUST 100 rankings</w:t>
      </w:r>
    </w:p>
    <w:p>
      <w:pPr>
        <w:spacing w:after="0" w:line="121" w:lineRule="exact"/>
        <w:rPr>
          <w:rFonts w:ascii="Arial" w:cs="Arial" w:eastAsia="Arial" w:hAnsi="Arial"/>
          <w:sz w:val="20"/>
          <w:szCs w:val="20"/>
          <w:color w:val="00C1DE"/>
        </w:rPr>
      </w:pPr>
    </w:p>
    <w:p>
      <w:pPr>
        <w:ind w:left="1360" w:right="200" w:hanging="518"/>
        <w:spacing w:after="0" w:line="257" w:lineRule="auto"/>
        <w:tabs>
          <w:tab w:leader="none" w:pos="1360" w:val="left"/>
        </w:tabs>
        <w:numPr>
          <w:ilvl w:val="1"/>
          <w:numId w:val="13"/>
        </w:numPr>
        <w:rPr>
          <w:rFonts w:ascii="Arial" w:cs="Arial" w:eastAsia="Arial" w:hAnsi="Arial"/>
          <w:sz w:val="20"/>
          <w:szCs w:val="20"/>
          <w:color w:val="00C1DE"/>
        </w:rPr>
      </w:pPr>
      <w:r>
        <w:rPr>
          <w:rFonts w:ascii="Arial" w:cs="Arial" w:eastAsia="Arial" w:hAnsi="Arial"/>
          <w:sz w:val="20"/>
          <w:szCs w:val="20"/>
          <w:color w:val="3E3935"/>
        </w:rPr>
        <w:t>$60 million donated to nonprofits, including 400+ U.S.-based organizations, and 158,000+ employee volunteer hours</w:t>
      </w:r>
    </w:p>
    <w:p>
      <w:pPr>
        <w:spacing w:after="0" w:line="204" w:lineRule="exact"/>
        <w:rPr>
          <w:sz w:val="20"/>
          <w:szCs w:val="20"/>
          <w:color w:val="auto"/>
        </w:rPr>
      </w:pPr>
    </w:p>
    <w:tbl>
      <w:tblPr>
        <w:tblLayout w:type="fixed"/>
        <w:tblInd w:w="120" w:type="dxa"/>
        <w:tblCellMar>
          <w:top w:w="0" w:type="dxa"/>
          <w:left w:w="0" w:type="dxa"/>
          <w:bottom w:w="0" w:type="dxa"/>
          <w:right w:w="0" w:type="dxa"/>
        </w:tblCellMar>
      </w:tblPr>
      <w:tr>
        <w:trPr>
          <w:trHeight w:val="292"/>
        </w:trPr>
        <w:tc>
          <w:tcPr>
            <w:tcW w:w="200" w:type="dxa"/>
            <w:vAlign w:val="bottom"/>
          </w:tcPr>
          <w:p>
            <w:pPr>
              <w:spacing w:after="0"/>
              <w:rPr>
                <w:sz w:val="24"/>
                <w:szCs w:val="24"/>
                <w:color w:val="auto"/>
              </w:rPr>
            </w:pPr>
          </w:p>
        </w:tc>
        <w:tc>
          <w:tcPr>
            <w:tcW w:w="3180" w:type="dxa"/>
            <w:vAlign w:val="bottom"/>
            <w:shd w:val="clear" w:color="auto" w:fill="D8F5FA"/>
          </w:tcPr>
          <w:p>
            <w:pPr>
              <w:ind w:left="80"/>
              <w:spacing w:after="0"/>
              <w:rPr>
                <w:sz w:val="20"/>
                <w:szCs w:val="20"/>
                <w:color w:val="auto"/>
              </w:rPr>
            </w:pPr>
            <w:r>
              <w:rPr>
                <w:rFonts w:ascii="Arial" w:cs="Arial" w:eastAsia="Arial" w:hAnsi="Arial"/>
                <w:sz w:val="18"/>
                <w:szCs w:val="18"/>
                <w:b w:val="1"/>
                <w:bCs w:val="1"/>
                <w:color w:val="00C1DE"/>
              </w:rPr>
              <w:t>Empowering Employees</w:t>
            </w:r>
          </w:p>
        </w:tc>
        <w:tc>
          <w:tcPr>
            <w:tcW w:w="7420" w:type="dxa"/>
            <w:vAlign w:val="bottom"/>
            <w:shd w:val="clear" w:color="auto" w:fill="D8F5FA"/>
          </w:tcPr>
          <w:p>
            <w:pPr>
              <w:ind w:left="220"/>
              <w:spacing w:after="0"/>
              <w:rPr>
                <w:sz w:val="20"/>
                <w:szCs w:val="20"/>
                <w:color w:val="auto"/>
              </w:rPr>
            </w:pPr>
            <w:r>
              <w:rPr>
                <w:rFonts w:ascii="Arial" w:cs="Arial" w:eastAsia="Arial" w:hAnsi="Arial"/>
                <w:sz w:val="18"/>
                <w:szCs w:val="18"/>
                <w:color w:val="3E3935"/>
              </w:rPr>
              <w:t>Our employees drive the innovation that powers GM. They create our products and are</w:t>
            </w:r>
          </w:p>
        </w:tc>
        <w:tc>
          <w:tcPr>
            <w:tcW w:w="200" w:type="dxa"/>
            <w:vAlign w:val="bottom"/>
          </w:tcPr>
          <w:p>
            <w:pPr>
              <w:spacing w:after="0"/>
              <w:rPr>
                <w:sz w:val="24"/>
                <w:szCs w:val="24"/>
                <w:color w:val="auto"/>
              </w:rPr>
            </w:pPr>
          </w:p>
        </w:tc>
      </w:tr>
      <w:tr>
        <w:trPr>
          <w:trHeight w:val="203"/>
        </w:trPr>
        <w:tc>
          <w:tcPr>
            <w:tcW w:w="200" w:type="dxa"/>
            <w:vAlign w:val="bottom"/>
          </w:tcPr>
          <w:p>
            <w:pPr>
              <w:spacing w:after="0"/>
              <w:rPr>
                <w:sz w:val="17"/>
                <w:szCs w:val="17"/>
                <w:color w:val="auto"/>
              </w:rPr>
            </w:pPr>
          </w:p>
        </w:tc>
        <w:tc>
          <w:tcPr>
            <w:tcW w:w="3180" w:type="dxa"/>
            <w:vAlign w:val="bottom"/>
            <w:shd w:val="clear" w:color="auto" w:fill="D8F5FA"/>
          </w:tcPr>
          <w:p>
            <w:pPr>
              <w:spacing w:after="0"/>
              <w:rPr>
                <w:sz w:val="17"/>
                <w:szCs w:val="17"/>
                <w:color w:val="auto"/>
              </w:rPr>
            </w:pPr>
          </w:p>
        </w:tc>
        <w:tc>
          <w:tcPr>
            <w:tcW w:w="7420" w:type="dxa"/>
            <w:vAlign w:val="bottom"/>
            <w:shd w:val="clear" w:color="auto" w:fill="D8F5FA"/>
          </w:tcPr>
          <w:p>
            <w:pPr>
              <w:ind w:left="220"/>
              <w:spacing w:after="0" w:line="202" w:lineRule="exact"/>
              <w:rPr>
                <w:sz w:val="20"/>
                <w:szCs w:val="20"/>
                <w:color w:val="auto"/>
              </w:rPr>
            </w:pPr>
            <w:r>
              <w:rPr>
                <w:rFonts w:ascii="Arial" w:cs="Arial" w:eastAsia="Arial" w:hAnsi="Arial"/>
                <w:sz w:val="18"/>
                <w:szCs w:val="18"/>
                <w:color w:val="3E3935"/>
              </w:rPr>
              <w:t>there every step of the journey — from the idea stage to the first time a vehicle is turned</w:t>
            </w:r>
          </w:p>
        </w:tc>
        <w:tc>
          <w:tcPr>
            <w:tcW w:w="200" w:type="dxa"/>
            <w:vAlign w:val="bottom"/>
          </w:tcPr>
          <w:p>
            <w:pPr>
              <w:spacing w:after="0"/>
              <w:rPr>
                <w:sz w:val="17"/>
                <w:szCs w:val="17"/>
                <w:color w:val="auto"/>
              </w:rPr>
            </w:pPr>
          </w:p>
        </w:tc>
      </w:tr>
      <w:tr>
        <w:trPr>
          <w:trHeight w:val="203"/>
        </w:trPr>
        <w:tc>
          <w:tcPr>
            <w:tcW w:w="200" w:type="dxa"/>
            <w:vAlign w:val="bottom"/>
          </w:tcPr>
          <w:p>
            <w:pPr>
              <w:spacing w:after="0"/>
              <w:rPr>
                <w:sz w:val="17"/>
                <w:szCs w:val="17"/>
                <w:color w:val="auto"/>
              </w:rPr>
            </w:pPr>
          </w:p>
        </w:tc>
        <w:tc>
          <w:tcPr>
            <w:tcW w:w="3180" w:type="dxa"/>
            <w:vAlign w:val="bottom"/>
            <w:shd w:val="clear" w:color="auto" w:fill="D8F5FA"/>
          </w:tcPr>
          <w:p>
            <w:pPr>
              <w:spacing w:after="0"/>
              <w:rPr>
                <w:sz w:val="17"/>
                <w:szCs w:val="17"/>
                <w:color w:val="auto"/>
              </w:rPr>
            </w:pPr>
          </w:p>
        </w:tc>
        <w:tc>
          <w:tcPr>
            <w:tcW w:w="7420" w:type="dxa"/>
            <w:vAlign w:val="bottom"/>
            <w:shd w:val="clear" w:color="auto" w:fill="D8F5FA"/>
          </w:tcPr>
          <w:p>
            <w:pPr>
              <w:ind w:left="220"/>
              <w:spacing w:after="0" w:line="202" w:lineRule="exact"/>
              <w:rPr>
                <w:sz w:val="20"/>
                <w:szCs w:val="20"/>
                <w:color w:val="auto"/>
              </w:rPr>
            </w:pPr>
            <w:r>
              <w:rPr>
                <w:rFonts w:ascii="Arial" w:cs="Arial" w:eastAsia="Arial" w:hAnsi="Arial"/>
                <w:sz w:val="18"/>
                <w:szCs w:val="18"/>
                <w:color w:val="3E3935"/>
              </w:rPr>
              <w:t xml:space="preserve">on. Our success is a result of their vision and dedication. Our </w:t>
            </w:r>
            <w:r>
              <w:rPr>
                <w:rFonts w:ascii="Arial" w:cs="Arial" w:eastAsia="Arial" w:hAnsi="Arial"/>
                <w:sz w:val="18"/>
                <w:szCs w:val="18"/>
                <w:i w:val="1"/>
                <w:iCs w:val="1"/>
                <w:color w:val="3E3935"/>
              </w:rPr>
              <w:t>Earn a Living. Make a Life.</w:t>
            </w:r>
          </w:p>
        </w:tc>
        <w:tc>
          <w:tcPr>
            <w:tcW w:w="200" w:type="dxa"/>
            <w:vAlign w:val="bottom"/>
          </w:tcPr>
          <w:p>
            <w:pPr>
              <w:spacing w:after="0"/>
              <w:rPr>
                <w:sz w:val="17"/>
                <w:szCs w:val="17"/>
                <w:color w:val="auto"/>
              </w:rPr>
            </w:pPr>
          </w:p>
        </w:tc>
      </w:tr>
      <w:tr>
        <w:trPr>
          <w:trHeight w:val="203"/>
        </w:trPr>
        <w:tc>
          <w:tcPr>
            <w:tcW w:w="200" w:type="dxa"/>
            <w:vAlign w:val="bottom"/>
          </w:tcPr>
          <w:p>
            <w:pPr>
              <w:spacing w:after="0"/>
              <w:rPr>
                <w:sz w:val="17"/>
                <w:szCs w:val="17"/>
                <w:color w:val="auto"/>
              </w:rPr>
            </w:pPr>
          </w:p>
        </w:tc>
        <w:tc>
          <w:tcPr>
            <w:tcW w:w="3180" w:type="dxa"/>
            <w:vAlign w:val="bottom"/>
            <w:shd w:val="clear" w:color="auto" w:fill="D8F5FA"/>
          </w:tcPr>
          <w:p>
            <w:pPr>
              <w:spacing w:after="0"/>
              <w:rPr>
                <w:sz w:val="17"/>
                <w:szCs w:val="17"/>
                <w:color w:val="auto"/>
              </w:rPr>
            </w:pPr>
          </w:p>
        </w:tc>
        <w:tc>
          <w:tcPr>
            <w:tcW w:w="7420" w:type="dxa"/>
            <w:vAlign w:val="bottom"/>
            <w:shd w:val="clear" w:color="auto" w:fill="D8F5FA"/>
          </w:tcPr>
          <w:p>
            <w:pPr>
              <w:ind w:left="220"/>
              <w:spacing w:after="0" w:line="202" w:lineRule="exact"/>
              <w:rPr>
                <w:sz w:val="20"/>
                <w:szCs w:val="20"/>
                <w:color w:val="auto"/>
              </w:rPr>
            </w:pPr>
            <w:r>
              <w:rPr>
                <w:rFonts w:ascii="Arial" w:cs="Arial" w:eastAsia="Arial" w:hAnsi="Arial"/>
                <w:sz w:val="18"/>
                <w:szCs w:val="18"/>
                <w:color w:val="3E3935"/>
              </w:rPr>
              <w:t>initiative celebrates some of the amazing people behind our products. We remain focused</w:t>
            </w:r>
          </w:p>
        </w:tc>
        <w:tc>
          <w:tcPr>
            <w:tcW w:w="200" w:type="dxa"/>
            <w:vAlign w:val="bottom"/>
          </w:tcPr>
          <w:p>
            <w:pPr>
              <w:spacing w:after="0"/>
              <w:rPr>
                <w:sz w:val="17"/>
                <w:szCs w:val="17"/>
                <w:color w:val="auto"/>
              </w:rPr>
            </w:pPr>
          </w:p>
        </w:tc>
      </w:tr>
      <w:tr>
        <w:trPr>
          <w:trHeight w:val="203"/>
        </w:trPr>
        <w:tc>
          <w:tcPr>
            <w:tcW w:w="200" w:type="dxa"/>
            <w:vAlign w:val="bottom"/>
          </w:tcPr>
          <w:p>
            <w:pPr>
              <w:spacing w:after="0"/>
              <w:rPr>
                <w:sz w:val="17"/>
                <w:szCs w:val="17"/>
                <w:color w:val="auto"/>
              </w:rPr>
            </w:pPr>
          </w:p>
        </w:tc>
        <w:tc>
          <w:tcPr>
            <w:tcW w:w="3180" w:type="dxa"/>
            <w:vAlign w:val="bottom"/>
            <w:shd w:val="clear" w:color="auto" w:fill="D8F5FA"/>
          </w:tcPr>
          <w:p>
            <w:pPr>
              <w:spacing w:after="0"/>
              <w:rPr>
                <w:sz w:val="17"/>
                <w:szCs w:val="17"/>
                <w:color w:val="auto"/>
              </w:rPr>
            </w:pPr>
          </w:p>
        </w:tc>
        <w:tc>
          <w:tcPr>
            <w:tcW w:w="7420" w:type="dxa"/>
            <w:vAlign w:val="bottom"/>
            <w:shd w:val="clear" w:color="auto" w:fill="D8F5FA"/>
          </w:tcPr>
          <w:p>
            <w:pPr>
              <w:ind w:left="220"/>
              <w:spacing w:after="0" w:line="202" w:lineRule="exact"/>
              <w:rPr>
                <w:sz w:val="20"/>
                <w:szCs w:val="20"/>
                <w:color w:val="auto"/>
              </w:rPr>
            </w:pPr>
            <w:r>
              <w:rPr>
                <w:rFonts w:ascii="Arial" w:cs="Arial" w:eastAsia="Arial" w:hAnsi="Arial"/>
                <w:sz w:val="18"/>
                <w:szCs w:val="18"/>
                <w:color w:val="3E3935"/>
              </w:rPr>
              <w:t>on offering competitive benefits and salaries to employees. We continue to add to the</w:t>
            </w:r>
          </w:p>
        </w:tc>
        <w:tc>
          <w:tcPr>
            <w:tcW w:w="200" w:type="dxa"/>
            <w:vAlign w:val="bottom"/>
          </w:tcPr>
          <w:p>
            <w:pPr>
              <w:spacing w:after="0"/>
              <w:rPr>
                <w:sz w:val="17"/>
                <w:szCs w:val="17"/>
                <w:color w:val="auto"/>
              </w:rPr>
            </w:pPr>
          </w:p>
        </w:tc>
      </w:tr>
      <w:tr>
        <w:trPr>
          <w:trHeight w:val="203"/>
        </w:trPr>
        <w:tc>
          <w:tcPr>
            <w:tcW w:w="200" w:type="dxa"/>
            <w:vAlign w:val="bottom"/>
          </w:tcPr>
          <w:p>
            <w:pPr>
              <w:spacing w:after="0"/>
              <w:rPr>
                <w:sz w:val="17"/>
                <w:szCs w:val="17"/>
                <w:color w:val="auto"/>
              </w:rPr>
            </w:pPr>
          </w:p>
        </w:tc>
        <w:tc>
          <w:tcPr>
            <w:tcW w:w="3180" w:type="dxa"/>
            <w:vAlign w:val="bottom"/>
            <w:shd w:val="clear" w:color="auto" w:fill="D8F5FA"/>
          </w:tcPr>
          <w:p>
            <w:pPr>
              <w:spacing w:after="0"/>
              <w:rPr>
                <w:sz w:val="17"/>
                <w:szCs w:val="17"/>
                <w:color w:val="auto"/>
              </w:rPr>
            </w:pPr>
          </w:p>
        </w:tc>
        <w:tc>
          <w:tcPr>
            <w:tcW w:w="7420" w:type="dxa"/>
            <w:vAlign w:val="bottom"/>
            <w:shd w:val="clear" w:color="auto" w:fill="D8F5FA"/>
          </w:tcPr>
          <w:p>
            <w:pPr>
              <w:ind w:left="220"/>
              <w:spacing w:after="0" w:line="202" w:lineRule="exact"/>
              <w:rPr>
                <w:sz w:val="20"/>
                <w:szCs w:val="20"/>
                <w:color w:val="auto"/>
              </w:rPr>
            </w:pPr>
            <w:r>
              <w:rPr>
                <w:rFonts w:ascii="Arial" w:cs="Arial" w:eastAsia="Arial" w:hAnsi="Arial"/>
                <w:sz w:val="18"/>
                <w:szCs w:val="18"/>
                <w:color w:val="3E3935"/>
              </w:rPr>
              <w:t>suite of learning, mentoring, and professional development opportunities available to</w:t>
            </w:r>
          </w:p>
        </w:tc>
        <w:tc>
          <w:tcPr>
            <w:tcW w:w="200" w:type="dxa"/>
            <w:vAlign w:val="bottom"/>
          </w:tcPr>
          <w:p>
            <w:pPr>
              <w:spacing w:after="0"/>
              <w:rPr>
                <w:sz w:val="17"/>
                <w:szCs w:val="17"/>
                <w:color w:val="auto"/>
              </w:rPr>
            </w:pPr>
          </w:p>
        </w:tc>
      </w:tr>
      <w:tr>
        <w:trPr>
          <w:trHeight w:val="239"/>
        </w:trPr>
        <w:tc>
          <w:tcPr>
            <w:tcW w:w="200" w:type="dxa"/>
            <w:vAlign w:val="bottom"/>
          </w:tcPr>
          <w:p>
            <w:pPr>
              <w:spacing w:after="0"/>
              <w:rPr>
                <w:sz w:val="20"/>
                <w:szCs w:val="20"/>
                <w:color w:val="auto"/>
              </w:rPr>
            </w:pPr>
          </w:p>
        </w:tc>
        <w:tc>
          <w:tcPr>
            <w:tcW w:w="3180" w:type="dxa"/>
            <w:vAlign w:val="bottom"/>
            <w:shd w:val="clear" w:color="auto" w:fill="D8F5FA"/>
          </w:tcPr>
          <w:p>
            <w:pPr>
              <w:spacing w:after="0"/>
              <w:rPr>
                <w:sz w:val="20"/>
                <w:szCs w:val="20"/>
                <w:color w:val="auto"/>
              </w:rPr>
            </w:pPr>
          </w:p>
        </w:tc>
        <w:tc>
          <w:tcPr>
            <w:tcW w:w="7420" w:type="dxa"/>
            <w:vAlign w:val="bottom"/>
            <w:shd w:val="clear" w:color="auto" w:fill="D8F5FA"/>
          </w:tcPr>
          <w:p>
            <w:pPr>
              <w:ind w:left="220"/>
              <w:spacing w:after="0"/>
              <w:rPr>
                <w:sz w:val="20"/>
                <w:szCs w:val="20"/>
                <w:color w:val="auto"/>
              </w:rPr>
            </w:pPr>
            <w:r>
              <w:rPr>
                <w:rFonts w:ascii="Arial" w:cs="Arial" w:eastAsia="Arial" w:hAnsi="Arial"/>
                <w:sz w:val="18"/>
                <w:szCs w:val="18"/>
                <w:color w:val="3E3935"/>
              </w:rPr>
              <w:t>employees.</w:t>
            </w:r>
          </w:p>
        </w:tc>
        <w:tc>
          <w:tcPr>
            <w:tcW w:w="200" w:type="dxa"/>
            <w:vAlign w:val="bottom"/>
          </w:tcPr>
          <w:p>
            <w:pPr>
              <w:spacing w:after="0"/>
              <w:rPr>
                <w:sz w:val="20"/>
                <w:szCs w:val="20"/>
                <w:color w:val="auto"/>
              </w:rPr>
            </w:pPr>
          </w:p>
        </w:tc>
      </w:tr>
      <w:tr>
        <w:trPr>
          <w:trHeight w:val="396"/>
        </w:trPr>
        <w:tc>
          <w:tcPr>
            <w:tcW w:w="200" w:type="dxa"/>
            <w:vAlign w:val="bottom"/>
          </w:tcPr>
          <w:p>
            <w:pPr>
              <w:spacing w:after="0"/>
              <w:rPr>
                <w:sz w:val="24"/>
                <w:szCs w:val="24"/>
                <w:color w:val="auto"/>
              </w:rPr>
            </w:pPr>
          </w:p>
        </w:tc>
        <w:tc>
          <w:tcPr>
            <w:tcW w:w="3180" w:type="dxa"/>
            <w:vAlign w:val="bottom"/>
            <w:shd w:val="clear" w:color="auto" w:fill="D8F5FA"/>
          </w:tcPr>
          <w:p>
            <w:pPr>
              <w:ind w:left="80"/>
              <w:spacing w:after="0"/>
              <w:rPr>
                <w:sz w:val="20"/>
                <w:szCs w:val="20"/>
                <w:color w:val="auto"/>
              </w:rPr>
            </w:pPr>
            <w:r>
              <w:rPr>
                <w:rFonts w:ascii="Arial" w:cs="Arial" w:eastAsia="Arial" w:hAnsi="Arial"/>
                <w:sz w:val="18"/>
                <w:szCs w:val="18"/>
                <w:b w:val="1"/>
                <w:bCs w:val="1"/>
                <w:color w:val="00C1DE"/>
              </w:rPr>
              <w:t>A Culture of Safety</w:t>
            </w:r>
          </w:p>
        </w:tc>
        <w:tc>
          <w:tcPr>
            <w:tcW w:w="7420" w:type="dxa"/>
            <w:vAlign w:val="bottom"/>
            <w:shd w:val="clear" w:color="auto" w:fill="D8F5FA"/>
          </w:tcPr>
          <w:p>
            <w:pPr>
              <w:ind w:left="220"/>
              <w:spacing w:after="0"/>
              <w:rPr>
                <w:sz w:val="20"/>
                <w:szCs w:val="20"/>
                <w:color w:val="auto"/>
              </w:rPr>
            </w:pPr>
            <w:r>
              <w:rPr>
                <w:rFonts w:ascii="Arial" w:cs="Arial" w:eastAsia="Arial" w:hAnsi="Arial"/>
                <w:sz w:val="18"/>
                <w:szCs w:val="18"/>
                <w:color w:val="3E3935"/>
              </w:rPr>
              <w:t>We envision a world with zero crashes. This vision and our customers’ safety is at the</w:t>
            </w:r>
          </w:p>
        </w:tc>
        <w:tc>
          <w:tcPr>
            <w:tcW w:w="200" w:type="dxa"/>
            <w:vAlign w:val="bottom"/>
          </w:tcPr>
          <w:p>
            <w:pPr>
              <w:spacing w:after="0"/>
              <w:rPr>
                <w:sz w:val="24"/>
                <w:szCs w:val="24"/>
                <w:color w:val="auto"/>
              </w:rPr>
            </w:pPr>
          </w:p>
        </w:tc>
      </w:tr>
      <w:tr>
        <w:trPr>
          <w:trHeight w:val="203"/>
        </w:trPr>
        <w:tc>
          <w:tcPr>
            <w:tcW w:w="200" w:type="dxa"/>
            <w:vAlign w:val="bottom"/>
          </w:tcPr>
          <w:p>
            <w:pPr>
              <w:spacing w:after="0"/>
              <w:rPr>
                <w:sz w:val="17"/>
                <w:szCs w:val="17"/>
                <w:color w:val="auto"/>
              </w:rPr>
            </w:pPr>
          </w:p>
        </w:tc>
        <w:tc>
          <w:tcPr>
            <w:tcW w:w="3180" w:type="dxa"/>
            <w:vAlign w:val="bottom"/>
            <w:shd w:val="clear" w:color="auto" w:fill="D8F5FA"/>
          </w:tcPr>
          <w:p>
            <w:pPr>
              <w:spacing w:after="0"/>
              <w:rPr>
                <w:sz w:val="17"/>
                <w:szCs w:val="17"/>
                <w:color w:val="auto"/>
              </w:rPr>
            </w:pPr>
          </w:p>
        </w:tc>
        <w:tc>
          <w:tcPr>
            <w:tcW w:w="7420" w:type="dxa"/>
            <w:vAlign w:val="bottom"/>
            <w:shd w:val="clear" w:color="auto" w:fill="D8F5FA"/>
          </w:tcPr>
          <w:p>
            <w:pPr>
              <w:ind w:left="220"/>
              <w:spacing w:after="0" w:line="202" w:lineRule="exact"/>
              <w:rPr>
                <w:sz w:val="20"/>
                <w:szCs w:val="20"/>
                <w:color w:val="auto"/>
              </w:rPr>
            </w:pPr>
            <w:r>
              <w:rPr>
                <w:rFonts w:ascii="Arial" w:cs="Arial" w:eastAsia="Arial" w:hAnsi="Arial"/>
                <w:sz w:val="18"/>
                <w:szCs w:val="18"/>
                <w:color w:val="3E3935"/>
              </w:rPr>
              <w:t>heart of what we do. Workplace safety is also a priority across GM. Safety efforts are</w:t>
            </w:r>
          </w:p>
        </w:tc>
        <w:tc>
          <w:tcPr>
            <w:tcW w:w="200" w:type="dxa"/>
            <w:vAlign w:val="bottom"/>
          </w:tcPr>
          <w:p>
            <w:pPr>
              <w:spacing w:after="0"/>
              <w:rPr>
                <w:sz w:val="17"/>
                <w:szCs w:val="17"/>
                <w:color w:val="auto"/>
              </w:rPr>
            </w:pPr>
          </w:p>
        </w:tc>
      </w:tr>
      <w:tr>
        <w:trPr>
          <w:trHeight w:val="203"/>
        </w:trPr>
        <w:tc>
          <w:tcPr>
            <w:tcW w:w="200" w:type="dxa"/>
            <w:vAlign w:val="bottom"/>
          </w:tcPr>
          <w:p>
            <w:pPr>
              <w:spacing w:after="0"/>
              <w:rPr>
                <w:sz w:val="17"/>
                <w:szCs w:val="17"/>
                <w:color w:val="auto"/>
              </w:rPr>
            </w:pPr>
          </w:p>
        </w:tc>
        <w:tc>
          <w:tcPr>
            <w:tcW w:w="3180" w:type="dxa"/>
            <w:vAlign w:val="bottom"/>
            <w:shd w:val="clear" w:color="auto" w:fill="D8F5FA"/>
          </w:tcPr>
          <w:p>
            <w:pPr>
              <w:spacing w:after="0"/>
              <w:rPr>
                <w:sz w:val="17"/>
                <w:szCs w:val="17"/>
                <w:color w:val="auto"/>
              </w:rPr>
            </w:pPr>
          </w:p>
        </w:tc>
        <w:tc>
          <w:tcPr>
            <w:tcW w:w="7420" w:type="dxa"/>
            <w:vAlign w:val="bottom"/>
            <w:shd w:val="clear" w:color="auto" w:fill="D8F5FA"/>
          </w:tcPr>
          <w:p>
            <w:pPr>
              <w:ind w:left="220"/>
              <w:spacing w:after="0" w:line="202" w:lineRule="exact"/>
              <w:rPr>
                <w:sz w:val="20"/>
                <w:szCs w:val="20"/>
                <w:color w:val="auto"/>
              </w:rPr>
            </w:pPr>
            <w:r>
              <w:rPr>
                <w:rFonts w:ascii="Arial" w:cs="Arial" w:eastAsia="Arial" w:hAnsi="Arial"/>
                <w:sz w:val="18"/>
                <w:szCs w:val="18"/>
                <w:color w:val="3E3935"/>
              </w:rPr>
              <w:t>focused on five tactical dimensions – culture, knowledge, systems, data, and risk</w:t>
            </w:r>
          </w:p>
        </w:tc>
        <w:tc>
          <w:tcPr>
            <w:tcW w:w="200" w:type="dxa"/>
            <w:vAlign w:val="bottom"/>
          </w:tcPr>
          <w:p>
            <w:pPr>
              <w:spacing w:after="0"/>
              <w:rPr>
                <w:sz w:val="17"/>
                <w:szCs w:val="17"/>
                <w:color w:val="auto"/>
              </w:rPr>
            </w:pPr>
          </w:p>
        </w:tc>
      </w:tr>
      <w:tr>
        <w:trPr>
          <w:trHeight w:val="203"/>
        </w:trPr>
        <w:tc>
          <w:tcPr>
            <w:tcW w:w="200" w:type="dxa"/>
            <w:vAlign w:val="bottom"/>
          </w:tcPr>
          <w:p>
            <w:pPr>
              <w:spacing w:after="0"/>
              <w:rPr>
                <w:sz w:val="17"/>
                <w:szCs w:val="17"/>
                <w:color w:val="auto"/>
              </w:rPr>
            </w:pPr>
          </w:p>
        </w:tc>
        <w:tc>
          <w:tcPr>
            <w:tcW w:w="3180" w:type="dxa"/>
            <w:vAlign w:val="bottom"/>
            <w:shd w:val="clear" w:color="auto" w:fill="D8F5FA"/>
          </w:tcPr>
          <w:p>
            <w:pPr>
              <w:spacing w:after="0"/>
              <w:rPr>
                <w:sz w:val="17"/>
                <w:szCs w:val="17"/>
                <w:color w:val="auto"/>
              </w:rPr>
            </w:pPr>
          </w:p>
        </w:tc>
        <w:tc>
          <w:tcPr>
            <w:tcW w:w="7420" w:type="dxa"/>
            <w:vAlign w:val="bottom"/>
            <w:shd w:val="clear" w:color="auto" w:fill="D8F5FA"/>
          </w:tcPr>
          <w:p>
            <w:pPr>
              <w:ind w:left="220"/>
              <w:spacing w:after="0" w:line="202" w:lineRule="exact"/>
              <w:rPr>
                <w:sz w:val="20"/>
                <w:szCs w:val="20"/>
                <w:color w:val="auto"/>
              </w:rPr>
            </w:pPr>
            <w:r>
              <w:rPr>
                <w:rFonts w:ascii="Arial" w:cs="Arial" w:eastAsia="Arial" w:hAnsi="Arial"/>
                <w:sz w:val="18"/>
                <w:szCs w:val="18"/>
                <w:color w:val="3E3935"/>
              </w:rPr>
              <w:t>mitigation – in support of our overriding commitment to live the values that return people</w:t>
            </w:r>
          </w:p>
        </w:tc>
        <w:tc>
          <w:tcPr>
            <w:tcW w:w="200" w:type="dxa"/>
            <w:vAlign w:val="bottom"/>
          </w:tcPr>
          <w:p>
            <w:pPr>
              <w:spacing w:after="0"/>
              <w:rPr>
                <w:sz w:val="17"/>
                <w:szCs w:val="17"/>
                <w:color w:val="auto"/>
              </w:rPr>
            </w:pPr>
          </w:p>
        </w:tc>
      </w:tr>
      <w:tr>
        <w:trPr>
          <w:trHeight w:val="239"/>
        </w:trPr>
        <w:tc>
          <w:tcPr>
            <w:tcW w:w="200" w:type="dxa"/>
            <w:vAlign w:val="bottom"/>
          </w:tcPr>
          <w:p>
            <w:pPr>
              <w:spacing w:after="0"/>
              <w:rPr>
                <w:sz w:val="20"/>
                <w:szCs w:val="20"/>
                <w:color w:val="auto"/>
              </w:rPr>
            </w:pPr>
          </w:p>
        </w:tc>
        <w:tc>
          <w:tcPr>
            <w:tcW w:w="3180" w:type="dxa"/>
            <w:vAlign w:val="bottom"/>
            <w:shd w:val="clear" w:color="auto" w:fill="D8F5FA"/>
          </w:tcPr>
          <w:p>
            <w:pPr>
              <w:spacing w:after="0"/>
              <w:rPr>
                <w:sz w:val="20"/>
                <w:szCs w:val="20"/>
                <w:color w:val="auto"/>
              </w:rPr>
            </w:pPr>
          </w:p>
        </w:tc>
        <w:tc>
          <w:tcPr>
            <w:tcW w:w="7420" w:type="dxa"/>
            <w:vAlign w:val="bottom"/>
            <w:shd w:val="clear" w:color="auto" w:fill="D8F5FA"/>
          </w:tcPr>
          <w:p>
            <w:pPr>
              <w:ind w:left="220"/>
              <w:spacing w:after="0"/>
              <w:rPr>
                <w:sz w:val="20"/>
                <w:szCs w:val="20"/>
                <w:color w:val="auto"/>
              </w:rPr>
            </w:pPr>
            <w:r>
              <w:rPr>
                <w:rFonts w:ascii="Arial" w:cs="Arial" w:eastAsia="Arial" w:hAnsi="Arial"/>
                <w:sz w:val="18"/>
                <w:szCs w:val="18"/>
                <w:color w:val="3E3935"/>
              </w:rPr>
              <w:t>home safely. Every person. Every site. Every day.</w:t>
            </w:r>
          </w:p>
        </w:tc>
        <w:tc>
          <w:tcPr>
            <w:tcW w:w="200" w:type="dxa"/>
            <w:vAlign w:val="bottom"/>
          </w:tcPr>
          <w:p>
            <w:pPr>
              <w:spacing w:after="0"/>
              <w:rPr>
                <w:sz w:val="20"/>
                <w:szCs w:val="20"/>
                <w:color w:val="auto"/>
              </w:rPr>
            </w:pPr>
          </w:p>
        </w:tc>
      </w:tr>
      <w:tr>
        <w:trPr>
          <w:trHeight w:val="396"/>
        </w:trPr>
        <w:tc>
          <w:tcPr>
            <w:tcW w:w="200" w:type="dxa"/>
            <w:vAlign w:val="bottom"/>
          </w:tcPr>
          <w:p>
            <w:pPr>
              <w:spacing w:after="0"/>
              <w:rPr>
                <w:sz w:val="24"/>
                <w:szCs w:val="24"/>
                <w:color w:val="auto"/>
              </w:rPr>
            </w:pPr>
          </w:p>
        </w:tc>
        <w:tc>
          <w:tcPr>
            <w:tcW w:w="3180" w:type="dxa"/>
            <w:vAlign w:val="bottom"/>
            <w:shd w:val="clear" w:color="auto" w:fill="D8F5FA"/>
          </w:tcPr>
          <w:p>
            <w:pPr>
              <w:ind w:left="80"/>
              <w:spacing w:after="0"/>
              <w:rPr>
                <w:sz w:val="20"/>
                <w:szCs w:val="20"/>
                <w:color w:val="auto"/>
              </w:rPr>
            </w:pPr>
            <w:r>
              <w:rPr>
                <w:rFonts w:ascii="Arial" w:cs="Arial" w:eastAsia="Arial" w:hAnsi="Arial"/>
                <w:sz w:val="18"/>
                <w:szCs w:val="18"/>
                <w:b w:val="1"/>
                <w:bCs w:val="1"/>
                <w:color w:val="00C1DE"/>
              </w:rPr>
              <w:t>A Diverse &amp; Inclusive Workforce</w:t>
            </w:r>
          </w:p>
        </w:tc>
        <w:tc>
          <w:tcPr>
            <w:tcW w:w="7420" w:type="dxa"/>
            <w:vAlign w:val="bottom"/>
            <w:shd w:val="clear" w:color="auto" w:fill="D8F5FA"/>
          </w:tcPr>
          <w:p>
            <w:pPr>
              <w:ind w:left="220"/>
              <w:spacing w:after="0"/>
              <w:rPr>
                <w:sz w:val="20"/>
                <w:szCs w:val="20"/>
                <w:color w:val="auto"/>
              </w:rPr>
            </w:pPr>
            <w:r>
              <w:rPr>
                <w:rFonts w:ascii="Arial" w:cs="Arial" w:eastAsia="Arial" w:hAnsi="Arial"/>
                <w:sz w:val="18"/>
                <w:szCs w:val="18"/>
                <w:color w:val="3E3935"/>
              </w:rPr>
              <w:t>Maintaining a diverse, talented workforce and a workplace where all employees can</w:t>
            </w:r>
          </w:p>
        </w:tc>
        <w:tc>
          <w:tcPr>
            <w:tcW w:w="200" w:type="dxa"/>
            <w:vAlign w:val="bottom"/>
          </w:tcPr>
          <w:p>
            <w:pPr>
              <w:spacing w:after="0"/>
              <w:rPr>
                <w:sz w:val="24"/>
                <w:szCs w:val="24"/>
                <w:color w:val="auto"/>
              </w:rPr>
            </w:pPr>
          </w:p>
        </w:tc>
      </w:tr>
      <w:tr>
        <w:trPr>
          <w:trHeight w:val="203"/>
        </w:trPr>
        <w:tc>
          <w:tcPr>
            <w:tcW w:w="200" w:type="dxa"/>
            <w:vAlign w:val="bottom"/>
          </w:tcPr>
          <w:p>
            <w:pPr>
              <w:spacing w:after="0"/>
              <w:rPr>
                <w:sz w:val="17"/>
                <w:szCs w:val="17"/>
                <w:color w:val="auto"/>
              </w:rPr>
            </w:pPr>
          </w:p>
        </w:tc>
        <w:tc>
          <w:tcPr>
            <w:tcW w:w="3180" w:type="dxa"/>
            <w:vAlign w:val="bottom"/>
            <w:shd w:val="clear" w:color="auto" w:fill="D8F5FA"/>
          </w:tcPr>
          <w:p>
            <w:pPr>
              <w:spacing w:after="0"/>
              <w:rPr>
                <w:sz w:val="17"/>
                <w:szCs w:val="17"/>
                <w:color w:val="auto"/>
              </w:rPr>
            </w:pPr>
          </w:p>
        </w:tc>
        <w:tc>
          <w:tcPr>
            <w:tcW w:w="7420" w:type="dxa"/>
            <w:vAlign w:val="bottom"/>
            <w:shd w:val="clear" w:color="auto" w:fill="D8F5FA"/>
          </w:tcPr>
          <w:p>
            <w:pPr>
              <w:ind w:left="220"/>
              <w:spacing w:after="0" w:line="202" w:lineRule="exact"/>
              <w:rPr>
                <w:sz w:val="20"/>
                <w:szCs w:val="20"/>
                <w:color w:val="auto"/>
              </w:rPr>
            </w:pPr>
            <w:r>
              <w:rPr>
                <w:rFonts w:ascii="Arial" w:cs="Arial" w:eastAsia="Arial" w:hAnsi="Arial"/>
                <w:sz w:val="18"/>
                <w:szCs w:val="18"/>
                <w:color w:val="3E3935"/>
              </w:rPr>
              <w:t>thrive is a key priority at GM. From recruiting and hiring, to career progression and</w:t>
            </w:r>
          </w:p>
        </w:tc>
        <w:tc>
          <w:tcPr>
            <w:tcW w:w="200" w:type="dxa"/>
            <w:vAlign w:val="bottom"/>
          </w:tcPr>
          <w:p>
            <w:pPr>
              <w:spacing w:after="0"/>
              <w:rPr>
                <w:sz w:val="17"/>
                <w:szCs w:val="17"/>
                <w:color w:val="auto"/>
              </w:rPr>
            </w:pPr>
          </w:p>
        </w:tc>
      </w:tr>
      <w:tr>
        <w:trPr>
          <w:trHeight w:val="203"/>
        </w:trPr>
        <w:tc>
          <w:tcPr>
            <w:tcW w:w="200" w:type="dxa"/>
            <w:vAlign w:val="bottom"/>
          </w:tcPr>
          <w:p>
            <w:pPr>
              <w:spacing w:after="0"/>
              <w:rPr>
                <w:sz w:val="17"/>
                <w:szCs w:val="17"/>
                <w:color w:val="auto"/>
              </w:rPr>
            </w:pPr>
          </w:p>
        </w:tc>
        <w:tc>
          <w:tcPr>
            <w:tcW w:w="3180" w:type="dxa"/>
            <w:vAlign w:val="bottom"/>
            <w:shd w:val="clear" w:color="auto" w:fill="D8F5FA"/>
          </w:tcPr>
          <w:p>
            <w:pPr>
              <w:spacing w:after="0"/>
              <w:rPr>
                <w:sz w:val="17"/>
                <w:szCs w:val="17"/>
                <w:color w:val="auto"/>
              </w:rPr>
            </w:pPr>
          </w:p>
        </w:tc>
        <w:tc>
          <w:tcPr>
            <w:tcW w:w="7420" w:type="dxa"/>
            <w:vAlign w:val="bottom"/>
            <w:shd w:val="clear" w:color="auto" w:fill="D8F5FA"/>
          </w:tcPr>
          <w:p>
            <w:pPr>
              <w:ind w:left="220"/>
              <w:spacing w:after="0" w:line="202" w:lineRule="exact"/>
              <w:rPr>
                <w:sz w:val="20"/>
                <w:szCs w:val="20"/>
                <w:color w:val="auto"/>
              </w:rPr>
            </w:pPr>
            <w:r>
              <w:rPr>
                <w:rFonts w:ascii="Arial" w:cs="Arial" w:eastAsia="Arial" w:hAnsi="Arial"/>
                <w:sz w:val="18"/>
                <w:szCs w:val="18"/>
                <w:color w:val="3E3935"/>
              </w:rPr>
              <w:t>leadership training, we are working to continuously advance the inclusivity of our</w:t>
            </w:r>
          </w:p>
        </w:tc>
        <w:tc>
          <w:tcPr>
            <w:tcW w:w="200" w:type="dxa"/>
            <w:vAlign w:val="bottom"/>
          </w:tcPr>
          <w:p>
            <w:pPr>
              <w:spacing w:after="0"/>
              <w:rPr>
                <w:sz w:val="17"/>
                <w:szCs w:val="17"/>
                <w:color w:val="auto"/>
              </w:rPr>
            </w:pPr>
          </w:p>
        </w:tc>
      </w:tr>
      <w:tr>
        <w:trPr>
          <w:trHeight w:val="203"/>
        </w:trPr>
        <w:tc>
          <w:tcPr>
            <w:tcW w:w="200" w:type="dxa"/>
            <w:vAlign w:val="bottom"/>
          </w:tcPr>
          <w:p>
            <w:pPr>
              <w:spacing w:after="0"/>
              <w:rPr>
                <w:sz w:val="17"/>
                <w:szCs w:val="17"/>
                <w:color w:val="auto"/>
              </w:rPr>
            </w:pPr>
          </w:p>
        </w:tc>
        <w:tc>
          <w:tcPr>
            <w:tcW w:w="3180" w:type="dxa"/>
            <w:vAlign w:val="bottom"/>
            <w:shd w:val="clear" w:color="auto" w:fill="D8F5FA"/>
          </w:tcPr>
          <w:p>
            <w:pPr>
              <w:spacing w:after="0"/>
              <w:rPr>
                <w:sz w:val="17"/>
                <w:szCs w:val="17"/>
                <w:color w:val="auto"/>
              </w:rPr>
            </w:pPr>
          </w:p>
        </w:tc>
        <w:tc>
          <w:tcPr>
            <w:tcW w:w="7420" w:type="dxa"/>
            <w:vAlign w:val="bottom"/>
            <w:shd w:val="clear" w:color="auto" w:fill="D8F5FA"/>
          </w:tcPr>
          <w:p>
            <w:pPr>
              <w:ind w:left="220"/>
              <w:spacing w:after="0" w:line="202" w:lineRule="exact"/>
              <w:rPr>
                <w:sz w:val="20"/>
                <w:szCs w:val="20"/>
                <w:color w:val="auto"/>
              </w:rPr>
            </w:pPr>
            <w:r>
              <w:rPr>
                <w:rFonts w:ascii="Arial" w:cs="Arial" w:eastAsia="Arial" w:hAnsi="Arial"/>
                <w:sz w:val="18"/>
                <w:szCs w:val="18"/>
                <w:color w:val="3E3935"/>
              </w:rPr>
              <w:t>workplace. For more information about DE&amp;I at GM, please see our 2022 Sustainability</w:t>
            </w:r>
          </w:p>
        </w:tc>
        <w:tc>
          <w:tcPr>
            <w:tcW w:w="200" w:type="dxa"/>
            <w:vAlign w:val="bottom"/>
          </w:tcPr>
          <w:p>
            <w:pPr>
              <w:spacing w:after="0"/>
              <w:rPr>
                <w:sz w:val="17"/>
                <w:szCs w:val="17"/>
                <w:color w:val="auto"/>
              </w:rPr>
            </w:pPr>
          </w:p>
        </w:tc>
      </w:tr>
      <w:tr>
        <w:trPr>
          <w:trHeight w:val="239"/>
        </w:trPr>
        <w:tc>
          <w:tcPr>
            <w:tcW w:w="200" w:type="dxa"/>
            <w:vAlign w:val="bottom"/>
          </w:tcPr>
          <w:p>
            <w:pPr>
              <w:spacing w:after="0"/>
              <w:rPr>
                <w:sz w:val="20"/>
                <w:szCs w:val="20"/>
                <w:color w:val="auto"/>
              </w:rPr>
            </w:pPr>
          </w:p>
        </w:tc>
        <w:tc>
          <w:tcPr>
            <w:tcW w:w="3180" w:type="dxa"/>
            <w:vAlign w:val="bottom"/>
            <w:shd w:val="clear" w:color="auto" w:fill="D8F5FA"/>
          </w:tcPr>
          <w:p>
            <w:pPr>
              <w:spacing w:after="0"/>
              <w:rPr>
                <w:sz w:val="20"/>
                <w:szCs w:val="20"/>
                <w:color w:val="auto"/>
              </w:rPr>
            </w:pPr>
          </w:p>
        </w:tc>
        <w:tc>
          <w:tcPr>
            <w:tcW w:w="7420" w:type="dxa"/>
            <w:vAlign w:val="bottom"/>
            <w:shd w:val="clear" w:color="auto" w:fill="D8F5FA"/>
          </w:tcPr>
          <w:p>
            <w:pPr>
              <w:ind w:left="220"/>
              <w:spacing w:after="0"/>
              <w:rPr>
                <w:sz w:val="20"/>
                <w:szCs w:val="20"/>
                <w:color w:val="auto"/>
              </w:rPr>
            </w:pPr>
            <w:r>
              <w:rPr>
                <w:rFonts w:ascii="Arial" w:cs="Arial" w:eastAsia="Arial" w:hAnsi="Arial"/>
                <w:sz w:val="18"/>
                <w:szCs w:val="18"/>
                <w:color w:val="3E3935"/>
              </w:rPr>
              <w:t>Report.</w:t>
            </w:r>
          </w:p>
        </w:tc>
        <w:tc>
          <w:tcPr>
            <w:tcW w:w="200" w:type="dxa"/>
            <w:vAlign w:val="bottom"/>
          </w:tcPr>
          <w:p>
            <w:pPr>
              <w:spacing w:after="0"/>
              <w:rPr>
                <w:sz w:val="20"/>
                <w:szCs w:val="20"/>
                <w:color w:val="auto"/>
              </w:rPr>
            </w:pPr>
          </w:p>
        </w:tc>
      </w:tr>
      <w:tr>
        <w:trPr>
          <w:trHeight w:val="396"/>
        </w:trPr>
        <w:tc>
          <w:tcPr>
            <w:tcW w:w="200" w:type="dxa"/>
            <w:vAlign w:val="bottom"/>
          </w:tcPr>
          <w:p>
            <w:pPr>
              <w:spacing w:after="0"/>
              <w:rPr>
                <w:sz w:val="24"/>
                <w:szCs w:val="24"/>
                <w:color w:val="auto"/>
              </w:rPr>
            </w:pPr>
          </w:p>
        </w:tc>
        <w:tc>
          <w:tcPr>
            <w:tcW w:w="3180" w:type="dxa"/>
            <w:vAlign w:val="bottom"/>
            <w:shd w:val="clear" w:color="auto" w:fill="D8F5FA"/>
          </w:tcPr>
          <w:p>
            <w:pPr>
              <w:ind w:left="80"/>
              <w:spacing w:after="0"/>
              <w:rPr>
                <w:sz w:val="20"/>
                <w:szCs w:val="20"/>
                <w:color w:val="auto"/>
              </w:rPr>
            </w:pPr>
            <w:r>
              <w:rPr>
                <w:rFonts w:ascii="Arial" w:cs="Arial" w:eastAsia="Arial" w:hAnsi="Arial"/>
                <w:sz w:val="18"/>
                <w:szCs w:val="18"/>
                <w:b w:val="1"/>
                <w:bCs w:val="1"/>
                <w:color w:val="00C1DE"/>
              </w:rPr>
              <w:t>Dealer and Supplier Engagement</w:t>
            </w:r>
          </w:p>
        </w:tc>
        <w:tc>
          <w:tcPr>
            <w:tcW w:w="7420" w:type="dxa"/>
            <w:vAlign w:val="bottom"/>
            <w:shd w:val="clear" w:color="auto" w:fill="D8F5FA"/>
          </w:tcPr>
          <w:p>
            <w:pPr>
              <w:ind w:left="220"/>
              <w:spacing w:after="0"/>
              <w:rPr>
                <w:sz w:val="20"/>
                <w:szCs w:val="20"/>
                <w:color w:val="auto"/>
              </w:rPr>
            </w:pPr>
            <w:r>
              <w:rPr>
                <w:rFonts w:ascii="Arial" w:cs="Arial" w:eastAsia="Arial" w:hAnsi="Arial"/>
                <w:sz w:val="18"/>
                <w:szCs w:val="18"/>
                <w:color w:val="3E3935"/>
              </w:rPr>
              <w:t>The impact of our Company extends beyond our own operations. GM recognizes this and</w:t>
            </w:r>
          </w:p>
        </w:tc>
        <w:tc>
          <w:tcPr>
            <w:tcW w:w="200" w:type="dxa"/>
            <w:vAlign w:val="bottom"/>
          </w:tcPr>
          <w:p>
            <w:pPr>
              <w:spacing w:after="0"/>
              <w:rPr>
                <w:sz w:val="24"/>
                <w:szCs w:val="24"/>
                <w:color w:val="auto"/>
              </w:rPr>
            </w:pPr>
          </w:p>
        </w:tc>
      </w:tr>
      <w:tr>
        <w:trPr>
          <w:trHeight w:val="203"/>
        </w:trPr>
        <w:tc>
          <w:tcPr>
            <w:tcW w:w="200" w:type="dxa"/>
            <w:vAlign w:val="bottom"/>
          </w:tcPr>
          <w:p>
            <w:pPr>
              <w:spacing w:after="0"/>
              <w:rPr>
                <w:sz w:val="17"/>
                <w:szCs w:val="17"/>
                <w:color w:val="auto"/>
              </w:rPr>
            </w:pPr>
          </w:p>
        </w:tc>
        <w:tc>
          <w:tcPr>
            <w:tcW w:w="3180" w:type="dxa"/>
            <w:vAlign w:val="bottom"/>
            <w:shd w:val="clear" w:color="auto" w:fill="D8F5FA"/>
          </w:tcPr>
          <w:p>
            <w:pPr>
              <w:spacing w:after="0"/>
              <w:rPr>
                <w:sz w:val="17"/>
                <w:szCs w:val="17"/>
                <w:color w:val="auto"/>
              </w:rPr>
            </w:pPr>
          </w:p>
        </w:tc>
        <w:tc>
          <w:tcPr>
            <w:tcW w:w="7420" w:type="dxa"/>
            <w:vAlign w:val="bottom"/>
            <w:shd w:val="clear" w:color="auto" w:fill="D8F5FA"/>
          </w:tcPr>
          <w:p>
            <w:pPr>
              <w:ind w:left="220"/>
              <w:spacing w:after="0" w:line="202" w:lineRule="exact"/>
              <w:rPr>
                <w:sz w:val="20"/>
                <w:szCs w:val="20"/>
                <w:color w:val="auto"/>
              </w:rPr>
            </w:pPr>
            <w:r>
              <w:rPr>
                <w:rFonts w:ascii="Arial" w:cs="Arial" w:eastAsia="Arial" w:hAnsi="Arial"/>
                <w:sz w:val="18"/>
                <w:szCs w:val="18"/>
                <w:color w:val="3E3935"/>
              </w:rPr>
              <w:t>engages with dealers and suppliers to support positive change. At the dealership level,</w:t>
            </w:r>
          </w:p>
        </w:tc>
        <w:tc>
          <w:tcPr>
            <w:tcW w:w="200" w:type="dxa"/>
            <w:vAlign w:val="bottom"/>
          </w:tcPr>
          <w:p>
            <w:pPr>
              <w:spacing w:after="0"/>
              <w:rPr>
                <w:sz w:val="17"/>
                <w:szCs w:val="17"/>
                <w:color w:val="auto"/>
              </w:rPr>
            </w:pPr>
          </w:p>
        </w:tc>
      </w:tr>
      <w:tr>
        <w:trPr>
          <w:trHeight w:val="203"/>
        </w:trPr>
        <w:tc>
          <w:tcPr>
            <w:tcW w:w="200" w:type="dxa"/>
            <w:vAlign w:val="bottom"/>
          </w:tcPr>
          <w:p>
            <w:pPr>
              <w:spacing w:after="0"/>
              <w:rPr>
                <w:sz w:val="17"/>
                <w:szCs w:val="17"/>
                <w:color w:val="auto"/>
              </w:rPr>
            </w:pPr>
          </w:p>
        </w:tc>
        <w:tc>
          <w:tcPr>
            <w:tcW w:w="3180" w:type="dxa"/>
            <w:vAlign w:val="bottom"/>
            <w:shd w:val="clear" w:color="auto" w:fill="D8F5FA"/>
          </w:tcPr>
          <w:p>
            <w:pPr>
              <w:spacing w:after="0"/>
              <w:rPr>
                <w:sz w:val="17"/>
                <w:szCs w:val="17"/>
                <w:color w:val="auto"/>
              </w:rPr>
            </w:pPr>
          </w:p>
        </w:tc>
        <w:tc>
          <w:tcPr>
            <w:tcW w:w="7420" w:type="dxa"/>
            <w:vAlign w:val="bottom"/>
            <w:shd w:val="clear" w:color="auto" w:fill="D8F5FA"/>
          </w:tcPr>
          <w:p>
            <w:pPr>
              <w:ind w:left="220"/>
              <w:spacing w:after="0" w:line="202" w:lineRule="exact"/>
              <w:rPr>
                <w:sz w:val="20"/>
                <w:szCs w:val="20"/>
                <w:color w:val="auto"/>
              </w:rPr>
            </w:pPr>
            <w:r>
              <w:rPr>
                <w:rFonts w:ascii="Arial" w:cs="Arial" w:eastAsia="Arial" w:hAnsi="Arial"/>
                <w:sz w:val="18"/>
                <w:szCs w:val="18"/>
                <w:color w:val="3E3935"/>
              </w:rPr>
              <w:t>GM is proud of our Minority Dealer Development Program and Women’s Retail Network.</w:t>
            </w:r>
          </w:p>
        </w:tc>
        <w:tc>
          <w:tcPr>
            <w:tcW w:w="200" w:type="dxa"/>
            <w:vAlign w:val="bottom"/>
          </w:tcPr>
          <w:p>
            <w:pPr>
              <w:spacing w:after="0"/>
              <w:rPr>
                <w:sz w:val="17"/>
                <w:szCs w:val="17"/>
                <w:color w:val="auto"/>
              </w:rPr>
            </w:pPr>
          </w:p>
        </w:tc>
      </w:tr>
      <w:tr>
        <w:trPr>
          <w:trHeight w:val="203"/>
        </w:trPr>
        <w:tc>
          <w:tcPr>
            <w:tcW w:w="200" w:type="dxa"/>
            <w:vAlign w:val="bottom"/>
          </w:tcPr>
          <w:p>
            <w:pPr>
              <w:spacing w:after="0"/>
              <w:rPr>
                <w:sz w:val="17"/>
                <w:szCs w:val="17"/>
                <w:color w:val="auto"/>
              </w:rPr>
            </w:pPr>
          </w:p>
        </w:tc>
        <w:tc>
          <w:tcPr>
            <w:tcW w:w="3180" w:type="dxa"/>
            <w:vAlign w:val="bottom"/>
            <w:shd w:val="clear" w:color="auto" w:fill="D8F5FA"/>
          </w:tcPr>
          <w:p>
            <w:pPr>
              <w:spacing w:after="0"/>
              <w:rPr>
                <w:sz w:val="17"/>
                <w:szCs w:val="17"/>
                <w:color w:val="auto"/>
              </w:rPr>
            </w:pPr>
          </w:p>
        </w:tc>
        <w:tc>
          <w:tcPr>
            <w:tcW w:w="7420" w:type="dxa"/>
            <w:vAlign w:val="bottom"/>
            <w:shd w:val="clear" w:color="auto" w:fill="D8F5FA"/>
          </w:tcPr>
          <w:p>
            <w:pPr>
              <w:ind w:left="220"/>
              <w:spacing w:after="0" w:line="202" w:lineRule="exact"/>
              <w:rPr>
                <w:sz w:val="20"/>
                <w:szCs w:val="20"/>
                <w:color w:val="auto"/>
              </w:rPr>
            </w:pPr>
            <w:r>
              <w:rPr>
                <w:rFonts w:ascii="Arial" w:cs="Arial" w:eastAsia="Arial" w:hAnsi="Arial"/>
                <w:sz w:val="18"/>
                <w:szCs w:val="18"/>
                <w:color w:val="3E3935"/>
              </w:rPr>
              <w:t>We  also  have  a  longstanding  supplier  diversity  program,  and  in  2022,  spent</w:t>
            </w:r>
          </w:p>
        </w:tc>
        <w:tc>
          <w:tcPr>
            <w:tcW w:w="200" w:type="dxa"/>
            <w:vAlign w:val="bottom"/>
          </w:tcPr>
          <w:p>
            <w:pPr>
              <w:spacing w:after="0"/>
              <w:rPr>
                <w:sz w:val="17"/>
                <w:szCs w:val="17"/>
                <w:color w:val="auto"/>
              </w:rPr>
            </w:pPr>
          </w:p>
        </w:tc>
      </w:tr>
      <w:tr>
        <w:trPr>
          <w:trHeight w:val="203"/>
        </w:trPr>
        <w:tc>
          <w:tcPr>
            <w:tcW w:w="200" w:type="dxa"/>
            <w:vAlign w:val="bottom"/>
          </w:tcPr>
          <w:p>
            <w:pPr>
              <w:spacing w:after="0"/>
              <w:rPr>
                <w:sz w:val="17"/>
                <w:szCs w:val="17"/>
                <w:color w:val="auto"/>
              </w:rPr>
            </w:pPr>
          </w:p>
        </w:tc>
        <w:tc>
          <w:tcPr>
            <w:tcW w:w="3180" w:type="dxa"/>
            <w:vAlign w:val="bottom"/>
            <w:shd w:val="clear" w:color="auto" w:fill="D8F5FA"/>
          </w:tcPr>
          <w:p>
            <w:pPr>
              <w:spacing w:after="0"/>
              <w:rPr>
                <w:sz w:val="17"/>
                <w:szCs w:val="17"/>
                <w:color w:val="auto"/>
              </w:rPr>
            </w:pPr>
          </w:p>
        </w:tc>
        <w:tc>
          <w:tcPr>
            <w:tcW w:w="7420" w:type="dxa"/>
            <w:vAlign w:val="bottom"/>
            <w:shd w:val="clear" w:color="auto" w:fill="D8F5FA"/>
          </w:tcPr>
          <w:p>
            <w:pPr>
              <w:ind w:left="220"/>
              <w:spacing w:after="0" w:line="202" w:lineRule="exact"/>
              <w:rPr>
                <w:sz w:val="20"/>
                <w:szCs w:val="20"/>
                <w:color w:val="auto"/>
              </w:rPr>
            </w:pPr>
            <w:r>
              <w:rPr>
                <w:rFonts w:ascii="Arial" w:cs="Arial" w:eastAsia="Arial" w:hAnsi="Arial"/>
                <w:sz w:val="18"/>
                <w:szCs w:val="18"/>
                <w:color w:val="3E3935"/>
              </w:rPr>
              <w:t>approximately $4.4 billion with diverse Tier 1 North American suppliers. We engage with</w:t>
            </w:r>
          </w:p>
        </w:tc>
        <w:tc>
          <w:tcPr>
            <w:tcW w:w="200" w:type="dxa"/>
            <w:vAlign w:val="bottom"/>
          </w:tcPr>
          <w:p>
            <w:pPr>
              <w:spacing w:after="0"/>
              <w:rPr>
                <w:sz w:val="17"/>
                <w:szCs w:val="17"/>
                <w:color w:val="auto"/>
              </w:rPr>
            </w:pPr>
          </w:p>
        </w:tc>
      </w:tr>
      <w:tr>
        <w:trPr>
          <w:trHeight w:val="203"/>
        </w:trPr>
        <w:tc>
          <w:tcPr>
            <w:tcW w:w="200" w:type="dxa"/>
            <w:vAlign w:val="bottom"/>
          </w:tcPr>
          <w:p>
            <w:pPr>
              <w:spacing w:after="0"/>
              <w:rPr>
                <w:sz w:val="17"/>
                <w:szCs w:val="17"/>
                <w:color w:val="auto"/>
              </w:rPr>
            </w:pPr>
          </w:p>
        </w:tc>
        <w:tc>
          <w:tcPr>
            <w:tcW w:w="3180" w:type="dxa"/>
            <w:vAlign w:val="bottom"/>
            <w:shd w:val="clear" w:color="auto" w:fill="D8F5FA"/>
          </w:tcPr>
          <w:p>
            <w:pPr>
              <w:spacing w:after="0"/>
              <w:rPr>
                <w:sz w:val="17"/>
                <w:szCs w:val="17"/>
                <w:color w:val="auto"/>
              </w:rPr>
            </w:pPr>
          </w:p>
        </w:tc>
        <w:tc>
          <w:tcPr>
            <w:tcW w:w="7420" w:type="dxa"/>
            <w:vAlign w:val="bottom"/>
            <w:shd w:val="clear" w:color="auto" w:fill="D8F5FA"/>
          </w:tcPr>
          <w:p>
            <w:pPr>
              <w:ind w:left="220"/>
              <w:spacing w:after="0" w:line="202" w:lineRule="exact"/>
              <w:rPr>
                <w:sz w:val="20"/>
                <w:szCs w:val="20"/>
                <w:color w:val="auto"/>
              </w:rPr>
            </w:pPr>
            <w:r>
              <w:rPr>
                <w:rFonts w:ascii="Arial" w:cs="Arial" w:eastAsia="Arial" w:hAnsi="Arial"/>
                <w:sz w:val="18"/>
                <w:szCs w:val="18"/>
                <w:color w:val="3E3935"/>
              </w:rPr>
              <w:t>suppliers to help align their actions with our values as a company. Our ESG Partnership</w:t>
            </w:r>
          </w:p>
        </w:tc>
        <w:tc>
          <w:tcPr>
            <w:tcW w:w="200" w:type="dxa"/>
            <w:vAlign w:val="bottom"/>
          </w:tcPr>
          <w:p>
            <w:pPr>
              <w:spacing w:after="0"/>
              <w:rPr>
                <w:sz w:val="17"/>
                <w:szCs w:val="17"/>
                <w:color w:val="auto"/>
              </w:rPr>
            </w:pPr>
          </w:p>
        </w:tc>
      </w:tr>
      <w:tr>
        <w:trPr>
          <w:trHeight w:val="203"/>
        </w:trPr>
        <w:tc>
          <w:tcPr>
            <w:tcW w:w="200" w:type="dxa"/>
            <w:vAlign w:val="bottom"/>
          </w:tcPr>
          <w:p>
            <w:pPr>
              <w:spacing w:after="0"/>
              <w:rPr>
                <w:sz w:val="17"/>
                <w:szCs w:val="17"/>
                <w:color w:val="auto"/>
              </w:rPr>
            </w:pPr>
          </w:p>
        </w:tc>
        <w:tc>
          <w:tcPr>
            <w:tcW w:w="3180" w:type="dxa"/>
            <w:vAlign w:val="bottom"/>
            <w:shd w:val="clear" w:color="auto" w:fill="D8F5FA"/>
          </w:tcPr>
          <w:p>
            <w:pPr>
              <w:spacing w:after="0"/>
              <w:rPr>
                <w:sz w:val="17"/>
                <w:szCs w:val="17"/>
                <w:color w:val="auto"/>
              </w:rPr>
            </w:pPr>
          </w:p>
        </w:tc>
        <w:tc>
          <w:tcPr>
            <w:tcW w:w="7420" w:type="dxa"/>
            <w:vAlign w:val="bottom"/>
            <w:shd w:val="clear" w:color="auto" w:fill="D8F5FA"/>
          </w:tcPr>
          <w:p>
            <w:pPr>
              <w:ind w:left="220"/>
              <w:spacing w:after="0" w:line="202" w:lineRule="exact"/>
              <w:rPr>
                <w:sz w:val="20"/>
                <w:szCs w:val="20"/>
                <w:color w:val="auto"/>
              </w:rPr>
            </w:pPr>
            <w:r>
              <w:rPr>
                <w:rFonts w:ascii="Arial" w:cs="Arial" w:eastAsia="Arial" w:hAnsi="Arial"/>
                <w:sz w:val="18"/>
                <w:szCs w:val="18"/>
                <w:color w:val="3E3935"/>
              </w:rPr>
              <w:t>Pledge invites certain suppliers to make key commitments related to the environment and</w:t>
            </w:r>
          </w:p>
        </w:tc>
        <w:tc>
          <w:tcPr>
            <w:tcW w:w="200" w:type="dxa"/>
            <w:vAlign w:val="bottom"/>
          </w:tcPr>
          <w:p>
            <w:pPr>
              <w:spacing w:after="0"/>
              <w:rPr>
                <w:sz w:val="17"/>
                <w:szCs w:val="17"/>
                <w:color w:val="auto"/>
              </w:rPr>
            </w:pPr>
          </w:p>
        </w:tc>
      </w:tr>
      <w:tr>
        <w:trPr>
          <w:trHeight w:val="203"/>
        </w:trPr>
        <w:tc>
          <w:tcPr>
            <w:tcW w:w="200" w:type="dxa"/>
            <w:vAlign w:val="bottom"/>
          </w:tcPr>
          <w:p>
            <w:pPr>
              <w:spacing w:after="0"/>
              <w:rPr>
                <w:sz w:val="17"/>
                <w:szCs w:val="17"/>
                <w:color w:val="auto"/>
              </w:rPr>
            </w:pPr>
          </w:p>
        </w:tc>
        <w:tc>
          <w:tcPr>
            <w:tcW w:w="3180" w:type="dxa"/>
            <w:vAlign w:val="bottom"/>
            <w:shd w:val="clear" w:color="auto" w:fill="D8F5FA"/>
          </w:tcPr>
          <w:p>
            <w:pPr>
              <w:spacing w:after="0"/>
              <w:rPr>
                <w:sz w:val="17"/>
                <w:szCs w:val="17"/>
                <w:color w:val="auto"/>
              </w:rPr>
            </w:pPr>
          </w:p>
        </w:tc>
        <w:tc>
          <w:tcPr>
            <w:tcW w:w="7420" w:type="dxa"/>
            <w:vAlign w:val="bottom"/>
            <w:shd w:val="clear" w:color="auto" w:fill="D8F5FA"/>
          </w:tcPr>
          <w:p>
            <w:pPr>
              <w:ind w:left="220"/>
              <w:spacing w:after="0" w:line="202" w:lineRule="exact"/>
              <w:rPr>
                <w:sz w:val="20"/>
                <w:szCs w:val="20"/>
                <w:color w:val="auto"/>
              </w:rPr>
            </w:pPr>
            <w:r>
              <w:rPr>
                <w:rFonts w:ascii="Arial" w:cs="Arial" w:eastAsia="Arial" w:hAnsi="Arial"/>
                <w:sz w:val="18"/>
                <w:szCs w:val="18"/>
                <w:color w:val="3E3935"/>
              </w:rPr>
              <w:t>labor, and we continue to enhance visibility across our supply chain. Additionally, in 2022,</w:t>
            </w:r>
          </w:p>
        </w:tc>
        <w:tc>
          <w:tcPr>
            <w:tcW w:w="200" w:type="dxa"/>
            <w:vAlign w:val="bottom"/>
          </w:tcPr>
          <w:p>
            <w:pPr>
              <w:spacing w:after="0"/>
              <w:rPr>
                <w:sz w:val="17"/>
                <w:szCs w:val="17"/>
                <w:color w:val="auto"/>
              </w:rPr>
            </w:pPr>
          </w:p>
        </w:tc>
      </w:tr>
      <w:tr>
        <w:trPr>
          <w:trHeight w:val="239"/>
        </w:trPr>
        <w:tc>
          <w:tcPr>
            <w:tcW w:w="200" w:type="dxa"/>
            <w:vAlign w:val="bottom"/>
          </w:tcPr>
          <w:p>
            <w:pPr>
              <w:spacing w:after="0"/>
              <w:rPr>
                <w:sz w:val="20"/>
                <w:szCs w:val="20"/>
                <w:color w:val="auto"/>
              </w:rPr>
            </w:pPr>
          </w:p>
        </w:tc>
        <w:tc>
          <w:tcPr>
            <w:tcW w:w="3180" w:type="dxa"/>
            <w:vAlign w:val="bottom"/>
            <w:shd w:val="clear" w:color="auto" w:fill="D8F5FA"/>
          </w:tcPr>
          <w:p>
            <w:pPr>
              <w:spacing w:after="0"/>
              <w:rPr>
                <w:sz w:val="20"/>
                <w:szCs w:val="20"/>
                <w:color w:val="auto"/>
              </w:rPr>
            </w:pPr>
          </w:p>
        </w:tc>
        <w:tc>
          <w:tcPr>
            <w:tcW w:w="7420" w:type="dxa"/>
            <w:vAlign w:val="bottom"/>
            <w:shd w:val="clear" w:color="auto" w:fill="D8F5FA"/>
          </w:tcPr>
          <w:p>
            <w:pPr>
              <w:ind w:left="220"/>
              <w:spacing w:after="0"/>
              <w:rPr>
                <w:sz w:val="20"/>
                <w:szCs w:val="20"/>
                <w:color w:val="auto"/>
              </w:rPr>
            </w:pPr>
            <w:r>
              <w:rPr>
                <w:rFonts w:ascii="Arial" w:cs="Arial" w:eastAsia="Arial" w:hAnsi="Arial"/>
                <w:sz w:val="18"/>
                <w:szCs w:val="18"/>
                <w:color w:val="3E3935"/>
              </w:rPr>
              <w:t>we published our first Corporate Human Rights Benchmark disclosure.</w:t>
            </w:r>
          </w:p>
        </w:tc>
        <w:tc>
          <w:tcPr>
            <w:tcW w:w="200" w:type="dxa"/>
            <w:vAlign w:val="bottom"/>
          </w:tcPr>
          <w:p>
            <w:pPr>
              <w:spacing w:after="0"/>
              <w:rPr>
                <w:sz w:val="20"/>
                <w:szCs w:val="20"/>
                <w:color w:val="auto"/>
              </w:rPr>
            </w:pPr>
          </w:p>
        </w:tc>
      </w:tr>
      <w:tr>
        <w:trPr>
          <w:trHeight w:val="396"/>
        </w:trPr>
        <w:tc>
          <w:tcPr>
            <w:tcW w:w="200" w:type="dxa"/>
            <w:vAlign w:val="bottom"/>
          </w:tcPr>
          <w:p>
            <w:pPr>
              <w:spacing w:after="0"/>
              <w:rPr>
                <w:sz w:val="24"/>
                <w:szCs w:val="24"/>
                <w:color w:val="auto"/>
              </w:rPr>
            </w:pPr>
          </w:p>
        </w:tc>
        <w:tc>
          <w:tcPr>
            <w:tcW w:w="3180" w:type="dxa"/>
            <w:vAlign w:val="bottom"/>
            <w:shd w:val="clear" w:color="auto" w:fill="D8F5FA"/>
          </w:tcPr>
          <w:p>
            <w:pPr>
              <w:ind w:left="80"/>
              <w:spacing w:after="0"/>
              <w:rPr>
                <w:sz w:val="20"/>
                <w:szCs w:val="20"/>
                <w:color w:val="auto"/>
              </w:rPr>
            </w:pPr>
            <w:r>
              <w:rPr>
                <w:rFonts w:ascii="Arial" w:cs="Arial" w:eastAsia="Arial" w:hAnsi="Arial"/>
                <w:sz w:val="18"/>
                <w:szCs w:val="18"/>
                <w:b w:val="1"/>
                <w:bCs w:val="1"/>
                <w:color w:val="00C1DE"/>
              </w:rPr>
              <w:t>Supporting Communities</w:t>
            </w:r>
          </w:p>
        </w:tc>
        <w:tc>
          <w:tcPr>
            <w:tcW w:w="7420" w:type="dxa"/>
            <w:vAlign w:val="bottom"/>
            <w:shd w:val="clear" w:color="auto" w:fill="D8F5FA"/>
          </w:tcPr>
          <w:p>
            <w:pPr>
              <w:ind w:left="220"/>
              <w:spacing w:after="0"/>
              <w:rPr>
                <w:sz w:val="20"/>
                <w:szCs w:val="20"/>
                <w:color w:val="auto"/>
              </w:rPr>
            </w:pPr>
            <w:r>
              <w:rPr>
                <w:rFonts w:ascii="Arial" w:cs="Arial" w:eastAsia="Arial" w:hAnsi="Arial"/>
                <w:sz w:val="18"/>
                <w:szCs w:val="18"/>
                <w:color w:val="3E3935"/>
              </w:rPr>
              <w:t>We create jobs and support local economies in the communities where we live and work.</w:t>
            </w:r>
          </w:p>
        </w:tc>
        <w:tc>
          <w:tcPr>
            <w:tcW w:w="200" w:type="dxa"/>
            <w:vAlign w:val="bottom"/>
          </w:tcPr>
          <w:p>
            <w:pPr>
              <w:spacing w:after="0"/>
              <w:rPr>
                <w:sz w:val="24"/>
                <w:szCs w:val="24"/>
                <w:color w:val="auto"/>
              </w:rPr>
            </w:pPr>
          </w:p>
        </w:tc>
      </w:tr>
      <w:tr>
        <w:trPr>
          <w:trHeight w:val="203"/>
        </w:trPr>
        <w:tc>
          <w:tcPr>
            <w:tcW w:w="200" w:type="dxa"/>
            <w:vAlign w:val="bottom"/>
          </w:tcPr>
          <w:p>
            <w:pPr>
              <w:spacing w:after="0"/>
              <w:rPr>
                <w:sz w:val="17"/>
                <w:szCs w:val="17"/>
                <w:color w:val="auto"/>
              </w:rPr>
            </w:pPr>
          </w:p>
        </w:tc>
        <w:tc>
          <w:tcPr>
            <w:tcW w:w="3180" w:type="dxa"/>
            <w:vAlign w:val="bottom"/>
            <w:shd w:val="clear" w:color="auto" w:fill="D8F5FA"/>
          </w:tcPr>
          <w:p>
            <w:pPr>
              <w:spacing w:after="0"/>
              <w:rPr>
                <w:sz w:val="17"/>
                <w:szCs w:val="17"/>
                <w:color w:val="auto"/>
              </w:rPr>
            </w:pPr>
          </w:p>
        </w:tc>
        <w:tc>
          <w:tcPr>
            <w:tcW w:w="7420" w:type="dxa"/>
            <w:vAlign w:val="bottom"/>
            <w:shd w:val="clear" w:color="auto" w:fill="D8F5FA"/>
          </w:tcPr>
          <w:p>
            <w:pPr>
              <w:ind w:left="220"/>
              <w:spacing w:after="0" w:line="202" w:lineRule="exact"/>
              <w:rPr>
                <w:sz w:val="20"/>
                <w:szCs w:val="20"/>
                <w:color w:val="auto"/>
              </w:rPr>
            </w:pPr>
            <w:r>
              <w:rPr>
                <w:rFonts w:ascii="Arial" w:cs="Arial" w:eastAsia="Arial" w:hAnsi="Arial"/>
                <w:sz w:val="18"/>
                <w:szCs w:val="18"/>
                <w:color w:val="3E3935"/>
              </w:rPr>
              <w:t>GM’s corporate giving seeks to fund inclusive and sustainable solutions to common social</w:t>
            </w:r>
          </w:p>
        </w:tc>
        <w:tc>
          <w:tcPr>
            <w:tcW w:w="200" w:type="dxa"/>
            <w:vAlign w:val="bottom"/>
          </w:tcPr>
          <w:p>
            <w:pPr>
              <w:spacing w:after="0"/>
              <w:rPr>
                <w:sz w:val="17"/>
                <w:szCs w:val="17"/>
                <w:color w:val="auto"/>
              </w:rPr>
            </w:pPr>
          </w:p>
        </w:tc>
      </w:tr>
      <w:tr>
        <w:trPr>
          <w:trHeight w:val="203"/>
        </w:trPr>
        <w:tc>
          <w:tcPr>
            <w:tcW w:w="200" w:type="dxa"/>
            <w:vAlign w:val="bottom"/>
          </w:tcPr>
          <w:p>
            <w:pPr>
              <w:spacing w:after="0"/>
              <w:rPr>
                <w:sz w:val="17"/>
                <w:szCs w:val="17"/>
                <w:color w:val="auto"/>
              </w:rPr>
            </w:pPr>
          </w:p>
        </w:tc>
        <w:tc>
          <w:tcPr>
            <w:tcW w:w="3180" w:type="dxa"/>
            <w:vAlign w:val="bottom"/>
            <w:shd w:val="clear" w:color="auto" w:fill="D8F5FA"/>
          </w:tcPr>
          <w:p>
            <w:pPr>
              <w:spacing w:after="0"/>
              <w:rPr>
                <w:sz w:val="17"/>
                <w:szCs w:val="17"/>
                <w:color w:val="auto"/>
              </w:rPr>
            </w:pPr>
          </w:p>
        </w:tc>
        <w:tc>
          <w:tcPr>
            <w:tcW w:w="7420" w:type="dxa"/>
            <w:vAlign w:val="bottom"/>
            <w:shd w:val="clear" w:color="auto" w:fill="D8F5FA"/>
          </w:tcPr>
          <w:p>
            <w:pPr>
              <w:ind w:left="220"/>
              <w:spacing w:after="0" w:line="202" w:lineRule="exact"/>
              <w:rPr>
                <w:sz w:val="20"/>
                <w:szCs w:val="20"/>
                <w:color w:val="auto"/>
              </w:rPr>
            </w:pPr>
            <w:r>
              <w:rPr>
                <w:rFonts w:ascii="Arial" w:cs="Arial" w:eastAsia="Arial" w:hAnsi="Arial"/>
                <w:sz w:val="18"/>
                <w:szCs w:val="18"/>
                <w:color w:val="3E3935"/>
              </w:rPr>
              <w:t>issues, with a focus on STEM education, community development, vehicle and road</w:t>
            </w:r>
          </w:p>
        </w:tc>
        <w:tc>
          <w:tcPr>
            <w:tcW w:w="200" w:type="dxa"/>
            <w:vAlign w:val="bottom"/>
          </w:tcPr>
          <w:p>
            <w:pPr>
              <w:spacing w:after="0"/>
              <w:rPr>
                <w:sz w:val="17"/>
                <w:szCs w:val="17"/>
                <w:color w:val="auto"/>
              </w:rPr>
            </w:pPr>
          </w:p>
        </w:tc>
      </w:tr>
      <w:tr>
        <w:trPr>
          <w:trHeight w:val="203"/>
        </w:trPr>
        <w:tc>
          <w:tcPr>
            <w:tcW w:w="200" w:type="dxa"/>
            <w:vAlign w:val="bottom"/>
          </w:tcPr>
          <w:p>
            <w:pPr>
              <w:spacing w:after="0"/>
              <w:rPr>
                <w:sz w:val="17"/>
                <w:szCs w:val="17"/>
                <w:color w:val="auto"/>
              </w:rPr>
            </w:pPr>
          </w:p>
        </w:tc>
        <w:tc>
          <w:tcPr>
            <w:tcW w:w="3180" w:type="dxa"/>
            <w:vAlign w:val="bottom"/>
            <w:shd w:val="clear" w:color="auto" w:fill="D8F5FA"/>
          </w:tcPr>
          <w:p>
            <w:pPr>
              <w:spacing w:after="0"/>
              <w:rPr>
                <w:sz w:val="17"/>
                <w:szCs w:val="17"/>
                <w:color w:val="auto"/>
              </w:rPr>
            </w:pPr>
          </w:p>
        </w:tc>
        <w:tc>
          <w:tcPr>
            <w:tcW w:w="7420" w:type="dxa"/>
            <w:vAlign w:val="bottom"/>
            <w:shd w:val="clear" w:color="auto" w:fill="D8F5FA"/>
          </w:tcPr>
          <w:p>
            <w:pPr>
              <w:ind w:left="220"/>
              <w:spacing w:after="0" w:line="202" w:lineRule="exact"/>
              <w:rPr>
                <w:sz w:val="20"/>
                <w:szCs w:val="20"/>
                <w:color w:val="auto"/>
              </w:rPr>
            </w:pPr>
            <w:r>
              <w:rPr>
                <w:rFonts w:ascii="Arial" w:cs="Arial" w:eastAsia="Arial" w:hAnsi="Arial"/>
                <w:sz w:val="18"/>
                <w:szCs w:val="18"/>
                <w:color w:val="3E3935"/>
              </w:rPr>
              <w:t>safety, and the city of Detroit. For more information, please see our 2022 Corporate</w:t>
            </w:r>
          </w:p>
        </w:tc>
        <w:tc>
          <w:tcPr>
            <w:tcW w:w="200" w:type="dxa"/>
            <w:vAlign w:val="bottom"/>
          </w:tcPr>
          <w:p>
            <w:pPr>
              <w:spacing w:after="0"/>
              <w:rPr>
                <w:sz w:val="17"/>
                <w:szCs w:val="17"/>
                <w:color w:val="auto"/>
              </w:rPr>
            </w:pPr>
          </w:p>
        </w:tc>
      </w:tr>
      <w:tr>
        <w:trPr>
          <w:trHeight w:val="239"/>
        </w:trPr>
        <w:tc>
          <w:tcPr>
            <w:tcW w:w="200" w:type="dxa"/>
            <w:vAlign w:val="bottom"/>
          </w:tcPr>
          <w:p>
            <w:pPr>
              <w:spacing w:after="0"/>
              <w:rPr>
                <w:sz w:val="20"/>
                <w:szCs w:val="20"/>
                <w:color w:val="auto"/>
              </w:rPr>
            </w:pPr>
          </w:p>
        </w:tc>
        <w:tc>
          <w:tcPr>
            <w:tcW w:w="3180" w:type="dxa"/>
            <w:vAlign w:val="bottom"/>
            <w:shd w:val="clear" w:color="auto" w:fill="D8F5FA"/>
          </w:tcPr>
          <w:p>
            <w:pPr>
              <w:spacing w:after="0"/>
              <w:rPr>
                <w:sz w:val="20"/>
                <w:szCs w:val="20"/>
                <w:color w:val="auto"/>
              </w:rPr>
            </w:pPr>
          </w:p>
        </w:tc>
        <w:tc>
          <w:tcPr>
            <w:tcW w:w="7420" w:type="dxa"/>
            <w:vAlign w:val="bottom"/>
            <w:shd w:val="clear" w:color="auto" w:fill="D8F5FA"/>
          </w:tcPr>
          <w:p>
            <w:pPr>
              <w:ind w:left="220"/>
              <w:spacing w:after="0"/>
              <w:rPr>
                <w:sz w:val="20"/>
                <w:szCs w:val="20"/>
                <w:color w:val="auto"/>
              </w:rPr>
            </w:pPr>
            <w:r>
              <w:rPr>
                <w:rFonts w:ascii="Arial" w:cs="Arial" w:eastAsia="Arial" w:hAnsi="Arial"/>
                <w:sz w:val="18"/>
                <w:szCs w:val="18"/>
                <w:color w:val="3E3935"/>
              </w:rPr>
              <w:t>Giving Report.</w:t>
            </w:r>
          </w:p>
        </w:tc>
        <w:tc>
          <w:tcPr>
            <w:tcW w:w="200" w:type="dxa"/>
            <w:vAlign w:val="bottom"/>
          </w:tcPr>
          <w:p>
            <w:pPr>
              <w:spacing w:after="0"/>
              <w:rPr>
                <w:sz w:val="20"/>
                <w:szCs w:val="20"/>
                <w:color w:val="auto"/>
              </w:rPr>
            </w:pPr>
          </w:p>
        </w:tc>
      </w:tr>
      <w:tr>
        <w:trPr>
          <w:trHeight w:val="396"/>
        </w:trPr>
        <w:tc>
          <w:tcPr>
            <w:tcW w:w="200" w:type="dxa"/>
            <w:vAlign w:val="bottom"/>
          </w:tcPr>
          <w:p>
            <w:pPr>
              <w:spacing w:after="0"/>
              <w:rPr>
                <w:sz w:val="24"/>
                <w:szCs w:val="24"/>
                <w:color w:val="auto"/>
              </w:rPr>
            </w:pPr>
          </w:p>
        </w:tc>
        <w:tc>
          <w:tcPr>
            <w:tcW w:w="3180" w:type="dxa"/>
            <w:vAlign w:val="bottom"/>
            <w:shd w:val="clear" w:color="auto" w:fill="D8F5FA"/>
          </w:tcPr>
          <w:p>
            <w:pPr>
              <w:ind w:left="80"/>
              <w:spacing w:after="0"/>
              <w:rPr>
                <w:sz w:val="20"/>
                <w:szCs w:val="20"/>
                <w:color w:val="auto"/>
              </w:rPr>
            </w:pPr>
            <w:r>
              <w:rPr>
                <w:rFonts w:ascii="Arial" w:cs="Arial" w:eastAsia="Arial" w:hAnsi="Arial"/>
                <w:sz w:val="18"/>
                <w:szCs w:val="18"/>
                <w:b w:val="1"/>
                <w:bCs w:val="1"/>
                <w:color w:val="00C1DE"/>
              </w:rPr>
              <w:t>Innovative and Accessible</w:t>
            </w:r>
          </w:p>
        </w:tc>
        <w:tc>
          <w:tcPr>
            <w:tcW w:w="7420" w:type="dxa"/>
            <w:vAlign w:val="bottom"/>
            <w:shd w:val="clear" w:color="auto" w:fill="D8F5FA"/>
          </w:tcPr>
          <w:p>
            <w:pPr>
              <w:ind w:left="220"/>
              <w:spacing w:after="0"/>
              <w:rPr>
                <w:sz w:val="20"/>
                <w:szCs w:val="20"/>
                <w:color w:val="auto"/>
              </w:rPr>
            </w:pPr>
            <w:r>
              <w:rPr>
                <w:rFonts w:ascii="Arial" w:cs="Arial" w:eastAsia="Arial" w:hAnsi="Arial"/>
                <w:sz w:val="18"/>
                <w:szCs w:val="18"/>
                <w:color w:val="3E3935"/>
              </w:rPr>
              <w:t>As we move toward a carbon neutral future, we aspire to lead positive change and</w:t>
            </w:r>
          </w:p>
        </w:tc>
        <w:tc>
          <w:tcPr>
            <w:tcW w:w="200" w:type="dxa"/>
            <w:vAlign w:val="bottom"/>
          </w:tcPr>
          <w:p>
            <w:pPr>
              <w:spacing w:after="0"/>
              <w:rPr>
                <w:sz w:val="24"/>
                <w:szCs w:val="24"/>
                <w:color w:val="auto"/>
              </w:rPr>
            </w:pPr>
          </w:p>
        </w:tc>
      </w:tr>
      <w:tr>
        <w:trPr>
          <w:trHeight w:val="203"/>
        </w:trPr>
        <w:tc>
          <w:tcPr>
            <w:tcW w:w="200" w:type="dxa"/>
            <w:vAlign w:val="bottom"/>
          </w:tcPr>
          <w:p>
            <w:pPr>
              <w:spacing w:after="0"/>
              <w:rPr>
                <w:sz w:val="17"/>
                <w:szCs w:val="17"/>
                <w:color w:val="auto"/>
              </w:rPr>
            </w:pPr>
          </w:p>
        </w:tc>
        <w:tc>
          <w:tcPr>
            <w:tcW w:w="3180" w:type="dxa"/>
            <w:vAlign w:val="bottom"/>
            <w:shd w:val="clear" w:color="auto" w:fill="D8F5FA"/>
          </w:tcPr>
          <w:p>
            <w:pPr>
              <w:ind w:left="80"/>
              <w:spacing w:after="0" w:line="202" w:lineRule="exact"/>
              <w:rPr>
                <w:sz w:val="20"/>
                <w:szCs w:val="20"/>
                <w:color w:val="auto"/>
              </w:rPr>
            </w:pPr>
            <w:r>
              <w:rPr>
                <w:rFonts w:ascii="Arial" w:cs="Arial" w:eastAsia="Arial" w:hAnsi="Arial"/>
                <w:sz w:val="18"/>
                <w:szCs w:val="18"/>
                <w:b w:val="1"/>
                <w:bCs w:val="1"/>
                <w:color w:val="00C1DE"/>
              </w:rPr>
              <w:t>Technology</w:t>
            </w:r>
          </w:p>
        </w:tc>
        <w:tc>
          <w:tcPr>
            <w:tcW w:w="7420" w:type="dxa"/>
            <w:vAlign w:val="bottom"/>
            <w:shd w:val="clear" w:color="auto" w:fill="D8F5FA"/>
          </w:tcPr>
          <w:p>
            <w:pPr>
              <w:ind w:left="220"/>
              <w:spacing w:after="0" w:line="202" w:lineRule="exact"/>
              <w:rPr>
                <w:sz w:val="20"/>
                <w:szCs w:val="20"/>
                <w:color w:val="auto"/>
              </w:rPr>
            </w:pPr>
            <w:r>
              <w:rPr>
                <w:rFonts w:ascii="Arial" w:cs="Arial" w:eastAsia="Arial" w:hAnsi="Arial"/>
                <w:sz w:val="18"/>
                <w:szCs w:val="18"/>
                <w:color w:val="3E3935"/>
              </w:rPr>
              <w:t>implement inclusive solutions that address everyone’s unique needs. One way in which</w:t>
            </w:r>
          </w:p>
        </w:tc>
        <w:tc>
          <w:tcPr>
            <w:tcW w:w="200" w:type="dxa"/>
            <w:vAlign w:val="bottom"/>
          </w:tcPr>
          <w:p>
            <w:pPr>
              <w:spacing w:after="0"/>
              <w:rPr>
                <w:sz w:val="17"/>
                <w:szCs w:val="17"/>
                <w:color w:val="auto"/>
              </w:rPr>
            </w:pPr>
          </w:p>
        </w:tc>
      </w:tr>
      <w:tr>
        <w:trPr>
          <w:trHeight w:val="203"/>
        </w:trPr>
        <w:tc>
          <w:tcPr>
            <w:tcW w:w="200" w:type="dxa"/>
            <w:vAlign w:val="bottom"/>
          </w:tcPr>
          <w:p>
            <w:pPr>
              <w:spacing w:after="0"/>
              <w:rPr>
                <w:sz w:val="17"/>
                <w:szCs w:val="17"/>
                <w:color w:val="auto"/>
              </w:rPr>
            </w:pPr>
          </w:p>
        </w:tc>
        <w:tc>
          <w:tcPr>
            <w:tcW w:w="3180" w:type="dxa"/>
            <w:vAlign w:val="bottom"/>
            <w:shd w:val="clear" w:color="auto" w:fill="D8F5FA"/>
          </w:tcPr>
          <w:p>
            <w:pPr>
              <w:spacing w:after="0"/>
              <w:rPr>
                <w:sz w:val="17"/>
                <w:szCs w:val="17"/>
                <w:color w:val="auto"/>
              </w:rPr>
            </w:pPr>
          </w:p>
        </w:tc>
        <w:tc>
          <w:tcPr>
            <w:tcW w:w="7420" w:type="dxa"/>
            <w:vAlign w:val="bottom"/>
            <w:shd w:val="clear" w:color="auto" w:fill="D8F5FA"/>
          </w:tcPr>
          <w:p>
            <w:pPr>
              <w:ind w:left="220"/>
              <w:spacing w:after="0" w:line="202" w:lineRule="exact"/>
              <w:rPr>
                <w:sz w:val="20"/>
                <w:szCs w:val="20"/>
                <w:color w:val="auto"/>
              </w:rPr>
            </w:pPr>
            <w:r>
              <w:rPr>
                <w:rFonts w:ascii="Arial" w:cs="Arial" w:eastAsia="Arial" w:hAnsi="Arial"/>
                <w:sz w:val="18"/>
                <w:szCs w:val="18"/>
                <w:color w:val="3E3935"/>
              </w:rPr>
              <w:t>we’re doing this is through our Ultium Platform, which is powering our expanding lineup of</w:t>
            </w:r>
          </w:p>
        </w:tc>
        <w:tc>
          <w:tcPr>
            <w:tcW w:w="200" w:type="dxa"/>
            <w:vAlign w:val="bottom"/>
          </w:tcPr>
          <w:p>
            <w:pPr>
              <w:spacing w:after="0"/>
              <w:rPr>
                <w:sz w:val="17"/>
                <w:szCs w:val="17"/>
                <w:color w:val="auto"/>
              </w:rPr>
            </w:pPr>
          </w:p>
        </w:tc>
      </w:tr>
      <w:tr>
        <w:trPr>
          <w:trHeight w:val="203"/>
        </w:trPr>
        <w:tc>
          <w:tcPr>
            <w:tcW w:w="200" w:type="dxa"/>
            <w:vAlign w:val="bottom"/>
          </w:tcPr>
          <w:p>
            <w:pPr>
              <w:spacing w:after="0"/>
              <w:rPr>
                <w:sz w:val="17"/>
                <w:szCs w:val="17"/>
                <w:color w:val="auto"/>
              </w:rPr>
            </w:pPr>
          </w:p>
        </w:tc>
        <w:tc>
          <w:tcPr>
            <w:tcW w:w="3180" w:type="dxa"/>
            <w:vAlign w:val="bottom"/>
            <w:shd w:val="clear" w:color="auto" w:fill="D8F5FA"/>
          </w:tcPr>
          <w:p>
            <w:pPr>
              <w:spacing w:after="0"/>
              <w:rPr>
                <w:sz w:val="17"/>
                <w:szCs w:val="17"/>
                <w:color w:val="auto"/>
              </w:rPr>
            </w:pPr>
          </w:p>
        </w:tc>
        <w:tc>
          <w:tcPr>
            <w:tcW w:w="7420" w:type="dxa"/>
            <w:vAlign w:val="bottom"/>
            <w:shd w:val="clear" w:color="auto" w:fill="D8F5FA"/>
          </w:tcPr>
          <w:p>
            <w:pPr>
              <w:ind w:left="220"/>
              <w:spacing w:after="0" w:line="202" w:lineRule="exact"/>
              <w:rPr>
                <w:sz w:val="20"/>
                <w:szCs w:val="20"/>
                <w:color w:val="auto"/>
              </w:rPr>
            </w:pPr>
            <w:r>
              <w:rPr>
                <w:rFonts w:ascii="Arial" w:cs="Arial" w:eastAsia="Arial" w:hAnsi="Arial"/>
                <w:sz w:val="18"/>
                <w:szCs w:val="18"/>
                <w:color w:val="3E3935"/>
              </w:rPr>
              <w:t>a wide range EVs across most segments and price points, helping to put everyone in an</w:t>
            </w:r>
          </w:p>
        </w:tc>
        <w:tc>
          <w:tcPr>
            <w:tcW w:w="200" w:type="dxa"/>
            <w:vAlign w:val="bottom"/>
          </w:tcPr>
          <w:p>
            <w:pPr>
              <w:spacing w:after="0"/>
              <w:rPr>
                <w:sz w:val="17"/>
                <w:szCs w:val="17"/>
                <w:color w:val="auto"/>
              </w:rPr>
            </w:pPr>
          </w:p>
        </w:tc>
      </w:tr>
      <w:tr>
        <w:trPr>
          <w:trHeight w:val="203"/>
        </w:trPr>
        <w:tc>
          <w:tcPr>
            <w:tcW w:w="200" w:type="dxa"/>
            <w:vAlign w:val="bottom"/>
          </w:tcPr>
          <w:p>
            <w:pPr>
              <w:spacing w:after="0"/>
              <w:rPr>
                <w:sz w:val="17"/>
                <w:szCs w:val="17"/>
                <w:color w:val="auto"/>
              </w:rPr>
            </w:pPr>
          </w:p>
        </w:tc>
        <w:tc>
          <w:tcPr>
            <w:tcW w:w="3180" w:type="dxa"/>
            <w:vAlign w:val="bottom"/>
            <w:shd w:val="clear" w:color="auto" w:fill="D8F5FA"/>
          </w:tcPr>
          <w:p>
            <w:pPr>
              <w:spacing w:after="0"/>
              <w:rPr>
                <w:sz w:val="17"/>
                <w:szCs w:val="17"/>
                <w:color w:val="auto"/>
              </w:rPr>
            </w:pPr>
          </w:p>
        </w:tc>
        <w:tc>
          <w:tcPr>
            <w:tcW w:w="7420" w:type="dxa"/>
            <w:vAlign w:val="bottom"/>
            <w:shd w:val="clear" w:color="auto" w:fill="D8F5FA"/>
          </w:tcPr>
          <w:p>
            <w:pPr>
              <w:ind w:left="220"/>
              <w:spacing w:after="0" w:line="202" w:lineRule="exact"/>
              <w:rPr>
                <w:sz w:val="20"/>
                <w:szCs w:val="20"/>
                <w:color w:val="auto"/>
              </w:rPr>
            </w:pPr>
            <w:r>
              <w:rPr>
                <w:rFonts w:ascii="Arial" w:cs="Arial" w:eastAsia="Arial" w:hAnsi="Arial"/>
                <w:sz w:val="18"/>
                <w:szCs w:val="18"/>
                <w:color w:val="3E3935"/>
              </w:rPr>
              <w:t>EV. We are also working to increase EV charging infrastructure and expand the</w:t>
            </w:r>
          </w:p>
        </w:tc>
        <w:tc>
          <w:tcPr>
            <w:tcW w:w="200" w:type="dxa"/>
            <w:vAlign w:val="bottom"/>
          </w:tcPr>
          <w:p>
            <w:pPr>
              <w:spacing w:after="0"/>
              <w:rPr>
                <w:sz w:val="17"/>
                <w:szCs w:val="17"/>
                <w:color w:val="auto"/>
              </w:rPr>
            </w:pPr>
          </w:p>
        </w:tc>
      </w:tr>
      <w:tr>
        <w:trPr>
          <w:trHeight w:val="239"/>
        </w:trPr>
        <w:tc>
          <w:tcPr>
            <w:tcW w:w="200" w:type="dxa"/>
            <w:vAlign w:val="bottom"/>
          </w:tcPr>
          <w:p>
            <w:pPr>
              <w:spacing w:after="0"/>
              <w:rPr>
                <w:sz w:val="20"/>
                <w:szCs w:val="20"/>
                <w:color w:val="auto"/>
              </w:rPr>
            </w:pPr>
          </w:p>
        </w:tc>
        <w:tc>
          <w:tcPr>
            <w:tcW w:w="3180" w:type="dxa"/>
            <w:vAlign w:val="bottom"/>
            <w:shd w:val="clear" w:color="auto" w:fill="D8F5FA"/>
          </w:tcPr>
          <w:p>
            <w:pPr>
              <w:spacing w:after="0"/>
              <w:rPr>
                <w:sz w:val="20"/>
                <w:szCs w:val="20"/>
                <w:color w:val="auto"/>
              </w:rPr>
            </w:pPr>
          </w:p>
        </w:tc>
        <w:tc>
          <w:tcPr>
            <w:tcW w:w="7420" w:type="dxa"/>
            <w:vAlign w:val="bottom"/>
            <w:shd w:val="clear" w:color="auto" w:fill="D8F5FA"/>
          </w:tcPr>
          <w:p>
            <w:pPr>
              <w:ind w:left="220"/>
              <w:spacing w:after="0"/>
              <w:rPr>
                <w:sz w:val="20"/>
                <w:szCs w:val="20"/>
                <w:color w:val="auto"/>
              </w:rPr>
            </w:pPr>
            <w:r>
              <w:rPr>
                <w:rFonts w:ascii="Arial" w:cs="Arial" w:eastAsia="Arial" w:hAnsi="Arial"/>
                <w:sz w:val="18"/>
                <w:szCs w:val="18"/>
                <w:color w:val="3E3935"/>
              </w:rPr>
              <w:t>availability of driverless rideshare services through Cruise.</w:t>
            </w:r>
          </w:p>
        </w:tc>
        <w:tc>
          <w:tcPr>
            <w:tcW w:w="200" w:type="dxa"/>
            <w:vAlign w:val="bottom"/>
          </w:tcPr>
          <w:p>
            <w:pPr>
              <w:spacing w:after="0"/>
              <w:rPr>
                <w:sz w:val="20"/>
                <w:szCs w:val="20"/>
                <w:color w:val="auto"/>
              </w:rPr>
            </w:pPr>
          </w:p>
        </w:tc>
      </w:tr>
      <w:tr>
        <w:trPr>
          <w:trHeight w:val="91"/>
        </w:trPr>
        <w:tc>
          <w:tcPr>
            <w:tcW w:w="200" w:type="dxa"/>
            <w:vAlign w:val="bottom"/>
          </w:tcPr>
          <w:p>
            <w:pPr>
              <w:spacing w:after="0"/>
              <w:rPr>
                <w:sz w:val="7"/>
                <w:szCs w:val="7"/>
                <w:color w:val="auto"/>
              </w:rPr>
            </w:pPr>
          </w:p>
        </w:tc>
        <w:tc>
          <w:tcPr>
            <w:tcW w:w="3180" w:type="dxa"/>
            <w:vAlign w:val="bottom"/>
            <w:shd w:val="clear" w:color="auto" w:fill="D8F5FA"/>
          </w:tcPr>
          <w:p>
            <w:pPr>
              <w:spacing w:after="0"/>
              <w:rPr>
                <w:sz w:val="7"/>
                <w:szCs w:val="7"/>
                <w:color w:val="auto"/>
              </w:rPr>
            </w:pPr>
          </w:p>
        </w:tc>
        <w:tc>
          <w:tcPr>
            <w:tcW w:w="7420" w:type="dxa"/>
            <w:vAlign w:val="bottom"/>
            <w:shd w:val="clear" w:color="auto" w:fill="D8F5FA"/>
          </w:tcPr>
          <w:p>
            <w:pPr>
              <w:spacing w:after="0"/>
              <w:rPr>
                <w:sz w:val="7"/>
                <w:szCs w:val="7"/>
                <w:color w:val="auto"/>
              </w:rPr>
            </w:pPr>
          </w:p>
        </w:tc>
        <w:tc>
          <w:tcPr>
            <w:tcW w:w="200" w:type="dxa"/>
            <w:vAlign w:val="bottom"/>
          </w:tcPr>
          <w:p>
            <w:pPr>
              <w:spacing w:after="0"/>
              <w:rPr>
                <w:sz w:val="7"/>
                <w:szCs w:val="7"/>
                <w:color w:val="auto"/>
              </w:rPr>
            </w:pPr>
          </w:p>
        </w:tc>
      </w:tr>
      <w:tr>
        <w:trPr>
          <w:trHeight w:val="179"/>
        </w:trPr>
        <w:tc>
          <w:tcPr>
            <w:tcW w:w="200" w:type="dxa"/>
            <w:vAlign w:val="bottom"/>
            <w:tcBorders>
              <w:bottom w:val="single" w:sz="8" w:color="00C1DE"/>
            </w:tcBorders>
          </w:tcPr>
          <w:p>
            <w:pPr>
              <w:spacing w:after="0"/>
              <w:rPr>
                <w:sz w:val="15"/>
                <w:szCs w:val="15"/>
                <w:color w:val="auto"/>
              </w:rPr>
            </w:pPr>
          </w:p>
        </w:tc>
        <w:tc>
          <w:tcPr>
            <w:tcW w:w="3180" w:type="dxa"/>
            <w:vAlign w:val="bottom"/>
            <w:tcBorders>
              <w:bottom w:val="single" w:sz="8" w:color="00C1DE"/>
            </w:tcBorders>
          </w:tcPr>
          <w:p>
            <w:pPr>
              <w:spacing w:after="0"/>
              <w:rPr>
                <w:sz w:val="15"/>
                <w:szCs w:val="15"/>
                <w:color w:val="auto"/>
              </w:rPr>
            </w:pPr>
          </w:p>
        </w:tc>
        <w:tc>
          <w:tcPr>
            <w:tcW w:w="7420" w:type="dxa"/>
            <w:vAlign w:val="bottom"/>
            <w:tcBorders>
              <w:bottom w:val="single" w:sz="8" w:color="00C1DE"/>
            </w:tcBorders>
          </w:tcPr>
          <w:p>
            <w:pPr>
              <w:spacing w:after="0"/>
              <w:rPr>
                <w:sz w:val="15"/>
                <w:szCs w:val="15"/>
                <w:color w:val="auto"/>
              </w:rPr>
            </w:pPr>
          </w:p>
        </w:tc>
        <w:tc>
          <w:tcPr>
            <w:tcW w:w="200" w:type="dxa"/>
            <w:vAlign w:val="bottom"/>
            <w:tcBorders>
              <w:bottom w:val="single" w:sz="8" w:color="00C1DE"/>
            </w:tcBorders>
          </w:tcPr>
          <w:p>
            <w:pPr>
              <w:spacing w:after="0"/>
              <w:rPr>
                <w:sz w:val="15"/>
                <w:szCs w:val="15"/>
                <w:color w:val="auto"/>
              </w:rPr>
            </w:pPr>
          </w:p>
        </w:tc>
      </w:tr>
      <w:tr>
        <w:trPr>
          <w:trHeight w:val="333"/>
        </w:trPr>
        <w:tc>
          <w:tcPr>
            <w:tcW w:w="20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7420" w:type="dxa"/>
            <w:vAlign w:val="bottom"/>
          </w:tcPr>
          <w:p>
            <w:pPr>
              <w:ind w:left="7240"/>
              <w:spacing w:after="0"/>
              <w:rPr>
                <w:sz w:val="20"/>
                <w:szCs w:val="20"/>
                <w:color w:val="auto"/>
              </w:rPr>
            </w:pPr>
            <w:r>
              <w:rPr>
                <w:rFonts w:ascii="Arial" w:cs="Arial" w:eastAsia="Arial" w:hAnsi="Arial"/>
                <w:sz w:val="14"/>
                <w:szCs w:val="14"/>
                <w:color w:val="0071CE"/>
              </w:rPr>
              <w:t>9</w:t>
            </w:r>
          </w:p>
        </w:tc>
        <w:tc>
          <w:tcPr>
            <w:tcW w:w="200" w:type="dxa"/>
            <w:vAlign w:val="bottom"/>
          </w:tcPr>
          <w:p>
            <w:pPr>
              <w:spacing w:after="0"/>
              <w:rPr>
                <w:sz w:val="24"/>
                <w:szCs w:val="24"/>
                <w:color w:val="auto"/>
              </w:rPr>
            </w:pPr>
          </w:p>
        </w:tc>
      </w:tr>
    </w:tbl>
    <w:p>
      <w:pPr>
        <w:sectPr>
          <w:pgSz w:w="11900" w:h="16838" w:orient="portrait"/>
          <w:cols w:equalWidth="0" w:num="1">
            <w:col w:w="11120"/>
          </w:cols>
          <w:pgMar w:left="320" w:top="482" w:right="45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75565</wp:posOffset>
            </wp:positionH>
            <wp:positionV relativeFrom="paragraph">
              <wp:posOffset>210185</wp:posOffset>
            </wp:positionV>
            <wp:extent cx="6990715" cy="615886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990715" cy="6158865"/>
                    </a:xfrm>
                    <a:prstGeom prst="rect">
                      <a:avLst/>
                    </a:prstGeom>
                    <a:noFill/>
                  </pic:spPr>
                </pic:pic>
              </a:graphicData>
            </a:graphic>
          </wp:anchor>
        </w:drawing>
      </w:r>
    </w:p>
    <w:p>
      <w:pPr>
        <w:spacing w:after="0" w:line="200" w:lineRule="exact"/>
        <w:rPr>
          <w:sz w:val="20"/>
          <w:szCs w:val="20"/>
          <w:color w:val="auto"/>
        </w:rPr>
      </w:pPr>
    </w:p>
    <w:p>
      <w:pPr>
        <w:spacing w:after="0" w:line="288" w:lineRule="exact"/>
        <w:rPr>
          <w:sz w:val="20"/>
          <w:szCs w:val="20"/>
          <w:color w:val="auto"/>
        </w:rPr>
      </w:pPr>
    </w:p>
    <w:p>
      <w:pPr>
        <w:ind w:left="820" w:hanging="504"/>
        <w:spacing w:after="0"/>
        <w:tabs>
          <w:tab w:leader="none" w:pos="820" w:val="left"/>
        </w:tabs>
        <w:numPr>
          <w:ilvl w:val="0"/>
          <w:numId w:val="14"/>
        </w:numPr>
        <w:rPr>
          <w:rFonts w:ascii="Times New Roman" w:cs="Times New Roman" w:eastAsia="Times New Roman" w:hAnsi="Times New Roman"/>
          <w:sz w:val="19"/>
          <w:szCs w:val="19"/>
          <w:color w:val="0071CE"/>
        </w:rPr>
      </w:pPr>
      <w:r>
        <w:rPr>
          <w:rFonts w:ascii="Arial" w:cs="Arial" w:eastAsia="Arial" w:hAnsi="Arial"/>
          <w:sz w:val="25"/>
          <w:szCs w:val="25"/>
          <w:color w:val="3E3935"/>
        </w:rPr>
        <w:t>Governance Highlights</w:t>
      </w:r>
    </w:p>
    <w:p>
      <w:pPr>
        <w:spacing w:after="0" w:line="118" w:lineRule="exact"/>
        <w:rPr>
          <w:sz w:val="20"/>
          <w:szCs w:val="20"/>
          <w:color w:val="auto"/>
        </w:rPr>
      </w:pPr>
    </w:p>
    <w:p>
      <w:pPr>
        <w:jc w:val="both"/>
        <w:ind w:left="320"/>
        <w:spacing w:after="0" w:line="257" w:lineRule="auto"/>
        <w:rPr>
          <w:sz w:val="20"/>
          <w:szCs w:val="20"/>
          <w:color w:val="auto"/>
        </w:rPr>
      </w:pPr>
      <w:r>
        <w:rPr>
          <w:rFonts w:ascii="Arial" w:cs="Arial" w:eastAsia="Arial" w:hAnsi="Arial"/>
          <w:sz w:val="20"/>
          <w:szCs w:val="20"/>
          <w:color w:val="3E3935"/>
        </w:rPr>
        <w:t>The Board is committed to governance structures and practices that protect shareholder value and important shareholder rights, including the following: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both"/>
        <w:ind w:left="320"/>
        <w:spacing w:after="0" w:line="237" w:lineRule="auto"/>
        <w:rPr>
          <w:sz w:val="20"/>
          <w:szCs w:val="20"/>
          <w:color w:val="auto"/>
        </w:rPr>
      </w:pPr>
      <w:r>
        <w:rPr>
          <w:rFonts w:ascii="Arial" w:cs="Arial" w:eastAsia="Arial" w:hAnsi="Arial"/>
          <w:sz w:val="20"/>
          <w:szCs w:val="20"/>
          <w:color w:val="3E3935"/>
        </w:rPr>
        <w:t>The Governance Committee regularly reviews these structures and practices and makes updates as appropriate. For example, in April 2023, in response to shareholder feedback and in consideration of governance best practices, the Board lowered the threshold for shareholders to call a special meeting to shares representing 15 percent of the Company’s voting power.</w:t>
      </w:r>
    </w:p>
    <w:p>
      <w:pPr>
        <w:spacing w:after="0" w:line="319" w:lineRule="exact"/>
        <w:rPr>
          <w:sz w:val="20"/>
          <w:szCs w:val="20"/>
          <w:color w:val="auto"/>
        </w:rPr>
      </w:pPr>
    </w:p>
    <w:p>
      <w:pPr>
        <w:ind w:left="120"/>
        <w:spacing w:after="0"/>
        <w:rPr>
          <w:sz w:val="20"/>
          <w:szCs w:val="20"/>
          <w:color w:val="auto"/>
        </w:rPr>
      </w:pPr>
      <w:r>
        <w:rPr>
          <w:rFonts w:ascii="Arial" w:cs="Arial" w:eastAsia="Arial" w:hAnsi="Arial"/>
          <w:sz w:val="14"/>
          <w:szCs w:val="14"/>
          <w:color w:val="0071CE"/>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236220</wp:posOffset>
            </wp:positionH>
            <wp:positionV relativeFrom="paragraph">
              <wp:posOffset>-95885</wp:posOffset>
            </wp:positionV>
            <wp:extent cx="5983605" cy="10287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983605" cy="102870"/>
                    </a:xfrm>
                    <a:prstGeom prst="rect">
                      <a:avLst/>
                    </a:prstGeom>
                    <a:noFill/>
                  </pic:spPr>
                </pic:pic>
              </a:graphicData>
            </a:graphic>
          </wp:anchor>
        </w:drawing>
      </w:r>
    </w:p>
    <w:p>
      <w:pPr>
        <w:sectPr>
          <w:pgSz w:w="11900" w:h="16838" w:orient="portrait"/>
          <w:cols w:equalWidth="0" w:num="1">
            <w:col w:w="10920"/>
          </w:cols>
          <w:pgMar w:left="320" w:top="482" w:right="65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75565</wp:posOffset>
            </wp:positionH>
            <wp:positionV relativeFrom="paragraph">
              <wp:posOffset>210185</wp:posOffset>
            </wp:positionV>
            <wp:extent cx="6990715" cy="78994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990715" cy="789940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20"/>
        <w:spacing w:after="0"/>
        <w:rPr>
          <w:sz w:val="20"/>
          <w:szCs w:val="20"/>
          <w:color w:val="auto"/>
        </w:rPr>
      </w:pPr>
      <w:r>
        <w:rPr>
          <w:rFonts w:ascii="Arial" w:cs="Arial" w:eastAsia="Arial" w:hAnsi="Arial"/>
          <w:sz w:val="29"/>
          <w:szCs w:val="29"/>
          <w:color w:val="3E3935"/>
        </w:rPr>
        <w:t>Our Purpose, Values, and Behaviors</w:t>
      </w:r>
    </w:p>
    <w:p>
      <w:pPr>
        <w:spacing w:after="0" w:line="135" w:lineRule="exact"/>
        <w:rPr>
          <w:sz w:val="20"/>
          <w:szCs w:val="20"/>
          <w:color w:val="auto"/>
        </w:rPr>
      </w:pPr>
    </w:p>
    <w:p>
      <w:pPr>
        <w:ind w:left="820" w:hanging="504"/>
        <w:spacing w:after="0"/>
        <w:tabs>
          <w:tab w:leader="none" w:pos="820" w:val="left"/>
        </w:tabs>
        <w:numPr>
          <w:ilvl w:val="0"/>
          <w:numId w:val="15"/>
        </w:numPr>
        <w:rPr>
          <w:rFonts w:ascii="Times New Roman" w:cs="Times New Roman" w:eastAsia="Times New Roman" w:hAnsi="Times New Roman"/>
          <w:sz w:val="19"/>
          <w:szCs w:val="19"/>
          <w:color w:val="0071CE"/>
        </w:rPr>
      </w:pPr>
      <w:r>
        <w:rPr>
          <w:rFonts w:ascii="Arial" w:cs="Arial" w:eastAsia="Arial" w:hAnsi="Arial"/>
          <w:sz w:val="25"/>
          <w:szCs w:val="25"/>
          <w:color w:val="3E3935"/>
        </w:rPr>
        <w:t>Our Purpose</w:t>
      </w:r>
    </w:p>
    <w:p>
      <w:pPr>
        <w:spacing w:after="0" w:line="118" w:lineRule="exact"/>
        <w:rPr>
          <w:sz w:val="20"/>
          <w:szCs w:val="20"/>
          <w:color w:val="auto"/>
        </w:rPr>
      </w:pPr>
    </w:p>
    <w:p>
      <w:pPr>
        <w:jc w:val="both"/>
        <w:ind w:left="320"/>
        <w:spacing w:after="0" w:line="241" w:lineRule="auto"/>
        <w:rPr>
          <w:sz w:val="20"/>
          <w:szCs w:val="20"/>
          <w:color w:val="auto"/>
        </w:rPr>
      </w:pPr>
      <w:r>
        <w:rPr>
          <w:rFonts w:ascii="Arial" w:cs="Arial" w:eastAsia="Arial" w:hAnsi="Arial"/>
          <w:sz w:val="20"/>
          <w:szCs w:val="20"/>
          <w:color w:val="3E3935"/>
        </w:rPr>
        <w:t>To provide greater focus during a period of unprecedented change, we created a statement on the collective purpose of the GM team. It’s a simple but powerful statement that honors our heritage of innovation, captures who we are when we’re at our best, and guides us into our future:</w:t>
      </w:r>
    </w:p>
    <w:p>
      <w:pPr>
        <w:spacing w:after="0" w:line="168" w:lineRule="exact"/>
        <w:rPr>
          <w:sz w:val="20"/>
          <w:szCs w:val="20"/>
          <w:color w:val="auto"/>
        </w:rPr>
      </w:pPr>
    </w:p>
    <w:p>
      <w:pPr>
        <w:ind w:left="1140"/>
        <w:spacing w:after="0"/>
        <w:rPr>
          <w:sz w:val="20"/>
          <w:szCs w:val="20"/>
          <w:color w:val="auto"/>
        </w:rPr>
      </w:pPr>
      <w:r>
        <w:rPr>
          <w:rFonts w:ascii="Arial" w:cs="Arial" w:eastAsia="Arial" w:hAnsi="Arial"/>
          <w:sz w:val="25"/>
          <w:szCs w:val="25"/>
          <w:b w:val="1"/>
          <w:bCs w:val="1"/>
          <w:color w:val="0071CE"/>
        </w:rPr>
        <w:t>We pioneer the innovations that move and connect people to what matters.</w:t>
      </w:r>
    </w:p>
    <w:p>
      <w:pPr>
        <w:spacing w:after="0" w:line="376" w:lineRule="exact"/>
        <w:rPr>
          <w:sz w:val="20"/>
          <w:szCs w:val="20"/>
          <w:color w:val="auto"/>
        </w:rPr>
      </w:pPr>
    </w:p>
    <w:p>
      <w:pPr>
        <w:ind w:left="820" w:hanging="504"/>
        <w:spacing w:after="0"/>
        <w:tabs>
          <w:tab w:leader="none" w:pos="820" w:val="left"/>
        </w:tabs>
        <w:numPr>
          <w:ilvl w:val="0"/>
          <w:numId w:val="16"/>
        </w:numPr>
        <w:rPr>
          <w:rFonts w:ascii="Times New Roman" w:cs="Times New Roman" w:eastAsia="Times New Roman" w:hAnsi="Times New Roman"/>
          <w:sz w:val="19"/>
          <w:szCs w:val="19"/>
          <w:color w:val="0071CE"/>
        </w:rPr>
      </w:pPr>
      <w:r>
        <w:rPr>
          <w:rFonts w:ascii="Arial" w:cs="Arial" w:eastAsia="Arial" w:hAnsi="Arial"/>
          <w:sz w:val="25"/>
          <w:szCs w:val="25"/>
          <w:color w:val="3E3935"/>
        </w:rPr>
        <w:t>Our Values</w:t>
      </w:r>
    </w:p>
    <w:p>
      <w:pPr>
        <w:sectPr>
          <w:pgSz w:w="11900" w:h="16838" w:orient="portrait"/>
          <w:cols w:equalWidth="0" w:num="1">
            <w:col w:w="10920"/>
          </w:cols>
          <w:pgMar w:left="320" w:top="482" w:right="659" w:bottom="1440" w:gutter="0" w:footer="0" w:header="0"/>
        </w:sectPr>
      </w:pPr>
    </w:p>
    <w:p>
      <w:pPr>
        <w:spacing w:after="0" w:line="249" w:lineRule="exact"/>
        <w:rPr>
          <w:sz w:val="20"/>
          <w:szCs w:val="20"/>
          <w:color w:val="auto"/>
        </w:rPr>
      </w:pPr>
    </w:p>
    <w:p>
      <w:pPr>
        <w:ind w:left="320"/>
        <w:spacing w:after="0"/>
        <w:rPr>
          <w:sz w:val="20"/>
          <w:szCs w:val="20"/>
          <w:color w:val="auto"/>
        </w:rPr>
      </w:pPr>
      <w:r>
        <w:rPr>
          <w:rFonts w:ascii="Arial" w:cs="Arial" w:eastAsia="Arial" w:hAnsi="Arial"/>
          <w:sz w:val="22"/>
          <w:szCs w:val="22"/>
          <w:color w:val="0071CE"/>
        </w:rPr>
        <w:t>Customers</w:t>
      </w:r>
    </w:p>
    <w:p>
      <w:pPr>
        <w:spacing w:after="0" w:line="116" w:lineRule="exact"/>
        <w:rPr>
          <w:sz w:val="20"/>
          <w:szCs w:val="20"/>
          <w:color w:val="auto"/>
        </w:rPr>
      </w:pPr>
    </w:p>
    <w:p>
      <w:pPr>
        <w:jc w:val="both"/>
        <w:ind w:left="320"/>
        <w:spacing w:after="0" w:line="237" w:lineRule="auto"/>
        <w:rPr>
          <w:sz w:val="20"/>
          <w:szCs w:val="20"/>
          <w:color w:val="auto"/>
        </w:rPr>
      </w:pPr>
      <w:r>
        <w:rPr>
          <w:rFonts w:ascii="Arial" w:cs="Arial" w:eastAsia="Arial" w:hAnsi="Arial"/>
          <w:sz w:val="20"/>
          <w:szCs w:val="20"/>
          <w:color w:val="3E3935"/>
        </w:rPr>
        <w:t>We put the customer at the center of everything we do. We listen intently to our customers’ needs. Each interaction matters. Safety and quality are foundational commitments, never compromised.</w:t>
      </w:r>
    </w:p>
    <w:p>
      <w:pPr>
        <w:spacing w:after="0" w:line="20" w:lineRule="exact"/>
        <w:rPr>
          <w:sz w:val="20"/>
          <w:szCs w:val="20"/>
          <w:color w:val="auto"/>
        </w:rPr>
      </w:pPr>
      <w:r>
        <w:rPr>
          <w:sz w:val="20"/>
          <w:szCs w:val="20"/>
          <w:color w:val="auto"/>
        </w:rPr>
        <w:br w:type="column"/>
      </w:r>
    </w:p>
    <w:p>
      <w:pPr>
        <w:spacing w:after="0" w:line="229" w:lineRule="exact"/>
        <w:rPr>
          <w:sz w:val="20"/>
          <w:szCs w:val="20"/>
          <w:color w:val="auto"/>
        </w:rPr>
      </w:pPr>
    </w:p>
    <w:p>
      <w:pPr>
        <w:spacing w:after="0"/>
        <w:rPr>
          <w:sz w:val="20"/>
          <w:szCs w:val="20"/>
          <w:color w:val="auto"/>
        </w:rPr>
      </w:pPr>
      <w:r>
        <w:rPr>
          <w:rFonts w:ascii="Arial" w:cs="Arial" w:eastAsia="Arial" w:hAnsi="Arial"/>
          <w:sz w:val="22"/>
          <w:szCs w:val="22"/>
          <w:color w:val="0071CE"/>
        </w:rPr>
        <w:t>Excellence</w:t>
      </w:r>
    </w:p>
    <w:p>
      <w:pPr>
        <w:spacing w:after="0" w:line="116" w:lineRule="exact"/>
        <w:rPr>
          <w:sz w:val="20"/>
          <w:szCs w:val="20"/>
          <w:color w:val="auto"/>
        </w:rPr>
      </w:pPr>
    </w:p>
    <w:p>
      <w:pPr>
        <w:jc w:val="both"/>
        <w:spacing w:after="0" w:line="237" w:lineRule="auto"/>
        <w:rPr>
          <w:sz w:val="20"/>
          <w:szCs w:val="20"/>
          <w:color w:val="auto"/>
        </w:rPr>
      </w:pPr>
      <w:r>
        <w:rPr>
          <w:rFonts w:ascii="Arial" w:cs="Arial" w:eastAsia="Arial" w:hAnsi="Arial"/>
          <w:sz w:val="20"/>
          <w:szCs w:val="20"/>
          <w:color w:val="3E3935"/>
        </w:rPr>
        <w:t>We act with integrity. We are driven by ingenuity and innovation. We have the courage to do and say what’s difficult. Each of us takes accountability for results, drives for continued efficiencies, and has the tenacity to win.</w:t>
      </w:r>
    </w:p>
    <w:p>
      <w:pPr>
        <w:spacing w:after="0" w:line="200" w:lineRule="exact"/>
        <w:rPr>
          <w:sz w:val="20"/>
          <w:szCs w:val="20"/>
          <w:color w:val="auto"/>
        </w:rPr>
      </w:pPr>
    </w:p>
    <w:p>
      <w:pPr>
        <w:sectPr>
          <w:pgSz w:w="11900" w:h="16838" w:orient="portrait"/>
          <w:cols w:equalWidth="0" w:num="2">
            <w:col w:w="5720" w:space="120"/>
            <w:col w:w="5080"/>
          </w:cols>
          <w:pgMar w:left="320" w:top="482" w:right="659" w:bottom="1440" w:gutter="0" w:footer="0" w:header="0"/>
          <w:type w:val="continuous"/>
        </w:sectPr>
      </w:pPr>
    </w:p>
    <w:p>
      <w:pPr>
        <w:spacing w:after="0" w:line="61" w:lineRule="exact"/>
        <w:rPr>
          <w:sz w:val="20"/>
          <w:szCs w:val="20"/>
          <w:color w:val="auto"/>
        </w:rPr>
      </w:pPr>
    </w:p>
    <w:p>
      <w:pPr>
        <w:ind w:left="320"/>
        <w:spacing w:after="0"/>
        <w:tabs>
          <w:tab w:leader="none" w:pos="5820" w:val="left"/>
        </w:tabs>
        <w:rPr>
          <w:sz w:val="20"/>
          <w:szCs w:val="20"/>
          <w:color w:val="auto"/>
        </w:rPr>
      </w:pPr>
      <w:r>
        <w:rPr>
          <w:rFonts w:ascii="Arial" w:cs="Arial" w:eastAsia="Arial" w:hAnsi="Arial"/>
          <w:sz w:val="22"/>
          <w:szCs w:val="22"/>
          <w:color w:val="0071CE"/>
        </w:rPr>
        <w:t>Relationships</w:t>
      </w:r>
      <w:r>
        <w:rPr>
          <w:sz w:val="20"/>
          <w:szCs w:val="20"/>
          <w:color w:val="auto"/>
        </w:rPr>
        <w:tab/>
      </w:r>
      <w:r>
        <w:rPr>
          <w:rFonts w:ascii="Arial" w:cs="Arial" w:eastAsia="Arial" w:hAnsi="Arial"/>
          <w:sz w:val="22"/>
          <w:szCs w:val="22"/>
          <w:color w:val="0071CE"/>
        </w:rPr>
        <w:t>Seek Truth</w:t>
      </w:r>
    </w:p>
    <w:p>
      <w:pPr>
        <w:spacing w:after="0" w:line="116" w:lineRule="exact"/>
        <w:rPr>
          <w:sz w:val="20"/>
          <w:szCs w:val="20"/>
          <w:color w:val="auto"/>
        </w:rPr>
      </w:pPr>
    </w:p>
    <w:p>
      <w:pPr>
        <w:ind w:left="320"/>
        <w:spacing w:after="0" w:line="237" w:lineRule="auto"/>
        <w:rPr>
          <w:sz w:val="20"/>
          <w:szCs w:val="20"/>
          <w:color w:val="auto"/>
        </w:rPr>
      </w:pPr>
      <w:r>
        <w:rPr>
          <w:rFonts w:ascii="Arial" w:cs="Arial" w:eastAsia="Arial" w:hAnsi="Arial"/>
          <w:sz w:val="20"/>
          <w:szCs w:val="20"/>
          <w:color w:val="3E3935"/>
        </w:rPr>
        <w:t>Our success depends on our relationships inside and outside We pursue facts, respectfully challenge assumptions, and the Company. We encourage diverse thinking and clearly define objectives. When we disagree, we provide collaboration from all over the world to create great customer additional context and consider multiple perspectives. experiences.</w:t>
      </w:r>
    </w:p>
    <w:p>
      <w:pPr>
        <w:spacing w:after="0" w:line="333" w:lineRule="exact"/>
        <w:rPr>
          <w:sz w:val="20"/>
          <w:szCs w:val="20"/>
          <w:color w:val="auto"/>
        </w:rPr>
      </w:pPr>
    </w:p>
    <w:p>
      <w:pPr>
        <w:ind w:left="820" w:hanging="504"/>
        <w:spacing w:after="0"/>
        <w:tabs>
          <w:tab w:leader="none" w:pos="820" w:val="left"/>
        </w:tabs>
        <w:numPr>
          <w:ilvl w:val="0"/>
          <w:numId w:val="17"/>
        </w:numPr>
        <w:rPr>
          <w:rFonts w:ascii="Times New Roman" w:cs="Times New Roman" w:eastAsia="Times New Roman" w:hAnsi="Times New Roman"/>
          <w:sz w:val="19"/>
          <w:szCs w:val="19"/>
          <w:color w:val="0071CE"/>
        </w:rPr>
      </w:pPr>
      <w:r>
        <w:rPr>
          <w:rFonts w:ascii="Arial" w:cs="Arial" w:eastAsia="Arial" w:hAnsi="Arial"/>
          <w:sz w:val="25"/>
          <w:szCs w:val="25"/>
          <w:color w:val="3E3935"/>
        </w:rPr>
        <w:t>Our Behaviors</w:t>
      </w:r>
    </w:p>
    <w:p>
      <w:pPr>
        <w:sectPr>
          <w:pgSz w:w="11900" w:h="16838" w:orient="portrait"/>
          <w:cols w:equalWidth="0" w:num="1">
            <w:col w:w="10920"/>
          </w:cols>
          <w:pgMar w:left="320" w:top="482" w:right="6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10660"/>
        <w:spacing w:after="0"/>
        <w:rPr>
          <w:sz w:val="20"/>
          <w:szCs w:val="20"/>
          <w:color w:val="auto"/>
        </w:rPr>
      </w:pPr>
      <w:r>
        <w:rPr>
          <w:rFonts w:ascii="Arial" w:cs="Arial" w:eastAsia="Arial" w:hAnsi="Arial"/>
          <w:sz w:val="14"/>
          <w:szCs w:val="14"/>
          <w:color w:val="0071CE"/>
        </w:rPr>
        <w:t>11</w:t>
      </w:r>
    </w:p>
    <w:p>
      <w:pPr>
        <w:sectPr>
          <w:pgSz w:w="11900" w:h="16838" w:orient="portrait"/>
          <w:cols w:equalWidth="0" w:num="1">
            <w:col w:w="10920"/>
          </w:cols>
          <w:pgMar w:left="320" w:top="482" w:right="659" w:bottom="1440" w:gutter="0" w:footer="0" w:header="0"/>
          <w:type w:val="continuous"/>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11" w:lineRule="exact"/>
        <w:rPr>
          <w:sz w:val="20"/>
          <w:szCs w:val="20"/>
          <w:color w:val="auto"/>
        </w:rPr>
      </w:pPr>
    </w:p>
    <w:p>
      <w:pPr>
        <w:ind w:left="120"/>
        <w:spacing w:after="0"/>
        <w:tabs>
          <w:tab w:leader="none" w:pos="2360" w:val="left"/>
        </w:tabs>
        <w:rPr>
          <w:sz w:val="20"/>
          <w:szCs w:val="20"/>
          <w:color w:val="auto"/>
        </w:rPr>
      </w:pPr>
      <w:r>
        <w:rPr>
          <w:rFonts w:ascii="Arial" w:cs="Arial" w:eastAsia="Arial" w:hAnsi="Arial"/>
          <w:sz w:val="32"/>
          <w:szCs w:val="32"/>
          <w:b w:val="1"/>
          <w:bCs w:val="1"/>
          <w:color w:val="3E3935"/>
        </w:rPr>
        <w:t>ITEM NO. 1:</w:t>
      </w:r>
      <w:r>
        <w:rPr>
          <w:rFonts w:ascii="Arial" w:cs="Arial" w:eastAsia="Arial" w:hAnsi="Arial"/>
          <w:sz w:val="32"/>
          <w:szCs w:val="32"/>
          <w:b w:val="1"/>
          <w:bCs w:val="1"/>
          <w:color w:val="00C1DE"/>
        </w:rPr>
        <w:tab/>
        <w:t>ANNUAL ELECTION OF DIRECTORS</w:t>
      </w:r>
    </w:p>
    <w:p>
      <w:pPr>
        <w:spacing w:after="0" w:line="316" w:lineRule="exact"/>
        <w:rPr>
          <w:sz w:val="20"/>
          <w:szCs w:val="20"/>
          <w:color w:val="auto"/>
        </w:rPr>
      </w:pPr>
    </w:p>
    <w:p>
      <w:pPr>
        <w:jc w:val="both"/>
        <w:ind w:left="120"/>
        <w:spacing w:after="0" w:line="241" w:lineRule="auto"/>
        <w:rPr>
          <w:sz w:val="20"/>
          <w:szCs w:val="20"/>
          <w:color w:val="auto"/>
        </w:rPr>
      </w:pPr>
      <w:r>
        <w:rPr>
          <w:rFonts w:ascii="Arial" w:cs="Arial" w:eastAsia="Arial" w:hAnsi="Arial"/>
          <w:sz w:val="20"/>
          <w:szCs w:val="20"/>
          <w:color w:val="3E3935"/>
        </w:rPr>
        <w:t>At the Annual Meeting, 13 directors will be nominated for election to GM’s Board of Directors. The Governance Committee evaluated the nominees in accordance with the Committee’s charter and our Corporate Governance Guidelines and submitted the nominees to the Board for approval.</w:t>
      </w:r>
    </w:p>
    <w:p>
      <w:pPr>
        <w:spacing w:after="0" w:line="104" w:lineRule="exact"/>
        <w:rPr>
          <w:sz w:val="20"/>
          <w:szCs w:val="20"/>
          <w:color w:val="auto"/>
        </w:rPr>
      </w:pPr>
    </w:p>
    <w:p>
      <w:pPr>
        <w:jc w:val="both"/>
        <w:ind w:left="120"/>
        <w:spacing w:after="0" w:line="241" w:lineRule="auto"/>
        <w:rPr>
          <w:sz w:val="20"/>
          <w:szCs w:val="20"/>
          <w:color w:val="auto"/>
        </w:rPr>
      </w:pPr>
      <w:r>
        <w:rPr>
          <w:rFonts w:ascii="Arial" w:cs="Arial" w:eastAsia="Arial" w:hAnsi="Arial"/>
          <w:sz w:val="20"/>
          <w:szCs w:val="20"/>
          <w:color w:val="3E3935"/>
        </w:rPr>
        <w:t>The Board believes that the director nominees’ diverse backgrounds, attributes, and experiences provide valuable insights for the Board’s oversight of the Company. Nine of the 13 nominees, or 69 percent, bring gender, racial, or ethnic diversity to the Board, including four of the six committee chairs.</w:t>
      </w:r>
    </w:p>
    <w:p>
      <w:pPr>
        <w:spacing w:after="0" w:line="104" w:lineRule="exact"/>
        <w:rPr>
          <w:sz w:val="20"/>
          <w:szCs w:val="20"/>
          <w:color w:val="auto"/>
        </w:rPr>
      </w:pPr>
    </w:p>
    <w:p>
      <w:pPr>
        <w:jc w:val="both"/>
        <w:ind w:left="120"/>
        <w:spacing w:after="0" w:line="234" w:lineRule="auto"/>
        <w:rPr>
          <w:sz w:val="20"/>
          <w:szCs w:val="20"/>
          <w:color w:val="auto"/>
        </w:rPr>
      </w:pPr>
      <w:r>
        <w:rPr>
          <w:rFonts w:ascii="Arial" w:cs="Arial" w:eastAsia="Arial" w:hAnsi="Arial"/>
          <w:sz w:val="20"/>
          <w:szCs w:val="20"/>
          <w:color w:val="3E3935"/>
        </w:rPr>
        <w:t>Of the 13 director nominees, ten were previously elected at the 2022 annual meeting. Joanne C. Crevoiserat and Jonathan McNeill were elected to the Board in August 2022 and September 2022, respectively. Jan E. Tighe’s nomination is submitted by the Board for inclusion in this Proxy Statement and, if elected by shareholders, she will join the Board immediately following the Annual Meeting. Further information on the Board’s composition, as well as each nominee’s qualifications and relevant experience, are provided on the following pages.</w:t>
      </w:r>
    </w:p>
    <w:p>
      <w:pPr>
        <w:spacing w:after="0" w:line="94" w:lineRule="exact"/>
        <w:rPr>
          <w:sz w:val="20"/>
          <w:szCs w:val="20"/>
          <w:color w:val="auto"/>
        </w:rPr>
      </w:pPr>
    </w:p>
    <w:p>
      <w:pPr>
        <w:jc w:val="both"/>
        <w:ind w:left="120"/>
        <w:spacing w:after="0" w:line="241" w:lineRule="auto"/>
        <w:rPr>
          <w:sz w:val="20"/>
          <w:szCs w:val="20"/>
          <w:color w:val="auto"/>
        </w:rPr>
      </w:pPr>
      <w:r>
        <w:rPr>
          <w:rFonts w:ascii="Arial" w:cs="Arial" w:eastAsia="Arial" w:hAnsi="Arial"/>
          <w:sz w:val="20"/>
          <w:szCs w:val="20"/>
          <w:color w:val="3E3935"/>
        </w:rPr>
        <w:t>As noted previously in this Proxy Statement, Carol Stephenson is not standing for re-election this year in accordance with the Company’s non-employee director retirement guidelines. We are grateful for the expertise and leadership she brought to the Board, including as Chair of the Compensation Committee from 2015 to 2022.</w:t>
      </w:r>
    </w:p>
    <w:p>
      <w:pPr>
        <w:spacing w:after="0" w:line="104" w:lineRule="exact"/>
        <w:rPr>
          <w:sz w:val="20"/>
          <w:szCs w:val="20"/>
          <w:color w:val="auto"/>
        </w:rPr>
      </w:pPr>
    </w:p>
    <w:p>
      <w:pPr>
        <w:jc w:val="both"/>
        <w:ind w:left="120"/>
        <w:spacing w:after="0" w:line="234" w:lineRule="auto"/>
        <w:rPr>
          <w:sz w:val="20"/>
          <w:szCs w:val="20"/>
          <w:color w:val="auto"/>
        </w:rPr>
      </w:pPr>
      <w:r>
        <w:rPr>
          <w:rFonts w:ascii="Arial" w:cs="Arial" w:eastAsia="Arial" w:hAnsi="Arial"/>
          <w:sz w:val="20"/>
          <w:szCs w:val="20"/>
          <w:color w:val="3E3935"/>
        </w:rPr>
        <w:t>If elected, the director nominees will serve on the Board until the next annual meeting of shareholders, or until their successors are duly elected and qualified, or until their earlier resignation or removal. If any nominee becomes unable to serve, proxies will be voted for the election of such other person as the Board may designate, unless the Board chooses to reduce the number of directors standing for election. Each of the nominees has consented to being named in this Proxy Statement and serving on the Board if elected.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99060</wp:posOffset>
            </wp:positionH>
            <wp:positionV relativeFrom="paragraph">
              <wp:posOffset>141605</wp:posOffset>
            </wp:positionV>
            <wp:extent cx="6960870" cy="677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960870" cy="677545"/>
                    </a:xfrm>
                    <a:prstGeom prst="rect">
                      <a:avLst/>
                    </a:prstGeom>
                    <a:noFill/>
                  </pic:spPr>
                </pic:pic>
              </a:graphicData>
            </a:graphic>
          </wp:anchor>
        </w:drawing>
      </w:r>
    </w:p>
    <w:p>
      <w:pPr>
        <w:spacing w:after="0" w:line="368" w:lineRule="exact"/>
        <w:rPr>
          <w:sz w:val="20"/>
          <w:szCs w:val="20"/>
          <w:color w:val="auto"/>
        </w:rPr>
      </w:pPr>
    </w:p>
    <w:tbl>
      <w:tblPr>
        <w:tblLayout w:type="fixed"/>
        <w:tblInd w:w="480" w:type="dxa"/>
        <w:tblCellMar>
          <w:top w:w="0" w:type="dxa"/>
          <w:left w:w="0" w:type="dxa"/>
          <w:bottom w:w="0" w:type="dxa"/>
          <w:right w:w="0" w:type="dxa"/>
        </w:tblCellMar>
      </w:tblPr>
      <w:tr>
        <w:trPr>
          <w:trHeight w:val="297"/>
        </w:trPr>
        <w:tc>
          <w:tcPr>
            <w:tcW w:w="9340" w:type="dxa"/>
            <w:vAlign w:val="bottom"/>
          </w:tcPr>
          <w:p>
            <w:pPr>
              <w:spacing w:after="0"/>
              <w:rPr>
                <w:sz w:val="20"/>
                <w:szCs w:val="20"/>
                <w:color w:val="auto"/>
              </w:rPr>
            </w:pPr>
            <w:r>
              <w:rPr>
                <w:rFonts w:ascii="Arial" w:cs="Arial" w:eastAsia="Arial" w:hAnsi="Arial"/>
                <w:sz w:val="25"/>
                <w:szCs w:val="25"/>
                <w:b w:val="1"/>
                <w:bCs w:val="1"/>
                <w:color w:val="0071CE"/>
              </w:rPr>
              <w:t xml:space="preserve">The Board recommends a vote </w:t>
            </w:r>
            <w:r>
              <w:rPr>
                <w:rFonts w:ascii="Arial" w:cs="Arial" w:eastAsia="Arial" w:hAnsi="Arial"/>
                <w:sz w:val="25"/>
                <w:szCs w:val="25"/>
                <w:b w:val="1"/>
                <w:bCs w:val="1"/>
                <w:u w:val="single" w:color="auto"/>
                <w:color w:val="00C1DE"/>
              </w:rPr>
              <w:t>FOR</w:t>
            </w:r>
            <w:r>
              <w:rPr>
                <w:rFonts w:ascii="Arial" w:cs="Arial" w:eastAsia="Arial" w:hAnsi="Arial"/>
                <w:sz w:val="25"/>
                <w:szCs w:val="25"/>
                <w:b w:val="1"/>
                <w:bCs w:val="1"/>
                <w:color w:val="0071CE"/>
              </w:rPr>
              <w:t xml:space="preserve"> each of the nominees identified in this</w:t>
            </w:r>
          </w:p>
        </w:tc>
        <w:tc>
          <w:tcPr>
            <w:tcW w:w="1020" w:type="dxa"/>
            <w:vAlign w:val="bottom"/>
          </w:tcPr>
          <w:p>
            <w:pPr>
              <w:spacing w:after="0"/>
              <w:rPr>
                <w:sz w:val="24"/>
                <w:szCs w:val="24"/>
                <w:color w:val="auto"/>
              </w:rPr>
            </w:pPr>
          </w:p>
        </w:tc>
      </w:tr>
      <w:tr>
        <w:trPr>
          <w:trHeight w:val="400"/>
        </w:trPr>
        <w:tc>
          <w:tcPr>
            <w:tcW w:w="9340" w:type="dxa"/>
            <w:vAlign w:val="bottom"/>
          </w:tcPr>
          <w:p>
            <w:pPr>
              <w:spacing w:after="0"/>
              <w:rPr>
                <w:sz w:val="20"/>
                <w:szCs w:val="20"/>
                <w:color w:val="auto"/>
              </w:rPr>
            </w:pPr>
            <w:r>
              <w:rPr>
                <w:rFonts w:ascii="Arial" w:cs="Arial" w:eastAsia="Arial" w:hAnsi="Arial"/>
                <w:sz w:val="25"/>
                <w:szCs w:val="25"/>
                <w:b w:val="1"/>
                <w:bCs w:val="1"/>
                <w:color w:val="0071CE"/>
              </w:rPr>
              <w:t>Proxy Statement.</w:t>
            </w:r>
          </w:p>
        </w:tc>
        <w:tc>
          <w:tcPr>
            <w:tcW w:w="1020" w:type="dxa"/>
            <w:vAlign w:val="bottom"/>
          </w:tcPr>
          <w:p>
            <w:pPr>
              <w:ind w:left="420"/>
              <w:spacing w:after="0"/>
              <w:rPr>
                <w:sz w:val="20"/>
                <w:szCs w:val="20"/>
                <w:color w:val="auto"/>
              </w:rPr>
            </w:pPr>
            <w:r>
              <w:rPr>
                <w:rFonts w:ascii="Arial" w:cs="Arial" w:eastAsia="Arial" w:hAnsi="Arial"/>
                <w:sz w:val="29"/>
                <w:szCs w:val="29"/>
                <w:b w:val="1"/>
                <w:bCs w:val="1"/>
                <w:color w:val="0071CE"/>
                <w:w w:val="94"/>
              </w:rPr>
              <w:t>FOR</w:t>
            </w:r>
          </w:p>
        </w:tc>
      </w:tr>
    </w:tbl>
    <w:p>
      <w:pPr>
        <w:spacing w:after="0" w:line="344" w:lineRule="exact"/>
        <w:rPr>
          <w:sz w:val="20"/>
          <w:szCs w:val="20"/>
          <w:color w:val="auto"/>
        </w:rPr>
      </w:pPr>
    </w:p>
    <w:p>
      <w:pPr>
        <w:ind w:left="120"/>
        <w:spacing w:after="0"/>
        <w:rPr>
          <w:sz w:val="20"/>
          <w:szCs w:val="20"/>
          <w:color w:val="auto"/>
        </w:rPr>
      </w:pPr>
      <w:r>
        <w:rPr>
          <w:rFonts w:ascii="Arial" w:cs="Arial" w:eastAsia="Arial" w:hAnsi="Arial"/>
          <w:sz w:val="14"/>
          <w:szCs w:val="14"/>
          <w:color w:val="0071CE"/>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236220</wp:posOffset>
            </wp:positionH>
            <wp:positionV relativeFrom="paragraph">
              <wp:posOffset>-95885</wp:posOffset>
            </wp:positionV>
            <wp:extent cx="5983605" cy="10287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983605" cy="102870"/>
                    </a:xfrm>
                    <a:prstGeom prst="rect">
                      <a:avLst/>
                    </a:prstGeom>
                    <a:noFill/>
                  </pic:spPr>
                </pic:pic>
              </a:graphicData>
            </a:graphic>
          </wp:anchor>
        </w:drawing>
      </w:r>
    </w:p>
    <w:p>
      <w:pPr>
        <w:sectPr>
          <w:pgSz w:w="11900" w:h="16838" w:orient="portrait"/>
          <w:cols w:equalWidth="0" w:num="1">
            <w:col w:w="11120"/>
          </w:cols>
          <w:pgMar w:left="320" w:top="482" w:right="45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29"/>
          <w:szCs w:val="29"/>
          <w:color w:val="3E3935"/>
        </w:rPr>
        <w:t>Board Experience and Expertise</w:t>
      </w:r>
    </w:p>
    <w:p>
      <w:pPr>
        <w:spacing w:after="0" w:line="257" w:lineRule="exact"/>
        <w:rPr>
          <w:sz w:val="20"/>
          <w:szCs w:val="20"/>
          <w:color w:val="auto"/>
        </w:rPr>
      </w:pPr>
    </w:p>
    <w:p>
      <w:pPr>
        <w:ind w:left="660" w:hanging="544"/>
        <w:spacing w:after="0"/>
        <w:tabs>
          <w:tab w:leader="none" w:pos="660" w:val="left"/>
        </w:tabs>
        <w:numPr>
          <w:ilvl w:val="0"/>
          <w:numId w:val="18"/>
        </w:numPr>
        <w:rPr>
          <w:rFonts w:ascii="Times New Roman" w:cs="Times New Roman" w:eastAsia="Times New Roman" w:hAnsi="Times New Roman"/>
          <w:sz w:val="19"/>
          <w:szCs w:val="19"/>
          <w:color w:val="0071CE"/>
        </w:rPr>
      </w:pPr>
      <w:r>
        <w:rPr>
          <w:rFonts w:ascii="Arial" w:cs="Arial" w:eastAsia="Arial" w:hAnsi="Arial"/>
          <w:sz w:val="25"/>
          <w:szCs w:val="25"/>
          <w:color w:val="3E3935"/>
        </w:rPr>
        <w:t>Skills Matrix</w:t>
      </w:r>
    </w:p>
    <w:p>
      <w:pPr>
        <w:spacing w:after="0" w:line="226" w:lineRule="exact"/>
        <w:rPr>
          <w:sz w:val="20"/>
          <w:szCs w:val="20"/>
          <w:color w:val="auto"/>
        </w:rPr>
      </w:pPr>
    </w:p>
    <w:p>
      <w:pPr>
        <w:jc w:val="both"/>
        <w:ind w:left="120"/>
        <w:spacing w:after="0" w:line="241" w:lineRule="auto"/>
        <w:rPr>
          <w:sz w:val="20"/>
          <w:szCs w:val="20"/>
          <w:color w:val="auto"/>
        </w:rPr>
      </w:pPr>
      <w:r>
        <w:rPr>
          <w:rFonts w:ascii="Arial" w:cs="Arial" w:eastAsia="Arial" w:hAnsi="Arial"/>
          <w:sz w:val="20"/>
          <w:szCs w:val="20"/>
          <w:color w:val="3E3935"/>
        </w:rPr>
        <w:t>Our director nominees collectively possess the expertise, leadership skills, and diversity of experiences and backgrounds to oversee management’s execution of its growth strategy and protect long-term shareholder value. The skills matrix below summarizes certain qualifications used by the Governance Committee in their evaluation of our director nominees.</w:t>
      </w:r>
    </w:p>
    <w:p>
      <w:pPr>
        <w:spacing w:after="0" w:line="220"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2080" w:type="dxa"/>
            <w:vAlign w:val="bottom"/>
            <w:shd w:val="clear" w:color="auto" w:fill="0071CE"/>
          </w:tcPr>
          <w:p>
            <w:pPr>
              <w:spacing w:after="0"/>
              <w:rPr>
                <w:sz w:val="14"/>
                <w:szCs w:val="14"/>
                <w:color w:val="auto"/>
              </w:rPr>
            </w:pPr>
          </w:p>
        </w:tc>
        <w:tc>
          <w:tcPr>
            <w:tcW w:w="1080" w:type="dxa"/>
            <w:vAlign w:val="bottom"/>
            <w:shd w:val="clear" w:color="auto" w:fill="0071CE"/>
          </w:tcPr>
          <w:p>
            <w:pPr>
              <w:jc w:val="center"/>
              <w:spacing w:after="0"/>
              <w:rPr>
                <w:sz w:val="20"/>
                <w:szCs w:val="20"/>
                <w:color w:val="auto"/>
              </w:rPr>
            </w:pPr>
            <w:r>
              <w:rPr>
                <w:rFonts w:ascii="Arial" w:cs="Arial" w:eastAsia="Arial" w:hAnsi="Arial"/>
                <w:sz w:val="13"/>
                <w:szCs w:val="13"/>
                <w:b w:val="1"/>
                <w:bCs w:val="1"/>
                <w:color w:val="FFFFFF"/>
                <w:w w:val="97"/>
              </w:rPr>
              <w:t>Public Co.</w:t>
            </w:r>
          </w:p>
        </w:tc>
        <w:tc>
          <w:tcPr>
            <w:tcW w:w="860" w:type="dxa"/>
            <w:vAlign w:val="bottom"/>
            <w:shd w:val="clear" w:color="auto" w:fill="0071CE"/>
          </w:tcPr>
          <w:p>
            <w:pPr>
              <w:spacing w:after="0"/>
              <w:rPr>
                <w:sz w:val="14"/>
                <w:szCs w:val="14"/>
                <w:color w:val="auto"/>
              </w:rPr>
            </w:pPr>
          </w:p>
        </w:tc>
        <w:tc>
          <w:tcPr>
            <w:tcW w:w="1120" w:type="dxa"/>
            <w:vAlign w:val="bottom"/>
            <w:shd w:val="clear" w:color="auto" w:fill="0071CE"/>
          </w:tcPr>
          <w:p>
            <w:pPr>
              <w:spacing w:after="0"/>
              <w:rPr>
                <w:sz w:val="14"/>
                <w:szCs w:val="14"/>
                <w:color w:val="auto"/>
              </w:rPr>
            </w:pPr>
          </w:p>
        </w:tc>
        <w:tc>
          <w:tcPr>
            <w:tcW w:w="920" w:type="dxa"/>
            <w:vAlign w:val="bottom"/>
            <w:shd w:val="clear" w:color="auto" w:fill="0071CE"/>
          </w:tcPr>
          <w:p>
            <w:pPr>
              <w:spacing w:after="0"/>
              <w:rPr>
                <w:sz w:val="14"/>
                <w:szCs w:val="14"/>
                <w:color w:val="auto"/>
              </w:rPr>
            </w:pPr>
          </w:p>
        </w:tc>
        <w:tc>
          <w:tcPr>
            <w:tcW w:w="1100" w:type="dxa"/>
            <w:vAlign w:val="bottom"/>
            <w:shd w:val="clear" w:color="auto" w:fill="0071CE"/>
          </w:tcPr>
          <w:p>
            <w:pPr>
              <w:jc w:val="center"/>
              <w:spacing w:after="0"/>
              <w:rPr>
                <w:sz w:val="20"/>
                <w:szCs w:val="20"/>
                <w:color w:val="auto"/>
              </w:rPr>
            </w:pPr>
            <w:r>
              <w:rPr>
                <w:rFonts w:ascii="Arial" w:cs="Arial" w:eastAsia="Arial" w:hAnsi="Arial"/>
                <w:sz w:val="13"/>
                <w:szCs w:val="13"/>
                <w:b w:val="1"/>
                <w:bCs w:val="1"/>
                <w:color w:val="FFFFFF"/>
              </w:rPr>
              <w:t>Risk</w:t>
            </w:r>
          </w:p>
        </w:tc>
        <w:tc>
          <w:tcPr>
            <w:tcW w:w="880" w:type="dxa"/>
            <w:vAlign w:val="bottom"/>
            <w:shd w:val="clear" w:color="auto" w:fill="0071CE"/>
          </w:tcPr>
          <w:p>
            <w:pPr>
              <w:spacing w:after="0"/>
              <w:rPr>
                <w:sz w:val="14"/>
                <w:szCs w:val="14"/>
                <w:color w:val="auto"/>
              </w:rPr>
            </w:pPr>
          </w:p>
        </w:tc>
        <w:tc>
          <w:tcPr>
            <w:tcW w:w="1100" w:type="dxa"/>
            <w:vAlign w:val="bottom"/>
            <w:shd w:val="clear" w:color="auto" w:fill="0071CE"/>
          </w:tcPr>
          <w:p>
            <w:pPr>
              <w:spacing w:after="0"/>
              <w:rPr>
                <w:sz w:val="14"/>
                <w:szCs w:val="14"/>
                <w:color w:val="auto"/>
              </w:rPr>
            </w:pPr>
          </w:p>
        </w:tc>
        <w:tc>
          <w:tcPr>
            <w:tcW w:w="880" w:type="dxa"/>
            <w:vAlign w:val="bottom"/>
            <w:shd w:val="clear" w:color="auto" w:fill="0071CE"/>
          </w:tcPr>
          <w:p>
            <w:pPr>
              <w:spacing w:after="0"/>
              <w:rPr>
                <w:sz w:val="14"/>
                <w:szCs w:val="14"/>
                <w:color w:val="auto"/>
              </w:rPr>
            </w:pPr>
          </w:p>
        </w:tc>
        <w:tc>
          <w:tcPr>
            <w:tcW w:w="1000" w:type="dxa"/>
            <w:vAlign w:val="bottom"/>
            <w:shd w:val="clear" w:color="auto" w:fill="0071CE"/>
          </w:tcPr>
          <w:p>
            <w:pPr>
              <w:jc w:val="center"/>
              <w:ind w:left="6"/>
              <w:spacing w:after="0"/>
              <w:rPr>
                <w:sz w:val="20"/>
                <w:szCs w:val="20"/>
                <w:color w:val="auto"/>
              </w:rPr>
            </w:pPr>
            <w:r>
              <w:rPr>
                <w:rFonts w:ascii="Arial" w:cs="Arial" w:eastAsia="Arial" w:hAnsi="Arial"/>
                <w:sz w:val="13"/>
                <w:szCs w:val="13"/>
                <w:b w:val="1"/>
                <w:bCs w:val="1"/>
                <w:color w:val="FFFFFF"/>
                <w:w w:val="94"/>
              </w:rPr>
              <w:t>ESG</w:t>
            </w:r>
          </w:p>
        </w:tc>
      </w:tr>
      <w:tr>
        <w:trPr>
          <w:trHeight w:val="193"/>
        </w:trPr>
        <w:tc>
          <w:tcPr>
            <w:tcW w:w="2080" w:type="dxa"/>
            <w:vAlign w:val="bottom"/>
            <w:shd w:val="clear" w:color="auto" w:fill="0071CE"/>
          </w:tcPr>
          <w:p>
            <w:pPr>
              <w:ind w:left="80"/>
              <w:spacing w:after="0"/>
              <w:rPr>
                <w:sz w:val="20"/>
                <w:szCs w:val="20"/>
                <w:color w:val="auto"/>
              </w:rPr>
            </w:pPr>
            <w:r>
              <w:rPr>
                <w:rFonts w:ascii="Arial" w:cs="Arial" w:eastAsia="Arial" w:hAnsi="Arial"/>
                <w:sz w:val="13"/>
                <w:szCs w:val="13"/>
                <w:b w:val="1"/>
                <w:bCs w:val="1"/>
                <w:color w:val="FFFFFF"/>
              </w:rPr>
              <w:t>Director</w:t>
            </w:r>
          </w:p>
        </w:tc>
        <w:tc>
          <w:tcPr>
            <w:tcW w:w="1080" w:type="dxa"/>
            <w:vAlign w:val="bottom"/>
            <w:shd w:val="clear" w:color="auto" w:fill="0071CE"/>
          </w:tcPr>
          <w:p>
            <w:pPr>
              <w:jc w:val="center"/>
              <w:spacing w:after="0"/>
              <w:rPr>
                <w:sz w:val="20"/>
                <w:szCs w:val="20"/>
                <w:color w:val="auto"/>
              </w:rPr>
            </w:pPr>
            <w:r>
              <w:rPr>
                <w:rFonts w:ascii="Arial" w:cs="Arial" w:eastAsia="Arial" w:hAnsi="Arial"/>
                <w:sz w:val="13"/>
                <w:szCs w:val="13"/>
                <w:b w:val="1"/>
                <w:bCs w:val="1"/>
                <w:color w:val="FFFFFF"/>
                <w:w w:val="99"/>
              </w:rPr>
              <w:t>CEO</w:t>
            </w:r>
          </w:p>
        </w:tc>
        <w:tc>
          <w:tcPr>
            <w:tcW w:w="860" w:type="dxa"/>
            <w:vAlign w:val="bottom"/>
            <w:shd w:val="clear" w:color="auto" w:fill="0071CE"/>
          </w:tcPr>
          <w:p>
            <w:pPr>
              <w:jc w:val="center"/>
              <w:spacing w:after="0"/>
              <w:rPr>
                <w:sz w:val="20"/>
                <w:szCs w:val="20"/>
                <w:color w:val="auto"/>
              </w:rPr>
            </w:pPr>
            <w:r>
              <w:rPr>
                <w:rFonts w:ascii="Arial" w:cs="Arial" w:eastAsia="Arial" w:hAnsi="Arial"/>
                <w:sz w:val="13"/>
                <w:szCs w:val="13"/>
                <w:b w:val="1"/>
                <w:bCs w:val="1"/>
                <w:color w:val="FFFFFF"/>
                <w:w w:val="93"/>
              </w:rPr>
              <w:t>Industry</w:t>
            </w:r>
          </w:p>
        </w:tc>
        <w:tc>
          <w:tcPr>
            <w:tcW w:w="1120" w:type="dxa"/>
            <w:vAlign w:val="bottom"/>
            <w:shd w:val="clear" w:color="auto" w:fill="0071CE"/>
          </w:tcPr>
          <w:p>
            <w:pPr>
              <w:jc w:val="center"/>
              <w:spacing w:after="0"/>
              <w:rPr>
                <w:sz w:val="20"/>
                <w:szCs w:val="20"/>
                <w:color w:val="auto"/>
              </w:rPr>
            </w:pPr>
            <w:r>
              <w:rPr>
                <w:rFonts w:ascii="Arial" w:cs="Arial" w:eastAsia="Arial" w:hAnsi="Arial"/>
                <w:sz w:val="13"/>
                <w:szCs w:val="13"/>
                <w:b w:val="1"/>
                <w:bCs w:val="1"/>
                <w:color w:val="FFFFFF"/>
                <w:w w:val="95"/>
              </w:rPr>
              <w:t>Manufacturing</w:t>
            </w:r>
          </w:p>
        </w:tc>
        <w:tc>
          <w:tcPr>
            <w:tcW w:w="920" w:type="dxa"/>
            <w:vAlign w:val="bottom"/>
            <w:shd w:val="clear" w:color="auto" w:fill="0071CE"/>
          </w:tcPr>
          <w:p>
            <w:pPr>
              <w:jc w:val="right"/>
              <w:ind w:right="57"/>
              <w:spacing w:after="0"/>
              <w:rPr>
                <w:sz w:val="20"/>
                <w:szCs w:val="20"/>
                <w:color w:val="auto"/>
              </w:rPr>
            </w:pPr>
            <w:r>
              <w:rPr>
                <w:rFonts w:ascii="Arial" w:cs="Arial" w:eastAsia="Arial" w:hAnsi="Arial"/>
                <w:sz w:val="13"/>
                <w:szCs w:val="13"/>
                <w:b w:val="1"/>
                <w:bCs w:val="1"/>
                <w:color w:val="FFFFFF"/>
              </w:rPr>
              <w:t>Technology</w:t>
            </w:r>
          </w:p>
        </w:tc>
        <w:tc>
          <w:tcPr>
            <w:tcW w:w="1100" w:type="dxa"/>
            <w:vAlign w:val="bottom"/>
            <w:shd w:val="clear" w:color="auto" w:fill="0071CE"/>
          </w:tcPr>
          <w:p>
            <w:pPr>
              <w:jc w:val="center"/>
              <w:spacing w:after="0"/>
              <w:rPr>
                <w:sz w:val="20"/>
                <w:szCs w:val="20"/>
                <w:color w:val="auto"/>
              </w:rPr>
            </w:pPr>
            <w:r>
              <w:rPr>
                <w:rFonts w:ascii="Arial" w:cs="Arial" w:eastAsia="Arial" w:hAnsi="Arial"/>
                <w:sz w:val="13"/>
                <w:szCs w:val="13"/>
                <w:b w:val="1"/>
                <w:bCs w:val="1"/>
                <w:color w:val="FFFFFF"/>
                <w:w w:val="95"/>
              </w:rPr>
              <w:t>Management</w:t>
            </w:r>
          </w:p>
        </w:tc>
        <w:tc>
          <w:tcPr>
            <w:tcW w:w="880" w:type="dxa"/>
            <w:vAlign w:val="bottom"/>
            <w:shd w:val="clear" w:color="auto" w:fill="0071CE"/>
          </w:tcPr>
          <w:p>
            <w:pPr>
              <w:jc w:val="right"/>
              <w:ind w:right="157"/>
              <w:spacing w:after="0"/>
              <w:rPr>
                <w:sz w:val="20"/>
                <w:szCs w:val="20"/>
                <w:color w:val="auto"/>
              </w:rPr>
            </w:pPr>
            <w:r>
              <w:rPr>
                <w:rFonts w:ascii="Arial" w:cs="Arial" w:eastAsia="Arial" w:hAnsi="Arial"/>
                <w:sz w:val="13"/>
                <w:szCs w:val="13"/>
                <w:b w:val="1"/>
                <w:bCs w:val="1"/>
                <w:color w:val="FFFFFF"/>
              </w:rPr>
              <w:t>Finance</w:t>
            </w:r>
          </w:p>
        </w:tc>
        <w:tc>
          <w:tcPr>
            <w:tcW w:w="1100" w:type="dxa"/>
            <w:vAlign w:val="bottom"/>
            <w:shd w:val="clear" w:color="auto" w:fill="0071CE"/>
          </w:tcPr>
          <w:p>
            <w:pPr>
              <w:jc w:val="center"/>
              <w:spacing w:after="0"/>
              <w:rPr>
                <w:sz w:val="20"/>
                <w:szCs w:val="20"/>
                <w:color w:val="auto"/>
              </w:rPr>
            </w:pPr>
            <w:r>
              <w:rPr>
                <w:rFonts w:ascii="Arial" w:cs="Arial" w:eastAsia="Arial" w:hAnsi="Arial"/>
                <w:sz w:val="13"/>
                <w:szCs w:val="13"/>
                <w:b w:val="1"/>
                <w:bCs w:val="1"/>
                <w:color w:val="FFFFFF"/>
                <w:w w:val="97"/>
              </w:rPr>
              <w:t>Marketing</w:t>
            </w:r>
          </w:p>
        </w:tc>
        <w:tc>
          <w:tcPr>
            <w:tcW w:w="880" w:type="dxa"/>
            <w:vAlign w:val="bottom"/>
            <w:shd w:val="clear" w:color="auto" w:fill="0071CE"/>
          </w:tcPr>
          <w:p>
            <w:pPr>
              <w:jc w:val="right"/>
              <w:ind w:right="197"/>
              <w:spacing w:after="0"/>
              <w:rPr>
                <w:sz w:val="20"/>
                <w:szCs w:val="20"/>
                <w:color w:val="auto"/>
              </w:rPr>
            </w:pPr>
            <w:r>
              <w:rPr>
                <w:rFonts w:ascii="Arial" w:cs="Arial" w:eastAsia="Arial" w:hAnsi="Arial"/>
                <w:sz w:val="13"/>
                <w:szCs w:val="13"/>
                <w:b w:val="1"/>
                <w:bCs w:val="1"/>
                <w:color w:val="FFFFFF"/>
              </w:rPr>
              <w:t>Cyber</w:t>
            </w:r>
          </w:p>
        </w:tc>
        <w:tc>
          <w:tcPr>
            <w:tcW w:w="1000" w:type="dxa"/>
            <w:vAlign w:val="bottom"/>
            <w:shd w:val="clear" w:color="auto" w:fill="0071CE"/>
          </w:tcPr>
          <w:p>
            <w:pPr>
              <w:jc w:val="center"/>
              <w:ind w:left="6"/>
              <w:spacing w:after="0"/>
              <w:rPr>
                <w:sz w:val="20"/>
                <w:szCs w:val="20"/>
                <w:color w:val="auto"/>
              </w:rPr>
            </w:pPr>
            <w:r>
              <w:rPr>
                <w:rFonts w:ascii="Arial" w:cs="Arial" w:eastAsia="Arial" w:hAnsi="Arial"/>
                <w:sz w:val="13"/>
                <w:szCs w:val="13"/>
                <w:b w:val="1"/>
                <w:bCs w:val="1"/>
                <w:color w:val="FFFFFF"/>
                <w:w w:val="99"/>
              </w:rPr>
              <w:t>Expertise</w:t>
            </w:r>
          </w:p>
        </w:tc>
      </w:tr>
      <w:tr>
        <w:trPr>
          <w:trHeight w:val="372"/>
        </w:trPr>
        <w:tc>
          <w:tcPr>
            <w:tcW w:w="2080" w:type="dxa"/>
            <w:vAlign w:val="bottom"/>
            <w:tcBorders>
              <w:bottom w:val="single" w:sz="8" w:color="EFEFEE"/>
            </w:tcBorders>
            <w:shd w:val="clear" w:color="auto" w:fill="EFEFEE"/>
          </w:tcPr>
          <w:p>
            <w:pPr>
              <w:ind w:left="60"/>
              <w:spacing w:after="0"/>
              <w:rPr>
                <w:sz w:val="20"/>
                <w:szCs w:val="20"/>
                <w:color w:val="auto"/>
              </w:rPr>
            </w:pPr>
            <w:r>
              <w:rPr>
                <w:rFonts w:ascii="Arial" w:cs="Arial" w:eastAsia="Arial" w:hAnsi="Arial"/>
                <w:sz w:val="16"/>
                <w:szCs w:val="16"/>
                <w:b w:val="1"/>
                <w:bCs w:val="1"/>
                <w:color w:val="3E3935"/>
              </w:rPr>
              <w:t>M. Barra</w:t>
            </w:r>
          </w:p>
        </w:tc>
        <w:tc>
          <w:tcPr>
            <w:tcW w:w="1080" w:type="dxa"/>
            <w:vAlign w:val="bottom"/>
            <w:tcBorders>
              <w:bottom w:val="single" w:sz="8" w:color="EFEFEE"/>
            </w:tcBorders>
            <w:shd w:val="clear" w:color="auto" w:fill="EFEFEE"/>
          </w:tcPr>
          <w:p>
            <w:pPr>
              <w:spacing w:after="0"/>
              <w:rPr>
                <w:sz w:val="24"/>
                <w:szCs w:val="24"/>
                <w:color w:val="auto"/>
              </w:rPr>
            </w:pPr>
          </w:p>
        </w:tc>
        <w:tc>
          <w:tcPr>
            <w:tcW w:w="860" w:type="dxa"/>
            <w:vAlign w:val="bottom"/>
            <w:tcBorders>
              <w:bottom w:val="single" w:sz="8" w:color="EFEFEE"/>
            </w:tcBorders>
            <w:shd w:val="clear" w:color="auto" w:fill="EFEFEE"/>
          </w:tcPr>
          <w:p>
            <w:pPr>
              <w:spacing w:after="0"/>
              <w:rPr>
                <w:sz w:val="24"/>
                <w:szCs w:val="24"/>
                <w:color w:val="auto"/>
              </w:rPr>
            </w:pPr>
          </w:p>
        </w:tc>
        <w:tc>
          <w:tcPr>
            <w:tcW w:w="1120" w:type="dxa"/>
            <w:vAlign w:val="bottom"/>
            <w:tcBorders>
              <w:bottom w:val="single" w:sz="8" w:color="EFEFEE"/>
            </w:tcBorders>
            <w:shd w:val="clear" w:color="auto" w:fill="EFEFEE"/>
          </w:tcPr>
          <w:p>
            <w:pPr>
              <w:spacing w:after="0"/>
              <w:rPr>
                <w:sz w:val="24"/>
                <w:szCs w:val="24"/>
                <w:color w:val="auto"/>
              </w:rPr>
            </w:pPr>
          </w:p>
        </w:tc>
        <w:tc>
          <w:tcPr>
            <w:tcW w:w="920" w:type="dxa"/>
            <w:vAlign w:val="bottom"/>
            <w:tcBorders>
              <w:bottom w:val="single" w:sz="8" w:color="EFEFEE"/>
            </w:tcBorders>
            <w:shd w:val="clear" w:color="auto" w:fill="EFEFEE"/>
          </w:tcPr>
          <w:p>
            <w:pPr>
              <w:spacing w:after="0"/>
              <w:rPr>
                <w:sz w:val="24"/>
                <w:szCs w:val="24"/>
                <w:color w:val="auto"/>
              </w:rPr>
            </w:pPr>
          </w:p>
        </w:tc>
        <w:tc>
          <w:tcPr>
            <w:tcW w:w="1100" w:type="dxa"/>
            <w:vAlign w:val="bottom"/>
            <w:tcBorders>
              <w:bottom w:val="single" w:sz="8" w:color="EFEFEE"/>
            </w:tcBorders>
            <w:shd w:val="clear" w:color="auto" w:fill="EFEFEE"/>
          </w:tcPr>
          <w:p>
            <w:pPr>
              <w:spacing w:after="0"/>
              <w:rPr>
                <w:sz w:val="24"/>
                <w:szCs w:val="24"/>
                <w:color w:val="auto"/>
              </w:rPr>
            </w:pPr>
          </w:p>
        </w:tc>
        <w:tc>
          <w:tcPr>
            <w:tcW w:w="880" w:type="dxa"/>
            <w:vAlign w:val="bottom"/>
            <w:tcBorders>
              <w:bottom w:val="single" w:sz="8" w:color="EFEFEE"/>
            </w:tcBorders>
            <w:shd w:val="clear" w:color="auto" w:fill="EFEFEE"/>
          </w:tcPr>
          <w:p>
            <w:pPr>
              <w:spacing w:after="0"/>
              <w:rPr>
                <w:sz w:val="24"/>
                <w:szCs w:val="24"/>
                <w:color w:val="auto"/>
              </w:rPr>
            </w:pPr>
          </w:p>
        </w:tc>
        <w:tc>
          <w:tcPr>
            <w:tcW w:w="1100" w:type="dxa"/>
            <w:vAlign w:val="bottom"/>
            <w:tcBorders>
              <w:bottom w:val="single" w:sz="8" w:color="EFEFEE"/>
            </w:tcBorders>
            <w:shd w:val="clear" w:color="auto" w:fill="EFEFEE"/>
          </w:tcPr>
          <w:p>
            <w:pPr>
              <w:spacing w:after="0"/>
              <w:rPr>
                <w:sz w:val="24"/>
                <w:szCs w:val="24"/>
                <w:color w:val="auto"/>
              </w:rPr>
            </w:pPr>
          </w:p>
        </w:tc>
        <w:tc>
          <w:tcPr>
            <w:tcW w:w="880" w:type="dxa"/>
            <w:vAlign w:val="bottom"/>
            <w:tcBorders>
              <w:bottom w:val="single" w:sz="8" w:color="EFEFEE"/>
            </w:tcBorders>
            <w:shd w:val="clear" w:color="auto" w:fill="EFEFEE"/>
          </w:tcPr>
          <w:p>
            <w:pPr>
              <w:spacing w:after="0"/>
              <w:rPr>
                <w:sz w:val="24"/>
                <w:szCs w:val="24"/>
                <w:color w:val="auto"/>
              </w:rPr>
            </w:pPr>
          </w:p>
        </w:tc>
        <w:tc>
          <w:tcPr>
            <w:tcW w:w="1000" w:type="dxa"/>
            <w:vAlign w:val="bottom"/>
            <w:tcBorders>
              <w:bottom w:val="single" w:sz="8" w:color="EFEFEE"/>
            </w:tcBorders>
            <w:shd w:val="clear" w:color="auto" w:fill="EFEFEE"/>
          </w:tcPr>
          <w:p>
            <w:pPr>
              <w:jc w:val="center"/>
              <w:ind w:left="26"/>
              <w:spacing w:after="0"/>
              <w:rPr>
                <w:sz w:val="20"/>
                <w:szCs w:val="20"/>
                <w:color w:val="auto"/>
              </w:rPr>
            </w:pPr>
            <w:r>
              <w:rPr>
                <w:rFonts w:ascii="Arial" w:cs="Arial" w:eastAsia="Arial" w:hAnsi="Arial"/>
                <w:sz w:val="20"/>
                <w:szCs w:val="20"/>
                <w:b w:val="1"/>
                <w:bCs w:val="1"/>
                <w:color w:val="0071CE"/>
                <w:w w:val="96"/>
              </w:rPr>
              <w:t>SG</w:t>
            </w:r>
          </w:p>
        </w:tc>
      </w:tr>
      <w:tr>
        <w:trPr>
          <w:trHeight w:val="358"/>
        </w:trPr>
        <w:tc>
          <w:tcPr>
            <w:tcW w:w="2080" w:type="dxa"/>
            <w:vAlign w:val="bottom"/>
          </w:tcPr>
          <w:p>
            <w:pPr>
              <w:ind w:left="60"/>
              <w:spacing w:after="0"/>
              <w:rPr>
                <w:sz w:val="20"/>
                <w:szCs w:val="20"/>
                <w:color w:val="auto"/>
              </w:rPr>
            </w:pPr>
            <w:r>
              <w:rPr>
                <w:rFonts w:ascii="Arial" w:cs="Arial" w:eastAsia="Arial" w:hAnsi="Arial"/>
                <w:sz w:val="16"/>
                <w:szCs w:val="16"/>
                <w:b w:val="1"/>
                <w:bCs w:val="1"/>
                <w:color w:val="3E3935"/>
              </w:rPr>
              <w:t>A. Bhusri</w:t>
            </w:r>
          </w:p>
        </w:tc>
        <w:tc>
          <w:tcPr>
            <w:tcW w:w="10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0" w:type="dxa"/>
            <w:vAlign w:val="bottom"/>
          </w:tcPr>
          <w:p>
            <w:pPr>
              <w:jc w:val="center"/>
              <w:ind w:left="26"/>
              <w:spacing w:after="0"/>
              <w:rPr>
                <w:sz w:val="20"/>
                <w:szCs w:val="20"/>
                <w:color w:val="auto"/>
              </w:rPr>
            </w:pPr>
            <w:r>
              <w:rPr>
                <w:rFonts w:ascii="Arial" w:cs="Arial" w:eastAsia="Arial" w:hAnsi="Arial"/>
                <w:sz w:val="20"/>
                <w:szCs w:val="20"/>
                <w:b w:val="1"/>
                <w:bCs w:val="1"/>
                <w:color w:val="0071CE"/>
                <w:w w:val="96"/>
              </w:rPr>
              <w:t>SG</w:t>
            </w:r>
          </w:p>
        </w:tc>
      </w:tr>
      <w:tr>
        <w:trPr>
          <w:trHeight w:val="34"/>
        </w:trPr>
        <w:tc>
          <w:tcPr>
            <w:tcW w:w="20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371"/>
        </w:trPr>
        <w:tc>
          <w:tcPr>
            <w:tcW w:w="2080" w:type="dxa"/>
            <w:vAlign w:val="bottom"/>
            <w:tcBorders>
              <w:bottom w:val="single" w:sz="8" w:color="EFEFEE"/>
            </w:tcBorders>
            <w:shd w:val="clear" w:color="auto" w:fill="EFEFEE"/>
          </w:tcPr>
          <w:p>
            <w:pPr>
              <w:ind w:left="60"/>
              <w:spacing w:after="0"/>
              <w:rPr>
                <w:sz w:val="20"/>
                <w:szCs w:val="20"/>
                <w:color w:val="auto"/>
              </w:rPr>
            </w:pPr>
            <w:r>
              <w:rPr>
                <w:rFonts w:ascii="Arial" w:cs="Arial" w:eastAsia="Arial" w:hAnsi="Arial"/>
                <w:sz w:val="16"/>
                <w:szCs w:val="16"/>
                <w:b w:val="1"/>
                <w:bCs w:val="1"/>
                <w:color w:val="3E3935"/>
              </w:rPr>
              <w:t>W. Bush</w:t>
            </w:r>
          </w:p>
        </w:tc>
        <w:tc>
          <w:tcPr>
            <w:tcW w:w="1080" w:type="dxa"/>
            <w:vAlign w:val="bottom"/>
            <w:tcBorders>
              <w:bottom w:val="single" w:sz="8" w:color="EFEFEE"/>
            </w:tcBorders>
            <w:shd w:val="clear" w:color="auto" w:fill="EFEFEE"/>
          </w:tcPr>
          <w:p>
            <w:pPr>
              <w:spacing w:after="0"/>
              <w:rPr>
                <w:sz w:val="24"/>
                <w:szCs w:val="24"/>
                <w:color w:val="auto"/>
              </w:rPr>
            </w:pPr>
          </w:p>
        </w:tc>
        <w:tc>
          <w:tcPr>
            <w:tcW w:w="860" w:type="dxa"/>
            <w:vAlign w:val="bottom"/>
            <w:tcBorders>
              <w:bottom w:val="single" w:sz="8" w:color="EFEFEE"/>
            </w:tcBorders>
            <w:shd w:val="clear" w:color="auto" w:fill="EFEFEE"/>
          </w:tcPr>
          <w:p>
            <w:pPr>
              <w:spacing w:after="0"/>
              <w:rPr>
                <w:sz w:val="24"/>
                <w:szCs w:val="24"/>
                <w:color w:val="auto"/>
              </w:rPr>
            </w:pPr>
          </w:p>
        </w:tc>
        <w:tc>
          <w:tcPr>
            <w:tcW w:w="1120" w:type="dxa"/>
            <w:vAlign w:val="bottom"/>
            <w:tcBorders>
              <w:bottom w:val="single" w:sz="8" w:color="EFEFEE"/>
            </w:tcBorders>
            <w:shd w:val="clear" w:color="auto" w:fill="EFEFEE"/>
          </w:tcPr>
          <w:p>
            <w:pPr>
              <w:spacing w:after="0"/>
              <w:rPr>
                <w:sz w:val="24"/>
                <w:szCs w:val="24"/>
                <w:color w:val="auto"/>
              </w:rPr>
            </w:pPr>
          </w:p>
        </w:tc>
        <w:tc>
          <w:tcPr>
            <w:tcW w:w="920" w:type="dxa"/>
            <w:vAlign w:val="bottom"/>
            <w:tcBorders>
              <w:bottom w:val="single" w:sz="8" w:color="EFEFEE"/>
            </w:tcBorders>
            <w:shd w:val="clear" w:color="auto" w:fill="EFEFEE"/>
          </w:tcPr>
          <w:p>
            <w:pPr>
              <w:spacing w:after="0"/>
              <w:rPr>
                <w:sz w:val="24"/>
                <w:szCs w:val="24"/>
                <w:color w:val="auto"/>
              </w:rPr>
            </w:pPr>
          </w:p>
        </w:tc>
        <w:tc>
          <w:tcPr>
            <w:tcW w:w="1100" w:type="dxa"/>
            <w:vAlign w:val="bottom"/>
            <w:tcBorders>
              <w:bottom w:val="single" w:sz="8" w:color="EFEFEE"/>
            </w:tcBorders>
            <w:shd w:val="clear" w:color="auto" w:fill="EFEFEE"/>
          </w:tcPr>
          <w:p>
            <w:pPr>
              <w:spacing w:after="0"/>
              <w:rPr>
                <w:sz w:val="24"/>
                <w:szCs w:val="24"/>
                <w:color w:val="auto"/>
              </w:rPr>
            </w:pPr>
          </w:p>
        </w:tc>
        <w:tc>
          <w:tcPr>
            <w:tcW w:w="880" w:type="dxa"/>
            <w:vAlign w:val="bottom"/>
            <w:tcBorders>
              <w:bottom w:val="single" w:sz="8" w:color="EFEFEE"/>
            </w:tcBorders>
            <w:shd w:val="clear" w:color="auto" w:fill="EFEFEE"/>
          </w:tcPr>
          <w:p>
            <w:pPr>
              <w:spacing w:after="0"/>
              <w:rPr>
                <w:sz w:val="24"/>
                <w:szCs w:val="24"/>
                <w:color w:val="auto"/>
              </w:rPr>
            </w:pPr>
          </w:p>
        </w:tc>
        <w:tc>
          <w:tcPr>
            <w:tcW w:w="1100" w:type="dxa"/>
            <w:vAlign w:val="bottom"/>
            <w:tcBorders>
              <w:bottom w:val="single" w:sz="8" w:color="EFEFEE"/>
            </w:tcBorders>
            <w:shd w:val="clear" w:color="auto" w:fill="EFEFEE"/>
          </w:tcPr>
          <w:p>
            <w:pPr>
              <w:spacing w:after="0"/>
              <w:rPr>
                <w:sz w:val="24"/>
                <w:szCs w:val="24"/>
                <w:color w:val="auto"/>
              </w:rPr>
            </w:pPr>
          </w:p>
        </w:tc>
        <w:tc>
          <w:tcPr>
            <w:tcW w:w="880" w:type="dxa"/>
            <w:vAlign w:val="bottom"/>
            <w:tcBorders>
              <w:bottom w:val="single" w:sz="8" w:color="EFEFEE"/>
            </w:tcBorders>
            <w:shd w:val="clear" w:color="auto" w:fill="EFEFEE"/>
          </w:tcPr>
          <w:p>
            <w:pPr>
              <w:spacing w:after="0"/>
              <w:rPr>
                <w:sz w:val="24"/>
                <w:szCs w:val="24"/>
                <w:color w:val="auto"/>
              </w:rPr>
            </w:pPr>
          </w:p>
        </w:tc>
        <w:tc>
          <w:tcPr>
            <w:tcW w:w="1000" w:type="dxa"/>
            <w:vAlign w:val="bottom"/>
            <w:tcBorders>
              <w:bottom w:val="single" w:sz="8" w:color="EFEFEE"/>
            </w:tcBorders>
            <w:shd w:val="clear" w:color="auto" w:fill="EFEFEE"/>
          </w:tcPr>
          <w:p>
            <w:pPr>
              <w:jc w:val="center"/>
              <w:ind w:left="6"/>
              <w:spacing w:after="0"/>
              <w:rPr>
                <w:sz w:val="20"/>
                <w:szCs w:val="20"/>
                <w:color w:val="auto"/>
              </w:rPr>
            </w:pPr>
            <w:r>
              <w:rPr>
                <w:rFonts w:ascii="Arial" w:cs="Arial" w:eastAsia="Arial" w:hAnsi="Arial"/>
                <w:sz w:val="20"/>
                <w:szCs w:val="20"/>
                <w:b w:val="1"/>
                <w:bCs w:val="1"/>
                <w:color w:val="0071CE"/>
                <w:w w:val="99"/>
              </w:rPr>
              <w:t>ESG</w:t>
            </w:r>
          </w:p>
        </w:tc>
      </w:tr>
      <w:tr>
        <w:trPr>
          <w:trHeight w:val="358"/>
        </w:trPr>
        <w:tc>
          <w:tcPr>
            <w:tcW w:w="2080" w:type="dxa"/>
            <w:vAlign w:val="bottom"/>
          </w:tcPr>
          <w:p>
            <w:pPr>
              <w:ind w:left="60"/>
              <w:spacing w:after="0"/>
              <w:rPr>
                <w:sz w:val="20"/>
                <w:szCs w:val="20"/>
                <w:color w:val="auto"/>
              </w:rPr>
            </w:pPr>
            <w:r>
              <w:rPr>
                <w:rFonts w:ascii="Arial" w:cs="Arial" w:eastAsia="Arial" w:hAnsi="Arial"/>
                <w:sz w:val="16"/>
                <w:szCs w:val="16"/>
                <w:b w:val="1"/>
                <w:bCs w:val="1"/>
                <w:color w:val="3E3935"/>
              </w:rPr>
              <w:t>J. Crevoiserat</w:t>
            </w:r>
          </w:p>
        </w:tc>
        <w:tc>
          <w:tcPr>
            <w:tcW w:w="10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0" w:type="dxa"/>
            <w:vAlign w:val="bottom"/>
          </w:tcPr>
          <w:p>
            <w:pPr>
              <w:jc w:val="center"/>
              <w:ind w:left="6"/>
              <w:spacing w:after="0"/>
              <w:rPr>
                <w:sz w:val="20"/>
                <w:szCs w:val="20"/>
                <w:color w:val="auto"/>
              </w:rPr>
            </w:pPr>
            <w:r>
              <w:rPr>
                <w:rFonts w:ascii="Arial" w:cs="Arial" w:eastAsia="Arial" w:hAnsi="Arial"/>
                <w:sz w:val="20"/>
                <w:szCs w:val="20"/>
                <w:b w:val="1"/>
                <w:bCs w:val="1"/>
                <w:color w:val="0071CE"/>
                <w:w w:val="99"/>
              </w:rPr>
              <w:t>ESG</w:t>
            </w:r>
          </w:p>
        </w:tc>
      </w:tr>
      <w:tr>
        <w:trPr>
          <w:trHeight w:val="34"/>
        </w:trPr>
        <w:tc>
          <w:tcPr>
            <w:tcW w:w="20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372"/>
        </w:trPr>
        <w:tc>
          <w:tcPr>
            <w:tcW w:w="2080" w:type="dxa"/>
            <w:vAlign w:val="bottom"/>
            <w:tcBorders>
              <w:bottom w:val="single" w:sz="8" w:color="EFEFEE"/>
            </w:tcBorders>
            <w:shd w:val="clear" w:color="auto" w:fill="EFEFEE"/>
          </w:tcPr>
          <w:p>
            <w:pPr>
              <w:ind w:left="60"/>
              <w:spacing w:after="0"/>
              <w:rPr>
                <w:sz w:val="20"/>
                <w:szCs w:val="20"/>
                <w:color w:val="auto"/>
              </w:rPr>
            </w:pPr>
            <w:r>
              <w:rPr>
                <w:rFonts w:ascii="Arial" w:cs="Arial" w:eastAsia="Arial" w:hAnsi="Arial"/>
                <w:sz w:val="16"/>
                <w:szCs w:val="16"/>
                <w:b w:val="1"/>
                <w:bCs w:val="1"/>
                <w:color w:val="3E3935"/>
              </w:rPr>
              <w:t>L. Gooden</w:t>
            </w:r>
          </w:p>
        </w:tc>
        <w:tc>
          <w:tcPr>
            <w:tcW w:w="1080" w:type="dxa"/>
            <w:vAlign w:val="bottom"/>
            <w:tcBorders>
              <w:bottom w:val="single" w:sz="8" w:color="EFEFEE"/>
            </w:tcBorders>
            <w:shd w:val="clear" w:color="auto" w:fill="EFEFEE"/>
          </w:tcPr>
          <w:p>
            <w:pPr>
              <w:spacing w:after="0"/>
              <w:rPr>
                <w:sz w:val="24"/>
                <w:szCs w:val="24"/>
                <w:color w:val="auto"/>
              </w:rPr>
            </w:pPr>
          </w:p>
        </w:tc>
        <w:tc>
          <w:tcPr>
            <w:tcW w:w="860" w:type="dxa"/>
            <w:vAlign w:val="bottom"/>
            <w:tcBorders>
              <w:bottom w:val="single" w:sz="8" w:color="EFEFEE"/>
            </w:tcBorders>
            <w:shd w:val="clear" w:color="auto" w:fill="EFEFEE"/>
          </w:tcPr>
          <w:p>
            <w:pPr>
              <w:spacing w:after="0"/>
              <w:rPr>
                <w:sz w:val="24"/>
                <w:szCs w:val="24"/>
                <w:color w:val="auto"/>
              </w:rPr>
            </w:pPr>
          </w:p>
        </w:tc>
        <w:tc>
          <w:tcPr>
            <w:tcW w:w="1120" w:type="dxa"/>
            <w:vAlign w:val="bottom"/>
            <w:tcBorders>
              <w:bottom w:val="single" w:sz="8" w:color="EFEFEE"/>
            </w:tcBorders>
            <w:shd w:val="clear" w:color="auto" w:fill="EFEFEE"/>
          </w:tcPr>
          <w:p>
            <w:pPr>
              <w:spacing w:after="0"/>
              <w:rPr>
                <w:sz w:val="24"/>
                <w:szCs w:val="24"/>
                <w:color w:val="auto"/>
              </w:rPr>
            </w:pPr>
          </w:p>
        </w:tc>
        <w:tc>
          <w:tcPr>
            <w:tcW w:w="920" w:type="dxa"/>
            <w:vAlign w:val="bottom"/>
            <w:tcBorders>
              <w:bottom w:val="single" w:sz="8" w:color="EFEFEE"/>
            </w:tcBorders>
            <w:shd w:val="clear" w:color="auto" w:fill="EFEFEE"/>
          </w:tcPr>
          <w:p>
            <w:pPr>
              <w:spacing w:after="0"/>
              <w:rPr>
                <w:sz w:val="24"/>
                <w:szCs w:val="24"/>
                <w:color w:val="auto"/>
              </w:rPr>
            </w:pPr>
          </w:p>
        </w:tc>
        <w:tc>
          <w:tcPr>
            <w:tcW w:w="1100" w:type="dxa"/>
            <w:vAlign w:val="bottom"/>
            <w:tcBorders>
              <w:bottom w:val="single" w:sz="8" w:color="EFEFEE"/>
            </w:tcBorders>
            <w:shd w:val="clear" w:color="auto" w:fill="EFEFEE"/>
          </w:tcPr>
          <w:p>
            <w:pPr>
              <w:spacing w:after="0"/>
              <w:rPr>
                <w:sz w:val="24"/>
                <w:szCs w:val="24"/>
                <w:color w:val="auto"/>
              </w:rPr>
            </w:pPr>
          </w:p>
        </w:tc>
        <w:tc>
          <w:tcPr>
            <w:tcW w:w="880" w:type="dxa"/>
            <w:vAlign w:val="bottom"/>
            <w:tcBorders>
              <w:bottom w:val="single" w:sz="8" w:color="EFEFEE"/>
            </w:tcBorders>
            <w:shd w:val="clear" w:color="auto" w:fill="EFEFEE"/>
          </w:tcPr>
          <w:p>
            <w:pPr>
              <w:spacing w:after="0"/>
              <w:rPr>
                <w:sz w:val="24"/>
                <w:szCs w:val="24"/>
                <w:color w:val="auto"/>
              </w:rPr>
            </w:pPr>
          </w:p>
        </w:tc>
        <w:tc>
          <w:tcPr>
            <w:tcW w:w="1100" w:type="dxa"/>
            <w:vAlign w:val="bottom"/>
            <w:tcBorders>
              <w:bottom w:val="single" w:sz="8" w:color="EFEFEE"/>
            </w:tcBorders>
            <w:shd w:val="clear" w:color="auto" w:fill="EFEFEE"/>
          </w:tcPr>
          <w:p>
            <w:pPr>
              <w:spacing w:after="0"/>
              <w:rPr>
                <w:sz w:val="24"/>
                <w:szCs w:val="24"/>
                <w:color w:val="auto"/>
              </w:rPr>
            </w:pPr>
          </w:p>
        </w:tc>
        <w:tc>
          <w:tcPr>
            <w:tcW w:w="880" w:type="dxa"/>
            <w:vAlign w:val="bottom"/>
            <w:tcBorders>
              <w:bottom w:val="single" w:sz="8" w:color="EFEFEE"/>
            </w:tcBorders>
            <w:shd w:val="clear" w:color="auto" w:fill="EFEFEE"/>
          </w:tcPr>
          <w:p>
            <w:pPr>
              <w:spacing w:after="0"/>
              <w:rPr>
                <w:sz w:val="24"/>
                <w:szCs w:val="24"/>
                <w:color w:val="auto"/>
              </w:rPr>
            </w:pPr>
          </w:p>
        </w:tc>
        <w:tc>
          <w:tcPr>
            <w:tcW w:w="1000" w:type="dxa"/>
            <w:vAlign w:val="bottom"/>
            <w:tcBorders>
              <w:bottom w:val="single" w:sz="8" w:color="EFEFEE"/>
            </w:tcBorders>
            <w:shd w:val="clear" w:color="auto" w:fill="EFEFEE"/>
          </w:tcPr>
          <w:p>
            <w:pPr>
              <w:jc w:val="center"/>
              <w:ind w:left="26"/>
              <w:spacing w:after="0"/>
              <w:rPr>
                <w:sz w:val="20"/>
                <w:szCs w:val="20"/>
                <w:color w:val="auto"/>
              </w:rPr>
            </w:pPr>
            <w:r>
              <w:rPr>
                <w:rFonts w:ascii="Arial" w:cs="Arial" w:eastAsia="Arial" w:hAnsi="Arial"/>
                <w:sz w:val="20"/>
                <w:szCs w:val="20"/>
                <w:b w:val="1"/>
                <w:bCs w:val="1"/>
                <w:color w:val="0071CE"/>
                <w:w w:val="96"/>
              </w:rPr>
              <w:t>SG</w:t>
            </w:r>
          </w:p>
        </w:tc>
      </w:tr>
      <w:tr>
        <w:trPr>
          <w:trHeight w:val="358"/>
        </w:trPr>
        <w:tc>
          <w:tcPr>
            <w:tcW w:w="2080" w:type="dxa"/>
            <w:vAlign w:val="bottom"/>
          </w:tcPr>
          <w:p>
            <w:pPr>
              <w:ind w:left="60"/>
              <w:spacing w:after="0"/>
              <w:rPr>
                <w:sz w:val="20"/>
                <w:szCs w:val="20"/>
                <w:color w:val="auto"/>
              </w:rPr>
            </w:pPr>
            <w:r>
              <w:rPr>
                <w:rFonts w:ascii="Arial" w:cs="Arial" w:eastAsia="Arial" w:hAnsi="Arial"/>
                <w:sz w:val="16"/>
                <w:szCs w:val="16"/>
                <w:b w:val="1"/>
                <w:bCs w:val="1"/>
                <w:color w:val="3E3935"/>
              </w:rPr>
              <w:t>J. Jimenez</w:t>
            </w:r>
          </w:p>
        </w:tc>
        <w:tc>
          <w:tcPr>
            <w:tcW w:w="10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0" w:type="dxa"/>
            <w:vAlign w:val="bottom"/>
          </w:tcPr>
          <w:p>
            <w:pPr>
              <w:jc w:val="center"/>
              <w:ind w:left="26"/>
              <w:spacing w:after="0"/>
              <w:rPr>
                <w:sz w:val="20"/>
                <w:szCs w:val="20"/>
                <w:color w:val="auto"/>
              </w:rPr>
            </w:pPr>
            <w:r>
              <w:rPr>
                <w:rFonts w:ascii="Arial" w:cs="Arial" w:eastAsia="Arial" w:hAnsi="Arial"/>
                <w:sz w:val="20"/>
                <w:szCs w:val="20"/>
                <w:b w:val="1"/>
                <w:bCs w:val="1"/>
                <w:color w:val="0071CE"/>
                <w:w w:val="96"/>
              </w:rPr>
              <w:t>EG</w:t>
            </w:r>
          </w:p>
        </w:tc>
      </w:tr>
      <w:tr>
        <w:trPr>
          <w:trHeight w:val="34"/>
        </w:trPr>
        <w:tc>
          <w:tcPr>
            <w:tcW w:w="20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371"/>
        </w:trPr>
        <w:tc>
          <w:tcPr>
            <w:tcW w:w="2080" w:type="dxa"/>
            <w:vAlign w:val="bottom"/>
            <w:tcBorders>
              <w:bottom w:val="single" w:sz="8" w:color="EFEFEE"/>
            </w:tcBorders>
            <w:shd w:val="clear" w:color="auto" w:fill="EFEFEE"/>
          </w:tcPr>
          <w:p>
            <w:pPr>
              <w:ind w:left="60"/>
              <w:spacing w:after="0"/>
              <w:rPr>
                <w:sz w:val="20"/>
                <w:szCs w:val="20"/>
                <w:color w:val="auto"/>
              </w:rPr>
            </w:pPr>
            <w:r>
              <w:rPr>
                <w:rFonts w:ascii="Arial" w:cs="Arial" w:eastAsia="Arial" w:hAnsi="Arial"/>
                <w:sz w:val="16"/>
                <w:szCs w:val="16"/>
                <w:b w:val="1"/>
                <w:bCs w:val="1"/>
                <w:color w:val="3E3935"/>
              </w:rPr>
              <w:t>J. McNeill</w:t>
            </w:r>
          </w:p>
        </w:tc>
        <w:tc>
          <w:tcPr>
            <w:tcW w:w="1080" w:type="dxa"/>
            <w:vAlign w:val="bottom"/>
            <w:tcBorders>
              <w:bottom w:val="single" w:sz="8" w:color="EFEFEE"/>
            </w:tcBorders>
            <w:shd w:val="clear" w:color="auto" w:fill="EFEFEE"/>
          </w:tcPr>
          <w:p>
            <w:pPr>
              <w:spacing w:after="0"/>
              <w:rPr>
                <w:sz w:val="24"/>
                <w:szCs w:val="24"/>
                <w:color w:val="auto"/>
              </w:rPr>
            </w:pPr>
          </w:p>
        </w:tc>
        <w:tc>
          <w:tcPr>
            <w:tcW w:w="860" w:type="dxa"/>
            <w:vAlign w:val="bottom"/>
            <w:tcBorders>
              <w:bottom w:val="single" w:sz="8" w:color="EFEFEE"/>
            </w:tcBorders>
            <w:shd w:val="clear" w:color="auto" w:fill="EFEFEE"/>
          </w:tcPr>
          <w:p>
            <w:pPr>
              <w:spacing w:after="0"/>
              <w:rPr>
                <w:sz w:val="24"/>
                <w:szCs w:val="24"/>
                <w:color w:val="auto"/>
              </w:rPr>
            </w:pPr>
          </w:p>
        </w:tc>
        <w:tc>
          <w:tcPr>
            <w:tcW w:w="1120" w:type="dxa"/>
            <w:vAlign w:val="bottom"/>
            <w:tcBorders>
              <w:bottom w:val="single" w:sz="8" w:color="EFEFEE"/>
            </w:tcBorders>
            <w:shd w:val="clear" w:color="auto" w:fill="EFEFEE"/>
          </w:tcPr>
          <w:p>
            <w:pPr>
              <w:spacing w:after="0"/>
              <w:rPr>
                <w:sz w:val="24"/>
                <w:szCs w:val="24"/>
                <w:color w:val="auto"/>
              </w:rPr>
            </w:pPr>
          </w:p>
        </w:tc>
        <w:tc>
          <w:tcPr>
            <w:tcW w:w="920" w:type="dxa"/>
            <w:vAlign w:val="bottom"/>
            <w:tcBorders>
              <w:bottom w:val="single" w:sz="8" w:color="EFEFEE"/>
            </w:tcBorders>
            <w:shd w:val="clear" w:color="auto" w:fill="EFEFEE"/>
          </w:tcPr>
          <w:p>
            <w:pPr>
              <w:spacing w:after="0"/>
              <w:rPr>
                <w:sz w:val="24"/>
                <w:szCs w:val="24"/>
                <w:color w:val="auto"/>
              </w:rPr>
            </w:pPr>
          </w:p>
        </w:tc>
        <w:tc>
          <w:tcPr>
            <w:tcW w:w="1100" w:type="dxa"/>
            <w:vAlign w:val="bottom"/>
            <w:tcBorders>
              <w:bottom w:val="single" w:sz="8" w:color="EFEFEE"/>
            </w:tcBorders>
            <w:shd w:val="clear" w:color="auto" w:fill="EFEFEE"/>
          </w:tcPr>
          <w:p>
            <w:pPr>
              <w:spacing w:after="0"/>
              <w:rPr>
                <w:sz w:val="24"/>
                <w:szCs w:val="24"/>
                <w:color w:val="auto"/>
              </w:rPr>
            </w:pPr>
          </w:p>
        </w:tc>
        <w:tc>
          <w:tcPr>
            <w:tcW w:w="880" w:type="dxa"/>
            <w:vAlign w:val="bottom"/>
            <w:tcBorders>
              <w:bottom w:val="single" w:sz="8" w:color="EFEFEE"/>
            </w:tcBorders>
            <w:shd w:val="clear" w:color="auto" w:fill="EFEFEE"/>
          </w:tcPr>
          <w:p>
            <w:pPr>
              <w:spacing w:after="0"/>
              <w:rPr>
                <w:sz w:val="24"/>
                <w:szCs w:val="24"/>
                <w:color w:val="auto"/>
              </w:rPr>
            </w:pPr>
          </w:p>
        </w:tc>
        <w:tc>
          <w:tcPr>
            <w:tcW w:w="1100" w:type="dxa"/>
            <w:vAlign w:val="bottom"/>
            <w:tcBorders>
              <w:bottom w:val="single" w:sz="8" w:color="EFEFEE"/>
            </w:tcBorders>
            <w:shd w:val="clear" w:color="auto" w:fill="EFEFEE"/>
          </w:tcPr>
          <w:p>
            <w:pPr>
              <w:spacing w:after="0"/>
              <w:rPr>
                <w:sz w:val="24"/>
                <w:szCs w:val="24"/>
                <w:color w:val="auto"/>
              </w:rPr>
            </w:pPr>
          </w:p>
        </w:tc>
        <w:tc>
          <w:tcPr>
            <w:tcW w:w="880" w:type="dxa"/>
            <w:vAlign w:val="bottom"/>
            <w:tcBorders>
              <w:bottom w:val="single" w:sz="8" w:color="EFEFEE"/>
            </w:tcBorders>
            <w:shd w:val="clear" w:color="auto" w:fill="EFEFEE"/>
          </w:tcPr>
          <w:p>
            <w:pPr>
              <w:spacing w:after="0"/>
              <w:rPr>
                <w:sz w:val="24"/>
                <w:szCs w:val="24"/>
                <w:color w:val="auto"/>
              </w:rPr>
            </w:pPr>
          </w:p>
        </w:tc>
        <w:tc>
          <w:tcPr>
            <w:tcW w:w="1000" w:type="dxa"/>
            <w:vAlign w:val="bottom"/>
            <w:tcBorders>
              <w:bottom w:val="single" w:sz="8" w:color="EFEFEE"/>
            </w:tcBorders>
            <w:shd w:val="clear" w:color="auto" w:fill="EFEFEE"/>
          </w:tcPr>
          <w:p>
            <w:pPr>
              <w:jc w:val="center"/>
              <w:ind w:left="6"/>
              <w:spacing w:after="0"/>
              <w:rPr>
                <w:sz w:val="20"/>
                <w:szCs w:val="20"/>
                <w:color w:val="auto"/>
              </w:rPr>
            </w:pPr>
            <w:r>
              <w:rPr>
                <w:rFonts w:ascii="Arial" w:cs="Arial" w:eastAsia="Arial" w:hAnsi="Arial"/>
                <w:sz w:val="20"/>
                <w:szCs w:val="20"/>
                <w:b w:val="1"/>
                <w:bCs w:val="1"/>
                <w:color w:val="0071CE"/>
                <w:w w:val="99"/>
              </w:rPr>
              <w:t>ESG</w:t>
            </w:r>
          </w:p>
        </w:tc>
      </w:tr>
      <w:tr>
        <w:trPr>
          <w:trHeight w:val="358"/>
        </w:trPr>
        <w:tc>
          <w:tcPr>
            <w:tcW w:w="2080" w:type="dxa"/>
            <w:vAlign w:val="bottom"/>
          </w:tcPr>
          <w:p>
            <w:pPr>
              <w:ind w:left="60"/>
              <w:spacing w:after="0"/>
              <w:rPr>
                <w:sz w:val="20"/>
                <w:szCs w:val="20"/>
                <w:color w:val="auto"/>
              </w:rPr>
            </w:pPr>
            <w:r>
              <w:rPr>
                <w:rFonts w:ascii="Arial" w:cs="Arial" w:eastAsia="Arial" w:hAnsi="Arial"/>
                <w:sz w:val="16"/>
                <w:szCs w:val="16"/>
                <w:b w:val="1"/>
                <w:bCs w:val="1"/>
                <w:color w:val="3E3935"/>
              </w:rPr>
              <w:t>J. Miscik</w:t>
            </w:r>
          </w:p>
        </w:tc>
        <w:tc>
          <w:tcPr>
            <w:tcW w:w="10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0" w:type="dxa"/>
            <w:vAlign w:val="bottom"/>
          </w:tcPr>
          <w:p>
            <w:pPr>
              <w:jc w:val="center"/>
              <w:ind w:left="26"/>
              <w:spacing w:after="0"/>
              <w:rPr>
                <w:sz w:val="20"/>
                <w:szCs w:val="20"/>
                <w:color w:val="auto"/>
              </w:rPr>
            </w:pPr>
            <w:r>
              <w:rPr>
                <w:rFonts w:ascii="Arial" w:cs="Arial" w:eastAsia="Arial" w:hAnsi="Arial"/>
                <w:sz w:val="20"/>
                <w:szCs w:val="20"/>
                <w:b w:val="1"/>
                <w:bCs w:val="1"/>
                <w:color w:val="0071CE"/>
              </w:rPr>
              <w:t>G</w:t>
            </w:r>
          </w:p>
        </w:tc>
      </w:tr>
      <w:tr>
        <w:trPr>
          <w:trHeight w:val="34"/>
        </w:trPr>
        <w:tc>
          <w:tcPr>
            <w:tcW w:w="20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372"/>
        </w:trPr>
        <w:tc>
          <w:tcPr>
            <w:tcW w:w="2080" w:type="dxa"/>
            <w:vAlign w:val="bottom"/>
            <w:tcBorders>
              <w:bottom w:val="single" w:sz="8" w:color="EFEFEE"/>
            </w:tcBorders>
            <w:shd w:val="clear" w:color="auto" w:fill="EFEFEE"/>
          </w:tcPr>
          <w:p>
            <w:pPr>
              <w:ind w:left="60"/>
              <w:spacing w:after="0"/>
              <w:rPr>
                <w:sz w:val="20"/>
                <w:szCs w:val="20"/>
                <w:color w:val="auto"/>
              </w:rPr>
            </w:pPr>
            <w:r>
              <w:rPr>
                <w:rFonts w:ascii="Arial" w:cs="Arial" w:eastAsia="Arial" w:hAnsi="Arial"/>
                <w:sz w:val="16"/>
                <w:szCs w:val="16"/>
                <w:b w:val="1"/>
                <w:bCs w:val="1"/>
                <w:color w:val="3E3935"/>
              </w:rPr>
              <w:t>P. Russo</w:t>
            </w:r>
          </w:p>
        </w:tc>
        <w:tc>
          <w:tcPr>
            <w:tcW w:w="1080" w:type="dxa"/>
            <w:vAlign w:val="bottom"/>
            <w:tcBorders>
              <w:bottom w:val="single" w:sz="8" w:color="EFEFEE"/>
            </w:tcBorders>
            <w:shd w:val="clear" w:color="auto" w:fill="EFEFEE"/>
          </w:tcPr>
          <w:p>
            <w:pPr>
              <w:spacing w:after="0"/>
              <w:rPr>
                <w:sz w:val="24"/>
                <w:szCs w:val="24"/>
                <w:color w:val="auto"/>
              </w:rPr>
            </w:pPr>
          </w:p>
        </w:tc>
        <w:tc>
          <w:tcPr>
            <w:tcW w:w="860" w:type="dxa"/>
            <w:vAlign w:val="bottom"/>
            <w:tcBorders>
              <w:bottom w:val="single" w:sz="8" w:color="EFEFEE"/>
            </w:tcBorders>
            <w:shd w:val="clear" w:color="auto" w:fill="EFEFEE"/>
          </w:tcPr>
          <w:p>
            <w:pPr>
              <w:spacing w:after="0"/>
              <w:rPr>
                <w:sz w:val="24"/>
                <w:szCs w:val="24"/>
                <w:color w:val="auto"/>
              </w:rPr>
            </w:pPr>
          </w:p>
        </w:tc>
        <w:tc>
          <w:tcPr>
            <w:tcW w:w="1120" w:type="dxa"/>
            <w:vAlign w:val="bottom"/>
            <w:tcBorders>
              <w:bottom w:val="single" w:sz="8" w:color="EFEFEE"/>
            </w:tcBorders>
            <w:shd w:val="clear" w:color="auto" w:fill="EFEFEE"/>
          </w:tcPr>
          <w:p>
            <w:pPr>
              <w:spacing w:after="0"/>
              <w:rPr>
                <w:sz w:val="24"/>
                <w:szCs w:val="24"/>
                <w:color w:val="auto"/>
              </w:rPr>
            </w:pPr>
          </w:p>
        </w:tc>
        <w:tc>
          <w:tcPr>
            <w:tcW w:w="920" w:type="dxa"/>
            <w:vAlign w:val="bottom"/>
            <w:tcBorders>
              <w:bottom w:val="single" w:sz="8" w:color="EFEFEE"/>
            </w:tcBorders>
            <w:shd w:val="clear" w:color="auto" w:fill="EFEFEE"/>
          </w:tcPr>
          <w:p>
            <w:pPr>
              <w:spacing w:after="0"/>
              <w:rPr>
                <w:sz w:val="24"/>
                <w:szCs w:val="24"/>
                <w:color w:val="auto"/>
              </w:rPr>
            </w:pPr>
          </w:p>
        </w:tc>
        <w:tc>
          <w:tcPr>
            <w:tcW w:w="1100" w:type="dxa"/>
            <w:vAlign w:val="bottom"/>
            <w:tcBorders>
              <w:bottom w:val="single" w:sz="8" w:color="EFEFEE"/>
            </w:tcBorders>
            <w:shd w:val="clear" w:color="auto" w:fill="EFEFEE"/>
          </w:tcPr>
          <w:p>
            <w:pPr>
              <w:spacing w:after="0"/>
              <w:rPr>
                <w:sz w:val="24"/>
                <w:szCs w:val="24"/>
                <w:color w:val="auto"/>
              </w:rPr>
            </w:pPr>
          </w:p>
        </w:tc>
        <w:tc>
          <w:tcPr>
            <w:tcW w:w="880" w:type="dxa"/>
            <w:vAlign w:val="bottom"/>
            <w:tcBorders>
              <w:bottom w:val="single" w:sz="8" w:color="EFEFEE"/>
            </w:tcBorders>
            <w:shd w:val="clear" w:color="auto" w:fill="EFEFEE"/>
          </w:tcPr>
          <w:p>
            <w:pPr>
              <w:spacing w:after="0"/>
              <w:rPr>
                <w:sz w:val="24"/>
                <w:szCs w:val="24"/>
                <w:color w:val="auto"/>
              </w:rPr>
            </w:pPr>
          </w:p>
        </w:tc>
        <w:tc>
          <w:tcPr>
            <w:tcW w:w="1100" w:type="dxa"/>
            <w:vAlign w:val="bottom"/>
            <w:tcBorders>
              <w:bottom w:val="single" w:sz="8" w:color="EFEFEE"/>
            </w:tcBorders>
            <w:shd w:val="clear" w:color="auto" w:fill="EFEFEE"/>
          </w:tcPr>
          <w:p>
            <w:pPr>
              <w:spacing w:after="0"/>
              <w:rPr>
                <w:sz w:val="24"/>
                <w:szCs w:val="24"/>
                <w:color w:val="auto"/>
              </w:rPr>
            </w:pPr>
          </w:p>
        </w:tc>
        <w:tc>
          <w:tcPr>
            <w:tcW w:w="880" w:type="dxa"/>
            <w:vAlign w:val="bottom"/>
            <w:tcBorders>
              <w:bottom w:val="single" w:sz="8" w:color="EFEFEE"/>
            </w:tcBorders>
            <w:shd w:val="clear" w:color="auto" w:fill="EFEFEE"/>
          </w:tcPr>
          <w:p>
            <w:pPr>
              <w:spacing w:after="0"/>
              <w:rPr>
                <w:sz w:val="24"/>
                <w:szCs w:val="24"/>
                <w:color w:val="auto"/>
              </w:rPr>
            </w:pPr>
          </w:p>
        </w:tc>
        <w:tc>
          <w:tcPr>
            <w:tcW w:w="1000" w:type="dxa"/>
            <w:vAlign w:val="bottom"/>
            <w:tcBorders>
              <w:bottom w:val="single" w:sz="8" w:color="EFEFEE"/>
            </w:tcBorders>
            <w:shd w:val="clear" w:color="auto" w:fill="EFEFEE"/>
          </w:tcPr>
          <w:p>
            <w:pPr>
              <w:jc w:val="center"/>
              <w:ind w:left="26"/>
              <w:spacing w:after="0"/>
              <w:rPr>
                <w:sz w:val="20"/>
                <w:szCs w:val="20"/>
                <w:color w:val="auto"/>
              </w:rPr>
            </w:pPr>
            <w:r>
              <w:rPr>
                <w:rFonts w:ascii="Arial" w:cs="Arial" w:eastAsia="Arial" w:hAnsi="Arial"/>
                <w:sz w:val="20"/>
                <w:szCs w:val="20"/>
                <w:b w:val="1"/>
                <w:bCs w:val="1"/>
                <w:color w:val="0071CE"/>
                <w:w w:val="96"/>
              </w:rPr>
              <w:t>SG</w:t>
            </w:r>
          </w:p>
        </w:tc>
      </w:tr>
      <w:tr>
        <w:trPr>
          <w:trHeight w:val="365"/>
        </w:trPr>
        <w:tc>
          <w:tcPr>
            <w:tcW w:w="2080" w:type="dxa"/>
            <w:vAlign w:val="bottom"/>
          </w:tcPr>
          <w:p>
            <w:pPr>
              <w:ind w:left="60"/>
              <w:spacing w:after="0"/>
              <w:rPr>
                <w:sz w:val="20"/>
                <w:szCs w:val="20"/>
                <w:color w:val="auto"/>
              </w:rPr>
            </w:pPr>
            <w:r>
              <w:rPr>
                <w:rFonts w:ascii="Arial" w:cs="Arial" w:eastAsia="Arial" w:hAnsi="Arial"/>
                <w:sz w:val="16"/>
                <w:szCs w:val="16"/>
                <w:b w:val="1"/>
                <w:bCs w:val="1"/>
                <w:color w:val="3E3935"/>
              </w:rPr>
              <w:t>T. Schoewe</w:t>
            </w:r>
          </w:p>
        </w:tc>
        <w:tc>
          <w:tcPr>
            <w:tcW w:w="10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0" w:type="dxa"/>
            <w:vAlign w:val="bottom"/>
          </w:tcPr>
          <w:p>
            <w:pPr>
              <w:jc w:val="center"/>
              <w:ind w:left="26"/>
              <w:spacing w:after="0"/>
              <w:rPr>
                <w:sz w:val="20"/>
                <w:szCs w:val="20"/>
                <w:color w:val="auto"/>
              </w:rPr>
            </w:pPr>
            <w:r>
              <w:rPr>
                <w:rFonts w:ascii="Arial" w:cs="Arial" w:eastAsia="Arial" w:hAnsi="Arial"/>
                <w:sz w:val="20"/>
                <w:szCs w:val="20"/>
                <w:b w:val="1"/>
                <w:bCs w:val="1"/>
                <w:color w:val="0071CE"/>
                <w:w w:val="96"/>
              </w:rPr>
              <w:t>SG</w:t>
            </w:r>
          </w:p>
        </w:tc>
      </w:tr>
      <w:tr>
        <w:trPr>
          <w:trHeight w:val="40"/>
        </w:trPr>
        <w:tc>
          <w:tcPr>
            <w:tcW w:w="20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8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0" w:type="dxa"/>
            <w:vAlign w:val="bottom"/>
          </w:tcPr>
          <w:p>
            <w:pPr>
              <w:spacing w:after="0"/>
              <w:rPr>
                <w:sz w:val="3"/>
                <w:szCs w:val="3"/>
                <w:color w:val="auto"/>
              </w:rPr>
            </w:pPr>
          </w:p>
        </w:tc>
      </w:tr>
      <w:tr>
        <w:trPr>
          <w:trHeight w:val="371"/>
        </w:trPr>
        <w:tc>
          <w:tcPr>
            <w:tcW w:w="2080" w:type="dxa"/>
            <w:vAlign w:val="bottom"/>
            <w:tcBorders>
              <w:bottom w:val="single" w:sz="8" w:color="EFEFEE"/>
            </w:tcBorders>
            <w:shd w:val="clear" w:color="auto" w:fill="EFEFEE"/>
          </w:tcPr>
          <w:p>
            <w:pPr>
              <w:ind w:left="60"/>
              <w:spacing w:after="0"/>
              <w:rPr>
                <w:sz w:val="20"/>
                <w:szCs w:val="20"/>
                <w:color w:val="auto"/>
              </w:rPr>
            </w:pPr>
            <w:r>
              <w:rPr>
                <w:rFonts w:ascii="Arial" w:cs="Arial" w:eastAsia="Arial" w:hAnsi="Arial"/>
                <w:sz w:val="16"/>
                <w:szCs w:val="16"/>
                <w:b w:val="1"/>
                <w:bCs w:val="1"/>
                <w:color w:val="3E3935"/>
              </w:rPr>
              <w:t>M. Tatum</w:t>
            </w:r>
          </w:p>
        </w:tc>
        <w:tc>
          <w:tcPr>
            <w:tcW w:w="1080" w:type="dxa"/>
            <w:vAlign w:val="bottom"/>
            <w:tcBorders>
              <w:bottom w:val="single" w:sz="8" w:color="EFEFEE"/>
            </w:tcBorders>
            <w:shd w:val="clear" w:color="auto" w:fill="EFEFEE"/>
          </w:tcPr>
          <w:p>
            <w:pPr>
              <w:spacing w:after="0"/>
              <w:rPr>
                <w:sz w:val="24"/>
                <w:szCs w:val="24"/>
                <w:color w:val="auto"/>
              </w:rPr>
            </w:pPr>
          </w:p>
        </w:tc>
        <w:tc>
          <w:tcPr>
            <w:tcW w:w="860" w:type="dxa"/>
            <w:vAlign w:val="bottom"/>
            <w:tcBorders>
              <w:bottom w:val="single" w:sz="8" w:color="EFEFEE"/>
            </w:tcBorders>
            <w:shd w:val="clear" w:color="auto" w:fill="EFEFEE"/>
          </w:tcPr>
          <w:p>
            <w:pPr>
              <w:spacing w:after="0"/>
              <w:rPr>
                <w:sz w:val="24"/>
                <w:szCs w:val="24"/>
                <w:color w:val="auto"/>
              </w:rPr>
            </w:pPr>
          </w:p>
        </w:tc>
        <w:tc>
          <w:tcPr>
            <w:tcW w:w="1120" w:type="dxa"/>
            <w:vAlign w:val="bottom"/>
            <w:tcBorders>
              <w:bottom w:val="single" w:sz="8" w:color="EFEFEE"/>
            </w:tcBorders>
            <w:shd w:val="clear" w:color="auto" w:fill="EFEFEE"/>
          </w:tcPr>
          <w:p>
            <w:pPr>
              <w:spacing w:after="0"/>
              <w:rPr>
                <w:sz w:val="24"/>
                <w:szCs w:val="24"/>
                <w:color w:val="auto"/>
              </w:rPr>
            </w:pPr>
          </w:p>
        </w:tc>
        <w:tc>
          <w:tcPr>
            <w:tcW w:w="920" w:type="dxa"/>
            <w:vAlign w:val="bottom"/>
            <w:tcBorders>
              <w:bottom w:val="single" w:sz="8" w:color="EFEFEE"/>
            </w:tcBorders>
            <w:shd w:val="clear" w:color="auto" w:fill="EFEFEE"/>
          </w:tcPr>
          <w:p>
            <w:pPr>
              <w:spacing w:after="0"/>
              <w:rPr>
                <w:sz w:val="24"/>
                <w:szCs w:val="24"/>
                <w:color w:val="auto"/>
              </w:rPr>
            </w:pPr>
          </w:p>
        </w:tc>
        <w:tc>
          <w:tcPr>
            <w:tcW w:w="1100" w:type="dxa"/>
            <w:vAlign w:val="bottom"/>
            <w:tcBorders>
              <w:bottom w:val="single" w:sz="8" w:color="EFEFEE"/>
            </w:tcBorders>
            <w:shd w:val="clear" w:color="auto" w:fill="EFEFEE"/>
          </w:tcPr>
          <w:p>
            <w:pPr>
              <w:spacing w:after="0"/>
              <w:rPr>
                <w:sz w:val="24"/>
                <w:szCs w:val="24"/>
                <w:color w:val="auto"/>
              </w:rPr>
            </w:pPr>
          </w:p>
        </w:tc>
        <w:tc>
          <w:tcPr>
            <w:tcW w:w="880" w:type="dxa"/>
            <w:vAlign w:val="bottom"/>
            <w:tcBorders>
              <w:bottom w:val="single" w:sz="8" w:color="EFEFEE"/>
            </w:tcBorders>
            <w:shd w:val="clear" w:color="auto" w:fill="EFEFEE"/>
          </w:tcPr>
          <w:p>
            <w:pPr>
              <w:spacing w:after="0"/>
              <w:rPr>
                <w:sz w:val="24"/>
                <w:szCs w:val="24"/>
                <w:color w:val="auto"/>
              </w:rPr>
            </w:pPr>
          </w:p>
        </w:tc>
        <w:tc>
          <w:tcPr>
            <w:tcW w:w="1100" w:type="dxa"/>
            <w:vAlign w:val="bottom"/>
            <w:tcBorders>
              <w:bottom w:val="single" w:sz="8" w:color="EFEFEE"/>
            </w:tcBorders>
            <w:shd w:val="clear" w:color="auto" w:fill="EFEFEE"/>
          </w:tcPr>
          <w:p>
            <w:pPr>
              <w:spacing w:after="0"/>
              <w:rPr>
                <w:sz w:val="24"/>
                <w:szCs w:val="24"/>
                <w:color w:val="auto"/>
              </w:rPr>
            </w:pPr>
          </w:p>
        </w:tc>
        <w:tc>
          <w:tcPr>
            <w:tcW w:w="880" w:type="dxa"/>
            <w:vAlign w:val="bottom"/>
            <w:tcBorders>
              <w:bottom w:val="single" w:sz="8" w:color="EFEFEE"/>
            </w:tcBorders>
            <w:shd w:val="clear" w:color="auto" w:fill="EFEFEE"/>
          </w:tcPr>
          <w:p>
            <w:pPr>
              <w:spacing w:after="0"/>
              <w:rPr>
                <w:sz w:val="24"/>
                <w:szCs w:val="24"/>
                <w:color w:val="auto"/>
              </w:rPr>
            </w:pPr>
          </w:p>
        </w:tc>
        <w:tc>
          <w:tcPr>
            <w:tcW w:w="1000" w:type="dxa"/>
            <w:vAlign w:val="bottom"/>
            <w:tcBorders>
              <w:bottom w:val="single" w:sz="8" w:color="EFEFEE"/>
            </w:tcBorders>
            <w:shd w:val="clear" w:color="auto" w:fill="EFEFEE"/>
          </w:tcPr>
          <w:p>
            <w:pPr>
              <w:jc w:val="center"/>
              <w:ind w:left="26"/>
              <w:spacing w:after="0"/>
              <w:rPr>
                <w:sz w:val="20"/>
                <w:szCs w:val="20"/>
                <w:color w:val="auto"/>
              </w:rPr>
            </w:pPr>
            <w:r>
              <w:rPr>
                <w:rFonts w:ascii="Arial" w:cs="Arial" w:eastAsia="Arial" w:hAnsi="Arial"/>
                <w:sz w:val="20"/>
                <w:szCs w:val="20"/>
                <w:b w:val="1"/>
                <w:bCs w:val="1"/>
                <w:color w:val="0071CE"/>
                <w:w w:val="96"/>
              </w:rPr>
              <w:t>SG</w:t>
            </w:r>
          </w:p>
        </w:tc>
      </w:tr>
      <w:tr>
        <w:trPr>
          <w:trHeight w:val="358"/>
        </w:trPr>
        <w:tc>
          <w:tcPr>
            <w:tcW w:w="2080" w:type="dxa"/>
            <w:vAlign w:val="bottom"/>
          </w:tcPr>
          <w:p>
            <w:pPr>
              <w:ind w:left="60"/>
              <w:spacing w:after="0"/>
              <w:rPr>
                <w:sz w:val="20"/>
                <w:szCs w:val="20"/>
                <w:color w:val="auto"/>
              </w:rPr>
            </w:pPr>
            <w:r>
              <w:rPr>
                <w:rFonts w:ascii="Arial" w:cs="Arial" w:eastAsia="Arial" w:hAnsi="Arial"/>
                <w:sz w:val="16"/>
                <w:szCs w:val="16"/>
                <w:b w:val="1"/>
                <w:bCs w:val="1"/>
                <w:color w:val="3E3935"/>
              </w:rPr>
              <w:t>J. Tighe</w:t>
            </w:r>
          </w:p>
        </w:tc>
        <w:tc>
          <w:tcPr>
            <w:tcW w:w="10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0" w:type="dxa"/>
            <w:vAlign w:val="bottom"/>
          </w:tcPr>
          <w:p>
            <w:pPr>
              <w:jc w:val="center"/>
              <w:ind w:left="26"/>
              <w:spacing w:after="0"/>
              <w:rPr>
                <w:sz w:val="20"/>
                <w:szCs w:val="20"/>
                <w:color w:val="auto"/>
              </w:rPr>
            </w:pPr>
            <w:r>
              <w:rPr>
                <w:rFonts w:ascii="Arial" w:cs="Arial" w:eastAsia="Arial" w:hAnsi="Arial"/>
                <w:sz w:val="20"/>
                <w:szCs w:val="20"/>
                <w:b w:val="1"/>
                <w:bCs w:val="1"/>
                <w:color w:val="0071CE"/>
                <w:w w:val="96"/>
              </w:rPr>
              <w:t>SG</w:t>
            </w:r>
          </w:p>
        </w:tc>
      </w:tr>
      <w:tr>
        <w:trPr>
          <w:trHeight w:val="34"/>
        </w:trPr>
        <w:tc>
          <w:tcPr>
            <w:tcW w:w="20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372"/>
        </w:trPr>
        <w:tc>
          <w:tcPr>
            <w:tcW w:w="2080" w:type="dxa"/>
            <w:vAlign w:val="bottom"/>
            <w:tcBorders>
              <w:bottom w:val="single" w:sz="8" w:color="EFEFEE"/>
            </w:tcBorders>
            <w:shd w:val="clear" w:color="auto" w:fill="EFEFEE"/>
          </w:tcPr>
          <w:p>
            <w:pPr>
              <w:ind w:left="60"/>
              <w:spacing w:after="0"/>
              <w:rPr>
                <w:sz w:val="20"/>
                <w:szCs w:val="20"/>
                <w:color w:val="auto"/>
              </w:rPr>
            </w:pPr>
            <w:r>
              <w:rPr>
                <w:rFonts w:ascii="Arial" w:cs="Arial" w:eastAsia="Arial" w:hAnsi="Arial"/>
                <w:sz w:val="16"/>
                <w:szCs w:val="16"/>
                <w:b w:val="1"/>
                <w:bCs w:val="1"/>
                <w:color w:val="3E3935"/>
              </w:rPr>
              <w:t>D. Wenig</w:t>
            </w:r>
          </w:p>
        </w:tc>
        <w:tc>
          <w:tcPr>
            <w:tcW w:w="1080" w:type="dxa"/>
            <w:vAlign w:val="bottom"/>
            <w:tcBorders>
              <w:bottom w:val="single" w:sz="8" w:color="EFEFEE"/>
            </w:tcBorders>
            <w:shd w:val="clear" w:color="auto" w:fill="EFEFEE"/>
          </w:tcPr>
          <w:p>
            <w:pPr>
              <w:spacing w:after="0"/>
              <w:rPr>
                <w:sz w:val="24"/>
                <w:szCs w:val="24"/>
                <w:color w:val="auto"/>
              </w:rPr>
            </w:pPr>
          </w:p>
        </w:tc>
        <w:tc>
          <w:tcPr>
            <w:tcW w:w="860" w:type="dxa"/>
            <w:vAlign w:val="bottom"/>
            <w:tcBorders>
              <w:bottom w:val="single" w:sz="8" w:color="EFEFEE"/>
            </w:tcBorders>
            <w:shd w:val="clear" w:color="auto" w:fill="EFEFEE"/>
          </w:tcPr>
          <w:p>
            <w:pPr>
              <w:spacing w:after="0"/>
              <w:rPr>
                <w:sz w:val="24"/>
                <w:szCs w:val="24"/>
                <w:color w:val="auto"/>
              </w:rPr>
            </w:pPr>
          </w:p>
        </w:tc>
        <w:tc>
          <w:tcPr>
            <w:tcW w:w="1120" w:type="dxa"/>
            <w:vAlign w:val="bottom"/>
            <w:tcBorders>
              <w:bottom w:val="single" w:sz="8" w:color="EFEFEE"/>
            </w:tcBorders>
            <w:shd w:val="clear" w:color="auto" w:fill="EFEFEE"/>
          </w:tcPr>
          <w:p>
            <w:pPr>
              <w:spacing w:after="0"/>
              <w:rPr>
                <w:sz w:val="24"/>
                <w:szCs w:val="24"/>
                <w:color w:val="auto"/>
              </w:rPr>
            </w:pPr>
          </w:p>
        </w:tc>
        <w:tc>
          <w:tcPr>
            <w:tcW w:w="920" w:type="dxa"/>
            <w:vAlign w:val="bottom"/>
            <w:tcBorders>
              <w:bottom w:val="single" w:sz="8" w:color="EFEFEE"/>
            </w:tcBorders>
            <w:shd w:val="clear" w:color="auto" w:fill="EFEFEE"/>
          </w:tcPr>
          <w:p>
            <w:pPr>
              <w:spacing w:after="0"/>
              <w:rPr>
                <w:sz w:val="24"/>
                <w:szCs w:val="24"/>
                <w:color w:val="auto"/>
              </w:rPr>
            </w:pPr>
          </w:p>
        </w:tc>
        <w:tc>
          <w:tcPr>
            <w:tcW w:w="1100" w:type="dxa"/>
            <w:vAlign w:val="bottom"/>
            <w:tcBorders>
              <w:bottom w:val="single" w:sz="8" w:color="EFEFEE"/>
            </w:tcBorders>
            <w:shd w:val="clear" w:color="auto" w:fill="EFEFEE"/>
          </w:tcPr>
          <w:p>
            <w:pPr>
              <w:spacing w:after="0"/>
              <w:rPr>
                <w:sz w:val="24"/>
                <w:szCs w:val="24"/>
                <w:color w:val="auto"/>
              </w:rPr>
            </w:pPr>
          </w:p>
        </w:tc>
        <w:tc>
          <w:tcPr>
            <w:tcW w:w="880" w:type="dxa"/>
            <w:vAlign w:val="bottom"/>
            <w:tcBorders>
              <w:bottom w:val="single" w:sz="8" w:color="EFEFEE"/>
            </w:tcBorders>
            <w:shd w:val="clear" w:color="auto" w:fill="EFEFEE"/>
          </w:tcPr>
          <w:p>
            <w:pPr>
              <w:spacing w:after="0"/>
              <w:rPr>
                <w:sz w:val="24"/>
                <w:szCs w:val="24"/>
                <w:color w:val="auto"/>
              </w:rPr>
            </w:pPr>
          </w:p>
        </w:tc>
        <w:tc>
          <w:tcPr>
            <w:tcW w:w="1100" w:type="dxa"/>
            <w:vAlign w:val="bottom"/>
            <w:tcBorders>
              <w:bottom w:val="single" w:sz="8" w:color="EFEFEE"/>
            </w:tcBorders>
            <w:shd w:val="clear" w:color="auto" w:fill="EFEFEE"/>
          </w:tcPr>
          <w:p>
            <w:pPr>
              <w:spacing w:after="0"/>
              <w:rPr>
                <w:sz w:val="24"/>
                <w:szCs w:val="24"/>
                <w:color w:val="auto"/>
              </w:rPr>
            </w:pPr>
          </w:p>
        </w:tc>
        <w:tc>
          <w:tcPr>
            <w:tcW w:w="880" w:type="dxa"/>
            <w:vAlign w:val="bottom"/>
            <w:tcBorders>
              <w:bottom w:val="single" w:sz="8" w:color="EFEFEE"/>
            </w:tcBorders>
            <w:shd w:val="clear" w:color="auto" w:fill="EFEFEE"/>
          </w:tcPr>
          <w:p>
            <w:pPr>
              <w:spacing w:after="0"/>
              <w:rPr>
                <w:sz w:val="24"/>
                <w:szCs w:val="24"/>
                <w:color w:val="auto"/>
              </w:rPr>
            </w:pPr>
          </w:p>
        </w:tc>
        <w:tc>
          <w:tcPr>
            <w:tcW w:w="1000" w:type="dxa"/>
            <w:vAlign w:val="bottom"/>
            <w:tcBorders>
              <w:bottom w:val="single" w:sz="8" w:color="EFEFEE"/>
            </w:tcBorders>
            <w:shd w:val="clear" w:color="auto" w:fill="EFEFEE"/>
          </w:tcPr>
          <w:p>
            <w:pPr>
              <w:jc w:val="center"/>
              <w:ind w:left="26"/>
              <w:spacing w:after="0"/>
              <w:rPr>
                <w:sz w:val="20"/>
                <w:szCs w:val="20"/>
                <w:color w:val="auto"/>
              </w:rPr>
            </w:pPr>
            <w:r>
              <w:rPr>
                <w:rFonts w:ascii="Arial" w:cs="Arial" w:eastAsia="Arial" w:hAnsi="Arial"/>
                <w:sz w:val="20"/>
                <w:szCs w:val="20"/>
                <w:b w:val="1"/>
                <w:bCs w:val="1"/>
                <w:color w:val="0071CE"/>
              </w:rPr>
              <w:t>G</w:t>
            </w:r>
          </w:p>
        </w:tc>
      </w:tr>
      <w:tr>
        <w:trPr>
          <w:trHeight w:val="20"/>
        </w:trPr>
        <w:tc>
          <w:tcPr>
            <w:tcW w:w="2080" w:type="dxa"/>
            <w:vAlign w:val="bottom"/>
            <w:shd w:val="clear" w:color="auto" w:fill="3E3935"/>
          </w:tcPr>
          <w:p>
            <w:pPr>
              <w:spacing w:after="0" w:line="20" w:lineRule="exact"/>
              <w:rPr>
                <w:sz w:val="1"/>
                <w:szCs w:val="1"/>
                <w:color w:val="auto"/>
              </w:rPr>
            </w:pPr>
          </w:p>
        </w:tc>
        <w:tc>
          <w:tcPr>
            <w:tcW w:w="1080" w:type="dxa"/>
            <w:vAlign w:val="bottom"/>
            <w:shd w:val="clear" w:color="auto" w:fill="3E3935"/>
          </w:tcPr>
          <w:p>
            <w:pPr>
              <w:spacing w:after="0" w:line="20" w:lineRule="exact"/>
              <w:rPr>
                <w:sz w:val="1"/>
                <w:szCs w:val="1"/>
                <w:color w:val="auto"/>
              </w:rPr>
            </w:pPr>
          </w:p>
        </w:tc>
        <w:tc>
          <w:tcPr>
            <w:tcW w:w="860" w:type="dxa"/>
            <w:vAlign w:val="bottom"/>
            <w:shd w:val="clear" w:color="auto" w:fill="3E3935"/>
          </w:tcPr>
          <w:p>
            <w:pPr>
              <w:spacing w:after="0" w:line="20" w:lineRule="exact"/>
              <w:rPr>
                <w:sz w:val="1"/>
                <w:szCs w:val="1"/>
                <w:color w:val="auto"/>
              </w:rPr>
            </w:pPr>
          </w:p>
        </w:tc>
        <w:tc>
          <w:tcPr>
            <w:tcW w:w="1120" w:type="dxa"/>
            <w:vAlign w:val="bottom"/>
            <w:shd w:val="clear" w:color="auto" w:fill="3E3935"/>
          </w:tcPr>
          <w:p>
            <w:pPr>
              <w:spacing w:after="0" w:line="20" w:lineRule="exact"/>
              <w:rPr>
                <w:sz w:val="1"/>
                <w:szCs w:val="1"/>
                <w:color w:val="auto"/>
              </w:rPr>
            </w:pPr>
          </w:p>
        </w:tc>
        <w:tc>
          <w:tcPr>
            <w:tcW w:w="920" w:type="dxa"/>
            <w:vAlign w:val="bottom"/>
            <w:shd w:val="clear" w:color="auto" w:fill="3E3935"/>
          </w:tcPr>
          <w:p>
            <w:pPr>
              <w:spacing w:after="0" w:line="20" w:lineRule="exact"/>
              <w:rPr>
                <w:sz w:val="1"/>
                <w:szCs w:val="1"/>
                <w:color w:val="auto"/>
              </w:rPr>
            </w:pPr>
          </w:p>
        </w:tc>
        <w:tc>
          <w:tcPr>
            <w:tcW w:w="1100" w:type="dxa"/>
            <w:vAlign w:val="bottom"/>
            <w:shd w:val="clear" w:color="auto" w:fill="3E3935"/>
          </w:tcPr>
          <w:p>
            <w:pPr>
              <w:spacing w:after="0" w:line="20" w:lineRule="exact"/>
              <w:rPr>
                <w:sz w:val="1"/>
                <w:szCs w:val="1"/>
                <w:color w:val="auto"/>
              </w:rPr>
            </w:pPr>
          </w:p>
        </w:tc>
        <w:tc>
          <w:tcPr>
            <w:tcW w:w="880" w:type="dxa"/>
            <w:vAlign w:val="bottom"/>
            <w:shd w:val="clear" w:color="auto" w:fill="3E3935"/>
          </w:tcPr>
          <w:p>
            <w:pPr>
              <w:spacing w:after="0" w:line="20" w:lineRule="exact"/>
              <w:rPr>
                <w:sz w:val="1"/>
                <w:szCs w:val="1"/>
                <w:color w:val="auto"/>
              </w:rPr>
            </w:pPr>
          </w:p>
        </w:tc>
        <w:tc>
          <w:tcPr>
            <w:tcW w:w="1100" w:type="dxa"/>
            <w:vAlign w:val="bottom"/>
            <w:shd w:val="clear" w:color="auto" w:fill="3E3935"/>
          </w:tcPr>
          <w:p>
            <w:pPr>
              <w:spacing w:after="0" w:line="20" w:lineRule="exact"/>
              <w:rPr>
                <w:sz w:val="1"/>
                <w:szCs w:val="1"/>
                <w:color w:val="auto"/>
              </w:rPr>
            </w:pPr>
          </w:p>
        </w:tc>
        <w:tc>
          <w:tcPr>
            <w:tcW w:w="880" w:type="dxa"/>
            <w:vAlign w:val="bottom"/>
            <w:shd w:val="clear" w:color="auto" w:fill="3E3935"/>
          </w:tcPr>
          <w:p>
            <w:pPr>
              <w:spacing w:after="0" w:line="20" w:lineRule="exact"/>
              <w:rPr>
                <w:sz w:val="1"/>
                <w:szCs w:val="1"/>
                <w:color w:val="auto"/>
              </w:rPr>
            </w:pPr>
          </w:p>
        </w:tc>
        <w:tc>
          <w:tcPr>
            <w:tcW w:w="1000" w:type="dxa"/>
            <w:vAlign w:val="bottom"/>
            <w:shd w:val="clear" w:color="auto" w:fill="3E3935"/>
          </w:tcPr>
          <w:p>
            <w:pPr>
              <w:spacing w:after="0" w:line="20" w:lineRule="exact"/>
              <w:rPr>
                <w:sz w:val="1"/>
                <w:szCs w:val="1"/>
                <w:color w:val="auto"/>
              </w:rPr>
            </w:pPr>
          </w:p>
        </w:tc>
      </w:tr>
    </w:tbl>
    <w:p>
      <w:pPr>
        <w:spacing w:after="0" w:line="194" w:lineRule="exact"/>
        <w:rPr>
          <w:sz w:val="20"/>
          <w:szCs w:val="20"/>
          <w:color w:val="auto"/>
        </w:rPr>
      </w:pPr>
    </w:p>
    <w:p>
      <w:pPr>
        <w:jc w:val="both"/>
        <w:ind w:left="120" w:right="20"/>
        <w:spacing w:after="0" w:line="232" w:lineRule="auto"/>
        <w:rPr>
          <w:sz w:val="20"/>
          <w:szCs w:val="20"/>
          <w:color w:val="auto"/>
        </w:rPr>
      </w:pPr>
      <w:r>
        <w:rPr>
          <w:rFonts w:ascii="Arial" w:cs="Arial" w:eastAsia="Arial" w:hAnsi="Arial"/>
          <w:sz w:val="20"/>
          <w:szCs w:val="20"/>
          <w:color w:val="3E3935"/>
        </w:rPr>
        <w:t>To supplement the skills matrix, since 2021, the Board has also undertaken an annual ESG self-evaluation. The evaluation is designed to ensure that the Board possesses the requisite skills and expertise to oversee the Company’s ESG opportunities, priorities, and risks. The Governance Committee, led by our Independent Lead Director, leads this effort by asking directors to consider their expertise across 20 key ESG subject matter areas. Upon the conclusion of this evaluation in 2022, the Board determined that it has strong ESG expertise and possesses a broad range of skills, qualifications, and attributes that will support the Company’s sustainability commitments. Results of the Board’s ESG self-evaluation are represented on the skills matrix above and are highlighted in each of the director nominee biographies below.</w:t>
      </w:r>
    </w:p>
    <w:p>
      <w:pPr>
        <w:spacing w:after="0" w:line="117" w:lineRule="exact"/>
        <w:rPr>
          <w:sz w:val="20"/>
          <w:szCs w:val="20"/>
          <w:color w:val="auto"/>
        </w:rPr>
      </w:pPr>
    </w:p>
    <w:p>
      <w:pPr>
        <w:ind w:left="10660"/>
        <w:spacing w:after="0"/>
        <w:rPr>
          <w:sz w:val="20"/>
          <w:szCs w:val="20"/>
          <w:color w:val="auto"/>
        </w:rPr>
      </w:pPr>
      <w:r>
        <w:rPr>
          <w:rFonts w:ascii="Arial" w:cs="Arial" w:eastAsia="Arial" w:hAnsi="Arial"/>
          <w:sz w:val="14"/>
          <w:szCs w:val="14"/>
          <w:color w:val="0071CE"/>
        </w:rPr>
        <w:t>13</w:t>
      </w:r>
    </w:p>
    <w:p>
      <w:pPr>
        <w:sectPr>
          <w:pgSz w:w="11900" w:h="16838" w:orient="portrait"/>
          <w:cols w:equalWidth="0" w:num="1">
            <w:col w:w="11140"/>
          </w:cols>
          <w:pgMar w:left="320" w:top="482" w:right="439"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b w:val="1"/>
                <w:bCs w:val="1"/>
                <w:color w:val="0000EE"/>
                <w:w w:val="97"/>
              </w:rPr>
              <w:t>Table of Contents</w:t>
            </w:r>
          </w:p>
        </w:tc>
        <w:tc>
          <w:tcPr>
            <w:tcW w:w="5260" w:type="dxa"/>
            <w:vAlign w:val="bottom"/>
          </w:tcPr>
          <w:p>
            <w:pPr>
              <w:spacing w:after="0"/>
              <w:rPr>
                <w:sz w:val="17"/>
                <w:szCs w:val="17"/>
                <w:color w:val="auto"/>
              </w:rPr>
            </w:pPr>
          </w:p>
        </w:tc>
        <w:tc>
          <w:tcPr>
            <w:tcW w:w="3960" w:type="dxa"/>
            <w:vAlign w:val="bottom"/>
          </w:tcPr>
          <w:p>
            <w:pPr>
              <w:spacing w:after="0"/>
              <w:rPr>
                <w:sz w:val="17"/>
                <w:szCs w:val="17"/>
                <w:color w:val="auto"/>
              </w:rPr>
            </w:pPr>
          </w:p>
        </w:tc>
      </w:tr>
      <w:tr>
        <w:trPr>
          <w:trHeight w:val="641"/>
        </w:trPr>
        <w:tc>
          <w:tcPr>
            <w:tcW w:w="440" w:type="dxa"/>
            <w:vAlign w:val="bottom"/>
          </w:tcPr>
          <w:p>
            <w:pPr>
              <w:ind w:left="120"/>
              <w:spacing w:after="0"/>
              <w:rPr>
                <w:sz w:val="20"/>
                <w:szCs w:val="20"/>
                <w:color w:val="auto"/>
              </w:rPr>
            </w:pPr>
            <w:r>
              <w:rPr>
                <w:rFonts w:ascii="Times New Roman" w:cs="Times New Roman" w:eastAsia="Times New Roman" w:hAnsi="Times New Roman"/>
                <w:sz w:val="19"/>
                <w:szCs w:val="19"/>
                <w:color w:val="0071CE"/>
              </w:rPr>
              <w:t>u</w:t>
            </w:r>
          </w:p>
        </w:tc>
        <w:tc>
          <w:tcPr>
            <w:tcW w:w="6180" w:type="dxa"/>
            <w:vAlign w:val="bottom"/>
            <w:gridSpan w:val="2"/>
          </w:tcPr>
          <w:p>
            <w:pPr>
              <w:ind w:left="220"/>
              <w:spacing w:after="0"/>
              <w:rPr>
                <w:sz w:val="20"/>
                <w:szCs w:val="20"/>
                <w:color w:val="auto"/>
              </w:rPr>
            </w:pPr>
            <w:r>
              <w:rPr>
                <w:rFonts w:ascii="Arial" w:cs="Arial" w:eastAsia="Arial" w:hAnsi="Arial"/>
                <w:sz w:val="25"/>
                <w:szCs w:val="25"/>
                <w:b w:val="1"/>
                <w:bCs w:val="1"/>
                <w:color w:val="3E3935"/>
              </w:rPr>
              <w:t>Director Nominee Biographies</w:t>
            </w:r>
          </w:p>
        </w:tc>
        <w:tc>
          <w:tcPr>
            <w:tcW w:w="3960" w:type="dxa"/>
            <w:vAlign w:val="bottom"/>
          </w:tcPr>
          <w:p>
            <w:pPr>
              <w:spacing w:after="0"/>
              <w:rPr>
                <w:sz w:val="24"/>
                <w:szCs w:val="24"/>
                <w:color w:val="auto"/>
              </w:rPr>
            </w:pPr>
          </w:p>
        </w:tc>
      </w:tr>
      <w:tr>
        <w:trPr>
          <w:trHeight w:val="854"/>
        </w:trPr>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260" w:type="dxa"/>
            <w:vAlign w:val="bottom"/>
          </w:tcPr>
          <w:p>
            <w:pPr>
              <w:ind w:left="1300"/>
              <w:spacing w:after="0"/>
              <w:rPr>
                <w:sz w:val="20"/>
                <w:szCs w:val="20"/>
                <w:color w:val="auto"/>
              </w:rPr>
            </w:pPr>
            <w:r>
              <w:rPr>
                <w:rFonts w:ascii="Arial" w:cs="Arial" w:eastAsia="Arial" w:hAnsi="Arial"/>
                <w:sz w:val="20"/>
                <w:szCs w:val="20"/>
                <w:b w:val="1"/>
                <w:bCs w:val="1"/>
                <w:color w:val="3E3935"/>
              </w:rPr>
              <w:t>Director Since</w:t>
            </w:r>
            <w:r>
              <w:rPr>
                <w:rFonts w:ascii="Arial" w:cs="Arial" w:eastAsia="Arial" w:hAnsi="Arial"/>
                <w:sz w:val="20"/>
                <w:szCs w:val="20"/>
                <w:color w:val="3E3935"/>
              </w:rPr>
              <w:t>: 2014</w:t>
            </w:r>
          </w:p>
        </w:tc>
        <w:tc>
          <w:tcPr>
            <w:tcW w:w="3960" w:type="dxa"/>
            <w:vAlign w:val="bottom"/>
          </w:tcPr>
          <w:p>
            <w:pPr>
              <w:ind w:left="1980"/>
              <w:spacing w:after="0"/>
              <w:rPr>
                <w:sz w:val="20"/>
                <w:szCs w:val="20"/>
                <w:color w:val="auto"/>
              </w:rPr>
            </w:pPr>
            <w:r>
              <w:rPr>
                <w:rFonts w:ascii="Arial" w:cs="Arial" w:eastAsia="Arial" w:hAnsi="Arial"/>
                <w:sz w:val="20"/>
                <w:szCs w:val="20"/>
                <w:b w:val="1"/>
                <w:bCs w:val="1"/>
                <w:color w:val="3E3935"/>
              </w:rPr>
              <w:t>Director Since</w:t>
            </w:r>
            <w:r>
              <w:rPr>
                <w:rFonts w:ascii="Arial" w:cs="Arial" w:eastAsia="Arial" w:hAnsi="Arial"/>
                <w:sz w:val="20"/>
                <w:szCs w:val="20"/>
                <w:color w:val="3E3935"/>
              </w:rPr>
              <w:t>: 2009</w:t>
            </w:r>
          </w:p>
        </w:tc>
      </w:tr>
      <w:tr>
        <w:trPr>
          <w:trHeight w:val="216"/>
        </w:trPr>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260" w:type="dxa"/>
            <w:vAlign w:val="bottom"/>
          </w:tcPr>
          <w:p>
            <w:pPr>
              <w:ind w:left="1300"/>
              <w:spacing w:after="0" w:line="216" w:lineRule="exact"/>
              <w:rPr>
                <w:sz w:val="20"/>
                <w:szCs w:val="20"/>
                <w:color w:val="auto"/>
              </w:rPr>
            </w:pPr>
            <w:r>
              <w:rPr>
                <w:rFonts w:ascii="Arial" w:cs="Arial" w:eastAsia="Arial" w:hAnsi="Arial"/>
                <w:sz w:val="20"/>
                <w:szCs w:val="20"/>
                <w:b w:val="1"/>
                <w:bCs w:val="1"/>
                <w:color w:val="3E3935"/>
              </w:rPr>
              <w:t>Age</w:t>
            </w:r>
            <w:r>
              <w:rPr>
                <w:rFonts w:ascii="Arial" w:cs="Arial" w:eastAsia="Arial" w:hAnsi="Arial"/>
                <w:sz w:val="20"/>
                <w:szCs w:val="20"/>
                <w:color w:val="3E3935"/>
              </w:rPr>
              <w:t>: 61</w:t>
            </w:r>
          </w:p>
        </w:tc>
        <w:tc>
          <w:tcPr>
            <w:tcW w:w="3960" w:type="dxa"/>
            <w:vAlign w:val="bottom"/>
          </w:tcPr>
          <w:p>
            <w:pPr>
              <w:ind w:left="1980"/>
              <w:spacing w:after="0" w:line="216" w:lineRule="exact"/>
              <w:rPr>
                <w:sz w:val="20"/>
                <w:szCs w:val="20"/>
                <w:color w:val="auto"/>
              </w:rPr>
            </w:pPr>
            <w:r>
              <w:rPr>
                <w:rFonts w:ascii="Arial" w:cs="Arial" w:eastAsia="Arial" w:hAnsi="Arial"/>
                <w:sz w:val="20"/>
                <w:szCs w:val="20"/>
                <w:b w:val="1"/>
                <w:bCs w:val="1"/>
                <w:color w:val="3E3935"/>
              </w:rPr>
              <w:t>Age</w:t>
            </w:r>
            <w:r>
              <w:rPr>
                <w:rFonts w:ascii="Arial" w:cs="Arial" w:eastAsia="Arial" w:hAnsi="Arial"/>
                <w:sz w:val="20"/>
                <w:szCs w:val="20"/>
                <w:color w:val="3E3935"/>
              </w:rPr>
              <w:t>: 70</w:t>
            </w:r>
          </w:p>
        </w:tc>
      </w:tr>
      <w:tr>
        <w:trPr>
          <w:trHeight w:val="216"/>
        </w:trPr>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260" w:type="dxa"/>
            <w:vAlign w:val="bottom"/>
          </w:tcPr>
          <w:p>
            <w:pPr>
              <w:ind w:left="1300"/>
              <w:spacing w:after="0" w:line="216" w:lineRule="exact"/>
              <w:rPr>
                <w:sz w:val="20"/>
                <w:szCs w:val="20"/>
                <w:color w:val="auto"/>
              </w:rPr>
            </w:pPr>
            <w:r>
              <w:rPr>
                <w:rFonts w:ascii="Arial" w:cs="Arial" w:eastAsia="Arial" w:hAnsi="Arial"/>
                <w:sz w:val="20"/>
                <w:szCs w:val="20"/>
                <w:b w:val="1"/>
                <w:bCs w:val="1"/>
                <w:color w:val="3E3935"/>
              </w:rPr>
              <w:t>Independent</w:t>
            </w:r>
            <w:r>
              <w:rPr>
                <w:rFonts w:ascii="Arial" w:cs="Arial" w:eastAsia="Arial" w:hAnsi="Arial"/>
                <w:sz w:val="20"/>
                <w:szCs w:val="20"/>
                <w:color w:val="3E3935"/>
              </w:rPr>
              <w:t>: No</w:t>
            </w:r>
          </w:p>
        </w:tc>
        <w:tc>
          <w:tcPr>
            <w:tcW w:w="3960" w:type="dxa"/>
            <w:vAlign w:val="bottom"/>
          </w:tcPr>
          <w:p>
            <w:pPr>
              <w:ind w:left="1980"/>
              <w:spacing w:after="0" w:line="216" w:lineRule="exact"/>
              <w:rPr>
                <w:sz w:val="20"/>
                <w:szCs w:val="20"/>
                <w:color w:val="auto"/>
              </w:rPr>
            </w:pPr>
            <w:r>
              <w:rPr>
                <w:rFonts w:ascii="Arial" w:cs="Arial" w:eastAsia="Arial" w:hAnsi="Arial"/>
                <w:sz w:val="20"/>
                <w:szCs w:val="20"/>
                <w:b w:val="1"/>
                <w:bCs w:val="1"/>
                <w:color w:val="3E3935"/>
              </w:rPr>
              <w:t>Independent</w:t>
            </w:r>
            <w:r>
              <w:rPr>
                <w:rFonts w:ascii="Arial" w:cs="Arial" w:eastAsia="Arial" w:hAnsi="Arial"/>
                <w:sz w:val="20"/>
                <w:szCs w:val="20"/>
                <w:color w:val="3E3935"/>
              </w:rPr>
              <w:t>: Yes</w:t>
            </w:r>
          </w:p>
        </w:tc>
      </w:tr>
      <w:tr>
        <w:trPr>
          <w:trHeight w:val="216"/>
        </w:trPr>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260" w:type="dxa"/>
            <w:vAlign w:val="bottom"/>
          </w:tcPr>
          <w:p>
            <w:pPr>
              <w:ind w:left="1300"/>
              <w:spacing w:after="0" w:line="216" w:lineRule="exact"/>
              <w:rPr>
                <w:sz w:val="20"/>
                <w:szCs w:val="20"/>
                <w:color w:val="auto"/>
              </w:rPr>
            </w:pPr>
            <w:r>
              <w:rPr>
                <w:rFonts w:ascii="Arial" w:cs="Arial" w:eastAsia="Arial" w:hAnsi="Arial"/>
                <w:sz w:val="20"/>
                <w:szCs w:val="20"/>
                <w:b w:val="1"/>
                <w:bCs w:val="1"/>
                <w:color w:val="3E3935"/>
              </w:rPr>
              <w:t>Gender</w:t>
            </w:r>
            <w:r>
              <w:rPr>
                <w:rFonts w:ascii="Arial" w:cs="Arial" w:eastAsia="Arial" w:hAnsi="Arial"/>
                <w:sz w:val="20"/>
                <w:szCs w:val="20"/>
                <w:color w:val="3E3935"/>
              </w:rPr>
              <w:t>: Female</w:t>
            </w:r>
          </w:p>
        </w:tc>
        <w:tc>
          <w:tcPr>
            <w:tcW w:w="3960" w:type="dxa"/>
            <w:vAlign w:val="bottom"/>
          </w:tcPr>
          <w:p>
            <w:pPr>
              <w:ind w:left="1980"/>
              <w:spacing w:after="0" w:line="216" w:lineRule="exact"/>
              <w:rPr>
                <w:sz w:val="20"/>
                <w:szCs w:val="20"/>
                <w:color w:val="auto"/>
              </w:rPr>
            </w:pPr>
            <w:r>
              <w:rPr>
                <w:rFonts w:ascii="Arial" w:cs="Arial" w:eastAsia="Arial" w:hAnsi="Arial"/>
                <w:sz w:val="20"/>
                <w:szCs w:val="20"/>
                <w:b w:val="1"/>
                <w:bCs w:val="1"/>
                <w:color w:val="3E3935"/>
              </w:rPr>
              <w:t>Gender</w:t>
            </w:r>
            <w:r>
              <w:rPr>
                <w:rFonts w:ascii="Arial" w:cs="Arial" w:eastAsia="Arial" w:hAnsi="Arial"/>
                <w:sz w:val="20"/>
                <w:szCs w:val="20"/>
                <w:color w:val="3E3935"/>
              </w:rPr>
              <w:t>: Female</w:t>
            </w:r>
          </w:p>
        </w:tc>
      </w:tr>
      <w:tr>
        <w:trPr>
          <w:trHeight w:val="273"/>
        </w:trPr>
        <w:tc>
          <w:tcPr>
            <w:tcW w:w="4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5260" w:type="dxa"/>
            <w:vAlign w:val="bottom"/>
          </w:tcPr>
          <w:p>
            <w:pPr>
              <w:ind w:left="1300"/>
              <w:spacing w:after="0"/>
              <w:rPr>
                <w:sz w:val="20"/>
                <w:szCs w:val="20"/>
                <w:color w:val="auto"/>
              </w:rPr>
            </w:pPr>
            <w:r>
              <w:rPr>
                <w:rFonts w:ascii="Arial" w:cs="Arial" w:eastAsia="Arial" w:hAnsi="Arial"/>
                <w:sz w:val="20"/>
                <w:szCs w:val="20"/>
                <w:b w:val="1"/>
                <w:bCs w:val="1"/>
                <w:color w:val="3E3935"/>
              </w:rPr>
              <w:t>Race/Ethnicity</w:t>
            </w:r>
            <w:r>
              <w:rPr>
                <w:rFonts w:ascii="Arial" w:cs="Arial" w:eastAsia="Arial" w:hAnsi="Arial"/>
                <w:sz w:val="20"/>
                <w:szCs w:val="20"/>
                <w:color w:val="3E3935"/>
              </w:rPr>
              <w:t>: White</w:t>
            </w:r>
          </w:p>
        </w:tc>
        <w:tc>
          <w:tcPr>
            <w:tcW w:w="3960" w:type="dxa"/>
            <w:vAlign w:val="bottom"/>
          </w:tcPr>
          <w:p>
            <w:pPr>
              <w:ind w:left="1980"/>
              <w:spacing w:after="0"/>
              <w:rPr>
                <w:sz w:val="20"/>
                <w:szCs w:val="20"/>
                <w:color w:val="auto"/>
              </w:rPr>
            </w:pPr>
            <w:r>
              <w:rPr>
                <w:rFonts w:ascii="Arial" w:cs="Arial" w:eastAsia="Arial" w:hAnsi="Arial"/>
                <w:sz w:val="20"/>
                <w:szCs w:val="20"/>
                <w:b w:val="1"/>
                <w:bCs w:val="1"/>
                <w:color w:val="3E3935"/>
                <w:w w:val="97"/>
              </w:rPr>
              <w:t>Race/Ethnicity</w:t>
            </w:r>
            <w:r>
              <w:rPr>
                <w:rFonts w:ascii="Arial" w:cs="Arial" w:eastAsia="Arial" w:hAnsi="Arial"/>
                <w:sz w:val="20"/>
                <w:szCs w:val="20"/>
                <w:color w:val="3E3935"/>
                <w:w w:val="97"/>
              </w:rPr>
              <w:t>: White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4865" cy="55880"/>
                    </a:xfrm>
                    <a:prstGeom prst="rect">
                      <a:avLst/>
                    </a:prstGeom>
                    <a:noFill/>
                  </pic:spPr>
                </pic:pic>
              </a:graphicData>
            </a:graphic>
          </wp:anchor>
        </w:drawing>
        <w:drawing>
          <wp:anchor simplePos="0" relativeHeight="251657728" behindDoc="1" locked="0" layoutInCell="0" allowOverlap="1">
            <wp:simplePos x="0" y="0"/>
            <wp:positionH relativeFrom="column">
              <wp:posOffset>176530</wp:posOffset>
            </wp:positionH>
            <wp:positionV relativeFrom="paragraph">
              <wp:posOffset>-989330</wp:posOffset>
            </wp:positionV>
            <wp:extent cx="1268730" cy="126873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268730" cy="1268730"/>
                    </a:xfrm>
                    <a:prstGeom prst="rect">
                      <a:avLst/>
                    </a:prstGeom>
                    <a:noFill/>
                  </pic:spPr>
                </pic:pic>
              </a:graphicData>
            </a:graphic>
          </wp:anchor>
        </w:drawing>
        <w:drawing>
          <wp:anchor simplePos="0" relativeHeight="251657728" behindDoc="1" locked="0" layoutInCell="0" allowOverlap="1">
            <wp:simplePos x="0" y="0"/>
            <wp:positionH relativeFrom="column">
              <wp:posOffset>3862705</wp:posOffset>
            </wp:positionH>
            <wp:positionV relativeFrom="paragraph">
              <wp:posOffset>-989330</wp:posOffset>
            </wp:positionV>
            <wp:extent cx="1268730" cy="126873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268730" cy="1268730"/>
                    </a:xfrm>
                    <a:prstGeom prst="rect">
                      <a:avLst/>
                    </a:prstGeom>
                    <a:noFill/>
                  </pic:spPr>
                </pic:pic>
              </a:graphicData>
            </a:graphic>
          </wp:anchor>
        </w:drawing>
      </w:r>
    </w:p>
    <w:p>
      <w:pPr>
        <w:sectPr>
          <w:pgSz w:w="11900" w:h="16838" w:orient="portrait"/>
          <w:cols w:equalWidth="0" w:num="1">
            <w:col w:w="11140"/>
          </w:cols>
          <w:pgMar w:left="320" w:top="473" w:right="439" w:bottom="1440" w:gutter="0" w:footer="0" w:header="0"/>
        </w:sectPr>
      </w:pPr>
    </w:p>
    <w:p>
      <w:pPr>
        <w:spacing w:after="0" w:line="200" w:lineRule="exact"/>
        <w:rPr>
          <w:sz w:val="20"/>
          <w:szCs w:val="20"/>
          <w:color w:val="auto"/>
        </w:rPr>
      </w:pPr>
    </w:p>
    <w:p>
      <w:pPr>
        <w:spacing w:after="0" w:line="319" w:lineRule="exact"/>
        <w:rPr>
          <w:sz w:val="20"/>
          <w:szCs w:val="20"/>
          <w:color w:val="auto"/>
        </w:rPr>
      </w:pPr>
    </w:p>
    <w:p>
      <w:pPr>
        <w:ind w:left="1980"/>
        <w:spacing w:after="0"/>
        <w:rPr>
          <w:sz w:val="20"/>
          <w:szCs w:val="20"/>
          <w:color w:val="auto"/>
        </w:rPr>
      </w:pPr>
      <w:r>
        <w:rPr>
          <w:rFonts w:ascii="Arial" w:cs="Arial" w:eastAsia="Arial" w:hAnsi="Arial"/>
          <w:sz w:val="22"/>
          <w:szCs w:val="22"/>
          <w:b w:val="1"/>
          <w:bCs w:val="1"/>
          <w:color w:val="0071CE"/>
        </w:rPr>
        <w:t>Mary T. Barra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54610</wp:posOffset>
            </wp:positionV>
            <wp:extent cx="323151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231515" cy="8255"/>
                    </a:xfrm>
                    <a:prstGeom prst="rect">
                      <a:avLst/>
                    </a:prstGeom>
                    <a:noFill/>
                  </pic:spPr>
                </pic:pic>
              </a:graphicData>
            </a:graphic>
          </wp:anchor>
        </w:drawing>
      </w:r>
    </w:p>
    <w:p>
      <w:pPr>
        <w:spacing w:after="0" w:line="152" w:lineRule="exact"/>
        <w:rPr>
          <w:sz w:val="20"/>
          <w:szCs w:val="20"/>
          <w:color w:val="auto"/>
        </w:rPr>
      </w:pPr>
    </w:p>
    <w:p>
      <w:pPr>
        <w:jc w:val="center"/>
        <w:ind w:left="120"/>
        <w:spacing w:after="0"/>
        <w:rPr>
          <w:sz w:val="20"/>
          <w:szCs w:val="20"/>
          <w:color w:val="auto"/>
        </w:rPr>
      </w:pPr>
      <w:r>
        <w:rPr>
          <w:rFonts w:ascii="Arial" w:cs="Arial" w:eastAsia="Arial" w:hAnsi="Arial"/>
          <w:sz w:val="20"/>
          <w:szCs w:val="20"/>
          <w:i w:val="1"/>
          <w:iCs w:val="1"/>
          <w:color w:val="3E3935"/>
        </w:rPr>
        <w:t>Chair &amp; CEO,</w:t>
      </w:r>
    </w:p>
    <w:p>
      <w:pPr>
        <w:spacing w:after="0" w:line="4" w:lineRule="exact"/>
        <w:rPr>
          <w:sz w:val="20"/>
          <w:szCs w:val="20"/>
          <w:color w:val="auto"/>
        </w:rPr>
      </w:pPr>
    </w:p>
    <w:p>
      <w:pPr>
        <w:jc w:val="center"/>
        <w:ind w:left="120"/>
        <w:spacing w:after="0"/>
        <w:rPr>
          <w:sz w:val="20"/>
          <w:szCs w:val="20"/>
          <w:color w:val="auto"/>
        </w:rPr>
      </w:pPr>
      <w:r>
        <w:rPr>
          <w:rFonts w:ascii="Arial" w:cs="Arial" w:eastAsia="Arial" w:hAnsi="Arial"/>
          <w:sz w:val="20"/>
          <w:szCs w:val="20"/>
          <w:i w:val="1"/>
          <w:iCs w:val="1"/>
          <w:color w:val="3E3935"/>
        </w:rPr>
        <w:t>General Motors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45085</wp:posOffset>
            </wp:positionV>
            <wp:extent cx="323151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231515" cy="8255"/>
                    </a:xfrm>
                    <a:prstGeom prst="rect">
                      <a:avLst/>
                    </a:prstGeom>
                    <a:noFill/>
                  </pic:spPr>
                </pic:pic>
              </a:graphicData>
            </a:graphic>
          </wp:anchor>
        </w:drawing>
      </w:r>
    </w:p>
    <w:p>
      <w:pPr>
        <w:spacing w:after="0" w:line="124" w:lineRule="exact"/>
        <w:rPr>
          <w:sz w:val="20"/>
          <w:szCs w:val="20"/>
          <w:color w:val="auto"/>
        </w:rPr>
      </w:pPr>
    </w:p>
    <w:p>
      <w:pPr>
        <w:ind w:left="120"/>
        <w:spacing w:after="0"/>
        <w:rPr>
          <w:sz w:val="20"/>
          <w:szCs w:val="20"/>
          <w:color w:val="auto"/>
        </w:rPr>
      </w:pPr>
      <w:r>
        <w:rPr>
          <w:rFonts w:ascii="Arial" w:cs="Arial" w:eastAsia="Arial" w:hAnsi="Arial"/>
          <w:sz w:val="20"/>
          <w:szCs w:val="20"/>
          <w:b w:val="1"/>
          <w:bCs w:val="1"/>
          <w:i w:val="1"/>
          <w:iCs w:val="1"/>
          <w:color w:val="00C1DE"/>
        </w:rPr>
        <w:t xml:space="preserve">Committees: </w:t>
      </w:r>
      <w:r>
        <w:rPr>
          <w:rFonts w:ascii="Arial" w:cs="Arial" w:eastAsia="Arial" w:hAnsi="Arial"/>
          <w:sz w:val="20"/>
          <w:szCs w:val="20"/>
          <w:color w:val="3E3935"/>
        </w:rPr>
        <w:t>Executive (Chair)</w:t>
      </w:r>
    </w:p>
    <w:p>
      <w:pPr>
        <w:spacing w:after="0" w:line="148" w:lineRule="exact"/>
        <w:rPr>
          <w:sz w:val="20"/>
          <w:szCs w:val="20"/>
          <w:color w:val="auto"/>
        </w:rPr>
      </w:pPr>
    </w:p>
    <w:p>
      <w:pPr>
        <w:ind w:left="120"/>
        <w:spacing w:after="0"/>
        <w:rPr>
          <w:sz w:val="20"/>
          <w:szCs w:val="20"/>
          <w:color w:val="auto"/>
        </w:rPr>
      </w:pPr>
      <w:r>
        <w:rPr>
          <w:rFonts w:ascii="Arial" w:cs="Arial" w:eastAsia="Arial" w:hAnsi="Arial"/>
          <w:sz w:val="19"/>
          <w:szCs w:val="19"/>
          <w:b w:val="1"/>
          <w:bCs w:val="1"/>
          <w:i w:val="1"/>
          <w:iCs w:val="1"/>
          <w:color w:val="00C1DE"/>
        </w:rPr>
        <w:t xml:space="preserve">Other Public Company Directorships: </w:t>
      </w:r>
      <w:r>
        <w:rPr>
          <w:rFonts w:ascii="Arial" w:cs="Arial" w:eastAsia="Arial" w:hAnsi="Arial"/>
          <w:sz w:val="19"/>
          <w:szCs w:val="19"/>
          <w:color w:val="3E3935"/>
        </w:rPr>
        <w:t>The Walt Disney</w:t>
      </w:r>
    </w:p>
    <w:p>
      <w:pPr>
        <w:spacing w:after="0" w:line="16" w:lineRule="exact"/>
        <w:rPr>
          <w:sz w:val="20"/>
          <w:szCs w:val="20"/>
          <w:color w:val="auto"/>
        </w:rPr>
      </w:pPr>
    </w:p>
    <w:p>
      <w:pPr>
        <w:ind w:left="120"/>
        <w:spacing w:after="0"/>
        <w:rPr>
          <w:sz w:val="20"/>
          <w:szCs w:val="20"/>
          <w:color w:val="auto"/>
        </w:rPr>
      </w:pPr>
      <w:r>
        <w:rPr>
          <w:rFonts w:ascii="Arial" w:cs="Arial" w:eastAsia="Arial" w:hAnsi="Arial"/>
          <w:sz w:val="20"/>
          <w:szCs w:val="20"/>
          <w:color w:val="3E3935"/>
        </w:rPr>
        <w:t>Company</w:t>
      </w:r>
    </w:p>
    <w:p>
      <w:pPr>
        <w:spacing w:after="0" w:line="130" w:lineRule="exact"/>
        <w:rPr>
          <w:sz w:val="20"/>
          <w:szCs w:val="20"/>
          <w:color w:val="auto"/>
        </w:rPr>
      </w:pPr>
    </w:p>
    <w:p>
      <w:pPr>
        <w:ind w:left="120"/>
        <w:spacing w:after="0"/>
        <w:tabs>
          <w:tab w:leader="none" w:pos="820" w:val="left"/>
          <w:tab w:leader="none" w:pos="1700" w:val="left"/>
          <w:tab w:leader="none" w:pos="2860" w:val="left"/>
          <w:tab w:leader="none" w:pos="4480" w:val="left"/>
        </w:tabs>
        <w:rPr>
          <w:sz w:val="20"/>
          <w:szCs w:val="20"/>
          <w:color w:val="auto"/>
        </w:rPr>
      </w:pPr>
      <w:r>
        <w:rPr>
          <w:rFonts w:ascii="Arial" w:cs="Arial" w:eastAsia="Arial" w:hAnsi="Arial"/>
          <w:sz w:val="20"/>
          <w:szCs w:val="20"/>
          <w:b w:val="1"/>
          <w:bCs w:val="1"/>
          <w:i w:val="1"/>
          <w:iCs w:val="1"/>
          <w:color w:val="00C1DE"/>
        </w:rPr>
        <w:t>Prior</w:t>
        <w:tab/>
        <w:t>Public</w:t>
        <w:tab/>
        <w:t>Company</w:t>
        <w:tab/>
        <w:t>Directorships:</w:t>
      </w:r>
      <w:r>
        <w:rPr>
          <w:sz w:val="20"/>
          <w:szCs w:val="20"/>
          <w:color w:val="auto"/>
        </w:rPr>
        <w:tab/>
      </w:r>
      <w:r>
        <w:rPr>
          <w:rFonts w:ascii="Arial" w:cs="Arial" w:eastAsia="Arial" w:hAnsi="Arial"/>
          <w:sz w:val="19"/>
          <w:szCs w:val="19"/>
          <w:color w:val="3E3935"/>
        </w:rPr>
        <w:t>General</w:t>
      </w:r>
    </w:p>
    <w:p>
      <w:pPr>
        <w:spacing w:after="0" w:line="4" w:lineRule="exact"/>
        <w:rPr>
          <w:sz w:val="20"/>
          <w:szCs w:val="20"/>
          <w:color w:val="auto"/>
        </w:rPr>
      </w:pPr>
    </w:p>
    <w:p>
      <w:pPr>
        <w:ind w:left="120"/>
        <w:spacing w:after="0"/>
        <w:rPr>
          <w:sz w:val="20"/>
          <w:szCs w:val="20"/>
          <w:color w:val="auto"/>
        </w:rPr>
      </w:pPr>
      <w:r>
        <w:rPr>
          <w:rFonts w:ascii="Arial" w:cs="Arial" w:eastAsia="Arial" w:hAnsi="Arial"/>
          <w:sz w:val="20"/>
          <w:szCs w:val="20"/>
          <w:color w:val="3E3935"/>
        </w:rPr>
        <w:t>Dynamics Corporation</w:t>
      </w:r>
    </w:p>
    <w:p>
      <w:pPr>
        <w:spacing w:after="0" w:line="130" w:lineRule="exact"/>
        <w:rPr>
          <w:sz w:val="20"/>
          <w:szCs w:val="20"/>
          <w:color w:val="auto"/>
        </w:rPr>
      </w:pPr>
    </w:p>
    <w:p>
      <w:pPr>
        <w:jc w:val="both"/>
        <w:ind w:left="120"/>
        <w:spacing w:after="0" w:line="229" w:lineRule="auto"/>
        <w:rPr>
          <w:sz w:val="20"/>
          <w:szCs w:val="20"/>
          <w:color w:val="auto"/>
        </w:rPr>
      </w:pPr>
      <w:r>
        <w:rPr>
          <w:rFonts w:ascii="Arial" w:cs="Arial" w:eastAsia="Arial" w:hAnsi="Arial"/>
          <w:sz w:val="20"/>
          <w:szCs w:val="20"/>
          <w:b w:val="1"/>
          <w:bCs w:val="1"/>
          <w:i w:val="1"/>
          <w:iCs w:val="1"/>
          <w:color w:val="00C1DE"/>
        </w:rPr>
        <w:t xml:space="preserve">Prior Experience: </w:t>
      </w:r>
      <w:r>
        <w:rPr>
          <w:rFonts w:ascii="Arial" w:cs="Arial" w:eastAsia="Arial" w:hAnsi="Arial"/>
          <w:sz w:val="20"/>
          <w:szCs w:val="20"/>
          <w:color w:val="3E3935"/>
        </w:rPr>
        <w:t>Ms. Barra is Chair and CEO of</w:t>
      </w:r>
      <w:r>
        <w:rPr>
          <w:rFonts w:ascii="Arial" w:cs="Arial" w:eastAsia="Arial" w:hAnsi="Arial"/>
          <w:sz w:val="20"/>
          <w:szCs w:val="20"/>
          <w:b w:val="1"/>
          <w:bCs w:val="1"/>
          <w:i w:val="1"/>
          <w:iCs w:val="1"/>
          <w:color w:val="00C1DE"/>
        </w:rPr>
        <w:t xml:space="preserve"> </w:t>
      </w:r>
      <w:r>
        <w:rPr>
          <w:rFonts w:ascii="Arial" w:cs="Arial" w:eastAsia="Arial" w:hAnsi="Arial"/>
          <w:sz w:val="20"/>
          <w:szCs w:val="20"/>
          <w:color w:val="3E3935"/>
        </w:rPr>
        <w:t>General Motors. She has served as Chair of the Board of Directors since January 2016 and has served as CEO since January 2014. Prior to becoming CEO, Ms. Barra served as GM’s Executive Vice President, Global Product Development, Purchasing and Supply Chain from 2013 to 2014; Senior Vice President, Global Product Development from 2011 to 2013; Vice President, Global Human Resources from 2009 to 2011; and Vice President, Global Manufacturing Engineering from 2008 to 2009. Ms. Barra began her career with GM in 1980.</w:t>
      </w:r>
    </w:p>
    <w:p>
      <w:pPr>
        <w:spacing w:after="0" w:line="124" w:lineRule="exact"/>
        <w:rPr>
          <w:sz w:val="20"/>
          <w:szCs w:val="20"/>
          <w:color w:val="auto"/>
        </w:rPr>
      </w:pPr>
    </w:p>
    <w:p>
      <w:pPr>
        <w:jc w:val="both"/>
        <w:ind w:left="120"/>
        <w:spacing w:after="0" w:line="233" w:lineRule="auto"/>
        <w:rPr>
          <w:sz w:val="20"/>
          <w:szCs w:val="20"/>
          <w:color w:val="auto"/>
        </w:rPr>
      </w:pPr>
      <w:r>
        <w:rPr>
          <w:rFonts w:ascii="Arial" w:cs="Arial" w:eastAsia="Arial" w:hAnsi="Arial"/>
          <w:sz w:val="20"/>
          <w:szCs w:val="20"/>
          <w:b w:val="1"/>
          <w:bCs w:val="1"/>
          <w:i w:val="1"/>
          <w:iCs w:val="1"/>
          <w:color w:val="00C1DE"/>
        </w:rPr>
        <w:t xml:space="preserve">Reasons for Nomination: </w:t>
      </w:r>
      <w:r>
        <w:rPr>
          <w:rFonts w:ascii="Arial" w:cs="Arial" w:eastAsia="Arial" w:hAnsi="Arial"/>
          <w:sz w:val="20"/>
          <w:szCs w:val="20"/>
          <w:color w:val="3E3935"/>
        </w:rPr>
        <w:t>Ms. Barra has in-depth</w:t>
      </w:r>
      <w:r>
        <w:rPr>
          <w:rFonts w:ascii="Arial" w:cs="Arial" w:eastAsia="Arial" w:hAnsi="Arial"/>
          <w:sz w:val="20"/>
          <w:szCs w:val="20"/>
          <w:b w:val="1"/>
          <w:bCs w:val="1"/>
          <w:i w:val="1"/>
          <w:iCs w:val="1"/>
          <w:color w:val="00C1DE"/>
        </w:rPr>
        <w:t xml:space="preserve"> </w:t>
      </w:r>
      <w:r>
        <w:rPr>
          <w:rFonts w:ascii="Arial" w:cs="Arial" w:eastAsia="Arial" w:hAnsi="Arial"/>
          <w:sz w:val="20"/>
          <w:szCs w:val="20"/>
          <w:color w:val="3E3935"/>
        </w:rPr>
        <w:t>knowledge of the Company and the global automotive industry; extensive senior leadership, strategic planning, operational, and business experience; and a strong engineering background with experience in global product development.</w:t>
      </w:r>
    </w:p>
    <w:p>
      <w:pPr>
        <w:spacing w:after="0" w:line="118" w:lineRule="exact"/>
        <w:rPr>
          <w:sz w:val="20"/>
          <w:szCs w:val="20"/>
          <w:color w:val="auto"/>
        </w:rPr>
      </w:pPr>
    </w:p>
    <w:p>
      <w:pPr>
        <w:jc w:val="both"/>
        <w:ind w:left="120"/>
        <w:spacing w:after="0" w:line="230" w:lineRule="auto"/>
        <w:rPr>
          <w:sz w:val="20"/>
          <w:szCs w:val="20"/>
          <w:color w:val="auto"/>
        </w:rPr>
      </w:pPr>
      <w:r>
        <w:rPr>
          <w:rFonts w:ascii="Arial" w:cs="Arial" w:eastAsia="Arial" w:hAnsi="Arial"/>
          <w:sz w:val="20"/>
          <w:szCs w:val="20"/>
          <w:b w:val="1"/>
          <w:bCs w:val="1"/>
          <w:i w:val="1"/>
          <w:iCs w:val="1"/>
          <w:color w:val="00C1DE"/>
        </w:rPr>
        <w:t xml:space="preserve">Spotlight on ESG Expertise: </w:t>
      </w:r>
      <w:r>
        <w:rPr>
          <w:rFonts w:ascii="Arial" w:cs="Arial" w:eastAsia="Arial" w:hAnsi="Arial"/>
          <w:sz w:val="20"/>
          <w:szCs w:val="20"/>
          <w:color w:val="3E3935"/>
        </w:rPr>
        <w:t>Ms. Barra has developed</w:t>
      </w:r>
      <w:r>
        <w:rPr>
          <w:rFonts w:ascii="Arial" w:cs="Arial" w:eastAsia="Arial" w:hAnsi="Arial"/>
          <w:sz w:val="20"/>
          <w:szCs w:val="20"/>
          <w:b w:val="1"/>
          <w:bCs w:val="1"/>
          <w:i w:val="1"/>
          <w:iCs w:val="1"/>
          <w:color w:val="00C1DE"/>
        </w:rPr>
        <w:t xml:space="preserve"> </w:t>
      </w:r>
      <w:r>
        <w:rPr>
          <w:rFonts w:ascii="Arial" w:cs="Arial" w:eastAsia="Arial" w:hAnsi="Arial"/>
          <w:sz w:val="20"/>
          <w:szCs w:val="20"/>
          <w:color w:val="3E3935"/>
        </w:rPr>
        <w:t>social expertise – in particular, workplace safety and human capital management – during her career at GM, which has included various senior leadership roles. As Chair and CEO, she has spearheaded many initiatives to align the Company’s culture with its transformation efforts and holds herself and the leadership team accountable for the development of GM employees. GM benefits from Ms. Barra’s experience in these areas as it seeks to be a safe and inclusive workplace.</w:t>
      </w:r>
    </w:p>
    <w:p>
      <w:pPr>
        <w:spacing w:after="0" w:line="130" w:lineRule="exact"/>
        <w:rPr>
          <w:sz w:val="20"/>
          <w:szCs w:val="20"/>
          <w:color w:val="auto"/>
        </w:rPr>
      </w:pPr>
    </w:p>
    <w:p>
      <w:pPr>
        <w:ind w:left="120"/>
        <w:spacing w:after="0"/>
        <w:rPr>
          <w:sz w:val="20"/>
          <w:szCs w:val="20"/>
          <w:color w:val="auto"/>
        </w:rPr>
      </w:pPr>
      <w:r>
        <w:rPr>
          <w:rFonts w:ascii="Arial" w:cs="Arial" w:eastAsia="Arial" w:hAnsi="Arial"/>
          <w:sz w:val="14"/>
          <w:szCs w:val="14"/>
          <w:color w:val="0071CE"/>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236220</wp:posOffset>
            </wp:positionH>
            <wp:positionV relativeFrom="paragraph">
              <wp:posOffset>-95885</wp:posOffset>
            </wp:positionV>
            <wp:extent cx="5983605" cy="10287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983605" cy="10287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0071CE"/>
        </w:rPr>
        <w:t>Patricia F. Russo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-68580</wp:posOffset>
            </wp:positionH>
            <wp:positionV relativeFrom="paragraph">
              <wp:posOffset>54610</wp:posOffset>
            </wp:positionV>
            <wp:extent cx="348043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480435" cy="8255"/>
                    </a:xfrm>
                    <a:prstGeom prst="rect">
                      <a:avLst/>
                    </a:prstGeom>
                    <a:noFill/>
                  </pic:spPr>
                </pic:pic>
              </a:graphicData>
            </a:graphic>
          </wp:anchor>
        </w:drawing>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20"/>
          <w:szCs w:val="20"/>
          <w:i w:val="1"/>
          <w:iCs w:val="1"/>
          <w:color w:val="3E3935"/>
        </w:rPr>
        <w:t>Chair,</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0"/>
          <w:szCs w:val="20"/>
          <w:i w:val="1"/>
          <w:iCs w:val="1"/>
          <w:color w:val="3E3935"/>
        </w:rPr>
        <w:t>Hewlett Packard Enterprise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-68580</wp:posOffset>
            </wp:positionH>
            <wp:positionV relativeFrom="paragraph">
              <wp:posOffset>45085</wp:posOffset>
            </wp:positionV>
            <wp:extent cx="348043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480435" cy="8255"/>
                    </a:xfrm>
                    <a:prstGeom prst="rect">
                      <a:avLst/>
                    </a:prstGeom>
                    <a:noFill/>
                  </pic:spPr>
                </pic:pic>
              </a:graphicData>
            </a:graphic>
          </wp:anchor>
        </w:drawing>
      </w:r>
    </w:p>
    <w:p>
      <w:pPr>
        <w:spacing w:after="0" w:line="124" w:lineRule="exact"/>
        <w:rPr>
          <w:sz w:val="20"/>
          <w:szCs w:val="20"/>
          <w:color w:val="auto"/>
        </w:rPr>
      </w:pPr>
    </w:p>
    <w:p>
      <w:pPr>
        <w:jc w:val="both"/>
        <w:ind w:right="20"/>
        <w:spacing w:after="0" w:line="257" w:lineRule="auto"/>
        <w:rPr>
          <w:sz w:val="20"/>
          <w:szCs w:val="20"/>
          <w:color w:val="auto"/>
        </w:rPr>
      </w:pPr>
      <w:r>
        <w:rPr>
          <w:rFonts w:ascii="Arial" w:cs="Arial" w:eastAsia="Arial" w:hAnsi="Arial"/>
          <w:sz w:val="20"/>
          <w:szCs w:val="20"/>
          <w:b w:val="1"/>
          <w:bCs w:val="1"/>
          <w:i w:val="1"/>
          <w:iCs w:val="1"/>
          <w:color w:val="00C1DE"/>
        </w:rPr>
        <w:t xml:space="preserve">Committees: </w:t>
      </w:r>
      <w:r>
        <w:rPr>
          <w:rFonts w:ascii="Arial" w:cs="Arial" w:eastAsia="Arial" w:hAnsi="Arial"/>
          <w:sz w:val="20"/>
          <w:szCs w:val="20"/>
          <w:color w:val="3E3935"/>
        </w:rPr>
        <w:t>Compensation, Executive, Finance,</w:t>
      </w:r>
      <w:r>
        <w:rPr>
          <w:rFonts w:ascii="Arial" w:cs="Arial" w:eastAsia="Arial" w:hAnsi="Arial"/>
          <w:sz w:val="20"/>
          <w:szCs w:val="20"/>
          <w:b w:val="1"/>
          <w:bCs w:val="1"/>
          <w:i w:val="1"/>
          <w:iCs w:val="1"/>
          <w:color w:val="00C1DE"/>
        </w:rPr>
        <w:t xml:space="preserve"> </w:t>
      </w:r>
      <w:r>
        <w:rPr>
          <w:rFonts w:ascii="Arial" w:cs="Arial" w:eastAsia="Arial" w:hAnsi="Arial"/>
          <w:sz w:val="20"/>
          <w:szCs w:val="20"/>
          <w:color w:val="3E3935"/>
        </w:rPr>
        <w:t>Governance (Chair)</w:t>
      </w:r>
    </w:p>
    <w:p>
      <w:pPr>
        <w:spacing w:after="0" w:line="101" w:lineRule="exact"/>
        <w:rPr>
          <w:sz w:val="20"/>
          <w:szCs w:val="20"/>
          <w:color w:val="auto"/>
        </w:rPr>
      </w:pPr>
    </w:p>
    <w:p>
      <w:pPr>
        <w:jc w:val="both"/>
        <w:spacing w:after="0" w:line="241" w:lineRule="auto"/>
        <w:rPr>
          <w:sz w:val="20"/>
          <w:szCs w:val="20"/>
          <w:color w:val="auto"/>
        </w:rPr>
      </w:pPr>
      <w:r>
        <w:rPr>
          <w:rFonts w:ascii="Arial" w:cs="Arial" w:eastAsia="Arial" w:hAnsi="Arial"/>
          <w:sz w:val="20"/>
          <w:szCs w:val="20"/>
          <w:b w:val="1"/>
          <w:bCs w:val="1"/>
          <w:i w:val="1"/>
          <w:iCs w:val="1"/>
          <w:color w:val="00C1DE"/>
        </w:rPr>
        <w:t xml:space="preserve">Other Public Company Directorships: </w:t>
      </w:r>
      <w:r>
        <w:rPr>
          <w:rFonts w:ascii="Arial" w:cs="Arial" w:eastAsia="Arial" w:hAnsi="Arial"/>
          <w:sz w:val="20"/>
          <w:szCs w:val="20"/>
          <w:color w:val="3E3935"/>
        </w:rPr>
        <w:t>Hewlett Packard</w:t>
      </w:r>
      <w:r>
        <w:rPr>
          <w:rFonts w:ascii="Arial" w:cs="Arial" w:eastAsia="Arial" w:hAnsi="Arial"/>
          <w:sz w:val="20"/>
          <w:szCs w:val="20"/>
          <w:b w:val="1"/>
          <w:bCs w:val="1"/>
          <w:i w:val="1"/>
          <w:iCs w:val="1"/>
          <w:color w:val="00C1DE"/>
        </w:rPr>
        <w:t xml:space="preserve"> </w:t>
      </w:r>
      <w:r>
        <w:rPr>
          <w:rFonts w:ascii="Arial" w:cs="Arial" w:eastAsia="Arial" w:hAnsi="Arial"/>
          <w:sz w:val="20"/>
          <w:szCs w:val="20"/>
          <w:color w:val="3E3935"/>
        </w:rPr>
        <w:t>Enterprise Company (Chair), KKR Management LLC, and Merck &amp; Co. Inc.</w:t>
      </w:r>
    </w:p>
    <w:p>
      <w:pPr>
        <w:spacing w:after="0" w:line="11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00C1DE"/>
        </w:rPr>
        <w:t xml:space="preserve">Prior  Public  Company  Directorships:  </w:t>
      </w:r>
      <w:r>
        <w:rPr>
          <w:rFonts w:ascii="Arial" w:cs="Arial" w:eastAsia="Arial" w:hAnsi="Arial"/>
          <w:sz w:val="20"/>
          <w:szCs w:val="20"/>
          <w:color w:val="3E3935"/>
        </w:rPr>
        <w:t>Hewlett-Packard</w:t>
      </w:r>
    </w:p>
    <w:p>
      <w:pPr>
        <w:spacing w:after="0" w:line="4" w:lineRule="exact"/>
        <w:rPr>
          <w:sz w:val="20"/>
          <w:szCs w:val="20"/>
          <w:color w:val="auto"/>
        </w:rPr>
      </w:pPr>
    </w:p>
    <w:p>
      <w:pPr>
        <w:spacing w:after="0"/>
        <w:rPr>
          <w:sz w:val="20"/>
          <w:szCs w:val="20"/>
          <w:color w:val="auto"/>
        </w:rPr>
      </w:pPr>
      <w:r>
        <w:rPr>
          <w:rFonts w:ascii="Arial" w:cs="Arial" w:eastAsia="Arial" w:hAnsi="Arial"/>
          <w:sz w:val="20"/>
          <w:szCs w:val="20"/>
          <w:color w:val="3E3935"/>
        </w:rPr>
        <w:t>Company and Arconic, Inc.</w:t>
      </w:r>
    </w:p>
    <w:p>
      <w:pPr>
        <w:spacing w:after="0" w:line="130" w:lineRule="exact"/>
        <w:rPr>
          <w:sz w:val="20"/>
          <w:szCs w:val="20"/>
          <w:color w:val="auto"/>
        </w:rPr>
      </w:pPr>
    </w:p>
    <w:p>
      <w:pPr>
        <w:jc w:val="both"/>
        <w:ind w:right="20"/>
        <w:spacing w:after="0" w:line="231" w:lineRule="auto"/>
        <w:rPr>
          <w:sz w:val="20"/>
          <w:szCs w:val="20"/>
          <w:color w:val="auto"/>
        </w:rPr>
      </w:pPr>
      <w:r>
        <w:rPr>
          <w:rFonts w:ascii="Arial" w:cs="Arial" w:eastAsia="Arial" w:hAnsi="Arial"/>
          <w:sz w:val="20"/>
          <w:szCs w:val="20"/>
          <w:b w:val="1"/>
          <w:bCs w:val="1"/>
          <w:i w:val="1"/>
          <w:iCs w:val="1"/>
          <w:color w:val="00C1DE"/>
        </w:rPr>
        <w:t xml:space="preserve">Prior Experience: </w:t>
      </w:r>
      <w:r>
        <w:rPr>
          <w:rFonts w:ascii="Arial" w:cs="Arial" w:eastAsia="Arial" w:hAnsi="Arial"/>
          <w:sz w:val="20"/>
          <w:szCs w:val="20"/>
          <w:color w:val="3E3935"/>
        </w:rPr>
        <w:t>Ms. Russo served as Lead Director of</w:t>
      </w:r>
      <w:r>
        <w:rPr>
          <w:rFonts w:ascii="Arial" w:cs="Arial" w:eastAsia="Arial" w:hAnsi="Arial"/>
          <w:sz w:val="20"/>
          <w:szCs w:val="20"/>
          <w:b w:val="1"/>
          <w:bCs w:val="1"/>
          <w:i w:val="1"/>
          <w:iCs w:val="1"/>
          <w:color w:val="00C1DE"/>
        </w:rPr>
        <w:t xml:space="preserve"> </w:t>
      </w:r>
      <w:r>
        <w:rPr>
          <w:rFonts w:ascii="Arial" w:cs="Arial" w:eastAsia="Arial" w:hAnsi="Arial"/>
          <w:sz w:val="20"/>
          <w:szCs w:val="20"/>
          <w:color w:val="3E3935"/>
        </w:rPr>
        <w:t>Hewlett-Packard Company’s board of directors from 2014 to 2015. She was GM’s Independent Lead Director from March 2010 to January 2014, and in 2021, she was re-appointed to that role. Ms. Russo served as CEO of Alcatel -Lucent S.A. from 2006 to 2008; Chairman and CEO of Lucent Technologies, Inc. from 2003 to 2006; and President and CEO of Lucent Technologies from 2002 to 2006.</w:t>
      </w:r>
    </w:p>
    <w:p>
      <w:pPr>
        <w:spacing w:after="0" w:line="119" w:lineRule="exact"/>
        <w:rPr>
          <w:sz w:val="20"/>
          <w:szCs w:val="20"/>
          <w:color w:val="auto"/>
        </w:rPr>
      </w:pPr>
    </w:p>
    <w:p>
      <w:pPr>
        <w:jc w:val="both"/>
        <w:ind w:right="20"/>
        <w:spacing w:after="0" w:line="234" w:lineRule="auto"/>
        <w:rPr>
          <w:sz w:val="20"/>
          <w:szCs w:val="20"/>
          <w:color w:val="auto"/>
        </w:rPr>
      </w:pPr>
      <w:r>
        <w:rPr>
          <w:rFonts w:ascii="Arial" w:cs="Arial" w:eastAsia="Arial" w:hAnsi="Arial"/>
          <w:sz w:val="20"/>
          <w:szCs w:val="20"/>
          <w:b w:val="1"/>
          <w:bCs w:val="1"/>
          <w:i w:val="1"/>
          <w:iCs w:val="1"/>
          <w:color w:val="00C1DE"/>
        </w:rPr>
        <w:t xml:space="preserve">Reasons for Nomination: </w:t>
      </w:r>
      <w:r>
        <w:rPr>
          <w:rFonts w:ascii="Arial" w:cs="Arial" w:eastAsia="Arial" w:hAnsi="Arial"/>
          <w:sz w:val="20"/>
          <w:szCs w:val="20"/>
          <w:color w:val="3E3935"/>
        </w:rPr>
        <w:t>Ms. Russo has extensive senior</w:t>
      </w:r>
      <w:r>
        <w:rPr>
          <w:rFonts w:ascii="Arial" w:cs="Arial" w:eastAsia="Arial" w:hAnsi="Arial"/>
          <w:sz w:val="20"/>
          <w:szCs w:val="20"/>
          <w:b w:val="1"/>
          <w:bCs w:val="1"/>
          <w:i w:val="1"/>
          <w:iCs w:val="1"/>
          <w:color w:val="00C1DE"/>
        </w:rPr>
        <w:t xml:space="preserve"> </w:t>
      </w:r>
      <w:r>
        <w:rPr>
          <w:rFonts w:ascii="Arial" w:cs="Arial" w:eastAsia="Arial" w:hAnsi="Arial"/>
          <w:sz w:val="20"/>
          <w:szCs w:val="20"/>
          <w:color w:val="3E3935"/>
        </w:rPr>
        <w:t>leadership experience in corporate strategy, finance, sales and marketing, technology, and leadership development, as well as experience managing business-critical technology disruptions.</w:t>
      </w:r>
    </w:p>
    <w:p>
      <w:pPr>
        <w:spacing w:after="0" w:line="121" w:lineRule="exact"/>
        <w:rPr>
          <w:sz w:val="20"/>
          <w:szCs w:val="20"/>
          <w:color w:val="auto"/>
        </w:rPr>
      </w:pPr>
    </w:p>
    <w:p>
      <w:pPr>
        <w:jc w:val="both"/>
        <w:ind w:right="20"/>
        <w:spacing w:after="0" w:line="247" w:lineRule="auto"/>
        <w:rPr>
          <w:sz w:val="20"/>
          <w:szCs w:val="20"/>
          <w:color w:val="auto"/>
        </w:rPr>
      </w:pPr>
      <w:r>
        <w:rPr>
          <w:rFonts w:ascii="Arial" w:cs="Arial" w:eastAsia="Arial" w:hAnsi="Arial"/>
          <w:sz w:val="19"/>
          <w:szCs w:val="19"/>
          <w:b w:val="1"/>
          <w:bCs w:val="1"/>
          <w:i w:val="1"/>
          <w:iCs w:val="1"/>
          <w:color w:val="00C1DE"/>
        </w:rPr>
        <w:t xml:space="preserve">Spotlight on ESG Expertise: </w:t>
      </w:r>
      <w:r>
        <w:rPr>
          <w:rFonts w:ascii="Arial" w:cs="Arial" w:eastAsia="Arial" w:hAnsi="Arial"/>
          <w:sz w:val="19"/>
          <w:szCs w:val="19"/>
          <w:color w:val="3E3935"/>
        </w:rPr>
        <w:t>Ms. Russo has developed</w:t>
      </w:r>
      <w:r>
        <w:rPr>
          <w:rFonts w:ascii="Arial" w:cs="Arial" w:eastAsia="Arial" w:hAnsi="Arial"/>
          <w:sz w:val="19"/>
          <w:szCs w:val="19"/>
          <w:b w:val="1"/>
          <w:bCs w:val="1"/>
          <w:i w:val="1"/>
          <w:iCs w:val="1"/>
          <w:color w:val="00C1DE"/>
        </w:rPr>
        <w:t xml:space="preserve"> </w:t>
      </w:r>
      <w:r>
        <w:rPr>
          <w:rFonts w:ascii="Arial" w:cs="Arial" w:eastAsia="Arial" w:hAnsi="Arial"/>
          <w:sz w:val="19"/>
          <w:szCs w:val="19"/>
          <w:color w:val="3E3935"/>
        </w:rPr>
        <w:t>deep governance expertise – in particular, board governance</w:t>
      </w:r>
    </w:p>
    <w:p>
      <w:pPr>
        <w:jc w:val="both"/>
        <w:ind w:right="20"/>
        <w:spacing w:after="0" w:line="228" w:lineRule="auto"/>
        <w:rPr>
          <w:sz w:val="20"/>
          <w:szCs w:val="20"/>
          <w:color w:val="auto"/>
        </w:rPr>
      </w:pPr>
      <w:r>
        <w:rPr>
          <w:rFonts w:ascii="Arial" w:cs="Arial" w:eastAsia="Arial" w:hAnsi="Arial"/>
          <w:sz w:val="20"/>
          <w:szCs w:val="20"/>
          <w:color w:val="3E3935"/>
        </w:rPr>
        <w:t>– during her tenure as chair of Hewlett Packard Enterprise Company and service on the JUST Capital board. In these capacities, among others, she advocates for enhanced ESG standards for directors and the inclusion of ESG metrics to drive strategic decisions. GM benefits from Ms. Russo’s experience as it works to continue to provide ESG disclosures that are meaningful to our investors and other stakeholders.</w:t>
      </w:r>
    </w:p>
    <w:p>
      <w:pPr>
        <w:sectPr>
          <w:pgSz w:w="11900" w:h="16838" w:orient="portrait"/>
          <w:cols w:equalWidth="0" w:num="2">
            <w:col w:w="5200" w:space="560"/>
            <w:col w:w="5380"/>
          </w:cols>
          <w:pgMar w:left="320" w:top="473" w:right="439" w:bottom="1440" w:gutter="0" w:footer="0" w:header="0"/>
          <w:type w:val="continuous"/>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176530</wp:posOffset>
            </wp:positionH>
            <wp:positionV relativeFrom="paragraph">
              <wp:posOffset>208280</wp:posOffset>
            </wp:positionV>
            <wp:extent cx="1268730" cy="126873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268730" cy="12687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2660"/>
        <w:spacing w:after="0"/>
        <w:rPr>
          <w:sz w:val="20"/>
          <w:szCs w:val="20"/>
          <w:color w:val="auto"/>
        </w:rPr>
      </w:pPr>
      <w:r>
        <w:rPr>
          <w:rFonts w:ascii="Arial" w:cs="Arial" w:eastAsia="Arial" w:hAnsi="Arial"/>
          <w:sz w:val="20"/>
          <w:szCs w:val="20"/>
          <w:b w:val="1"/>
          <w:bCs w:val="1"/>
          <w:color w:val="3E3935"/>
        </w:rPr>
        <w:t>Director Since</w:t>
      </w:r>
      <w:r>
        <w:rPr>
          <w:rFonts w:ascii="Arial" w:cs="Arial" w:eastAsia="Arial" w:hAnsi="Arial"/>
          <w:sz w:val="20"/>
          <w:szCs w:val="20"/>
          <w:color w:val="3E3935"/>
        </w:rPr>
        <w:t>: 2021</w:t>
      </w:r>
    </w:p>
    <w:p>
      <w:pPr>
        <w:ind w:left="2660"/>
        <w:spacing w:after="0" w:line="231" w:lineRule="auto"/>
        <w:rPr>
          <w:sz w:val="20"/>
          <w:szCs w:val="20"/>
          <w:color w:val="auto"/>
        </w:rPr>
      </w:pPr>
      <w:r>
        <w:rPr>
          <w:rFonts w:ascii="Arial" w:cs="Arial" w:eastAsia="Arial" w:hAnsi="Arial"/>
          <w:sz w:val="20"/>
          <w:szCs w:val="20"/>
          <w:b w:val="1"/>
          <w:bCs w:val="1"/>
          <w:color w:val="3E3935"/>
        </w:rPr>
        <w:t>Age</w:t>
      </w:r>
      <w:r>
        <w:rPr>
          <w:rFonts w:ascii="Arial" w:cs="Arial" w:eastAsia="Arial" w:hAnsi="Arial"/>
          <w:sz w:val="20"/>
          <w:szCs w:val="20"/>
          <w:color w:val="3E3935"/>
        </w:rPr>
        <w:t>: 57</w:t>
      </w:r>
    </w:p>
    <w:p>
      <w:pPr>
        <w:ind w:left="2660"/>
        <w:spacing w:after="0" w:line="226" w:lineRule="auto"/>
        <w:rPr>
          <w:sz w:val="20"/>
          <w:szCs w:val="20"/>
          <w:color w:val="auto"/>
        </w:rPr>
      </w:pPr>
      <w:r>
        <w:rPr>
          <w:rFonts w:ascii="Arial" w:cs="Arial" w:eastAsia="Arial" w:hAnsi="Arial"/>
          <w:sz w:val="20"/>
          <w:szCs w:val="20"/>
          <w:b w:val="1"/>
          <w:bCs w:val="1"/>
          <w:color w:val="3E3935"/>
        </w:rPr>
        <w:t>Independent</w:t>
      </w:r>
      <w:r>
        <w:rPr>
          <w:rFonts w:ascii="Arial" w:cs="Arial" w:eastAsia="Arial" w:hAnsi="Arial"/>
          <w:sz w:val="20"/>
          <w:szCs w:val="20"/>
          <w:color w:val="3E3935"/>
        </w:rPr>
        <w:t>: Yes</w:t>
      </w:r>
    </w:p>
    <w:p>
      <w:pPr>
        <w:ind w:left="2660"/>
        <w:spacing w:after="0" w:line="225" w:lineRule="auto"/>
        <w:rPr>
          <w:sz w:val="20"/>
          <w:szCs w:val="20"/>
          <w:color w:val="auto"/>
        </w:rPr>
      </w:pPr>
      <w:r>
        <w:rPr>
          <w:rFonts w:ascii="Arial" w:cs="Arial" w:eastAsia="Arial" w:hAnsi="Arial"/>
          <w:sz w:val="20"/>
          <w:szCs w:val="20"/>
          <w:b w:val="1"/>
          <w:bCs w:val="1"/>
          <w:color w:val="3E3935"/>
        </w:rPr>
        <w:t>Gender</w:t>
      </w:r>
      <w:r>
        <w:rPr>
          <w:rFonts w:ascii="Arial" w:cs="Arial" w:eastAsia="Arial" w:hAnsi="Arial"/>
          <w:sz w:val="20"/>
          <w:szCs w:val="20"/>
          <w:color w:val="3E3935"/>
        </w:rPr>
        <w:t>: Male</w:t>
      </w:r>
    </w:p>
    <w:p>
      <w:pPr>
        <w:ind w:left="2660"/>
        <w:spacing w:after="0" w:line="225" w:lineRule="auto"/>
        <w:rPr>
          <w:sz w:val="20"/>
          <w:szCs w:val="20"/>
          <w:color w:val="auto"/>
        </w:rPr>
      </w:pPr>
      <w:r>
        <w:rPr>
          <w:rFonts w:ascii="Arial" w:cs="Arial" w:eastAsia="Arial" w:hAnsi="Arial"/>
          <w:sz w:val="20"/>
          <w:szCs w:val="20"/>
          <w:b w:val="1"/>
          <w:bCs w:val="1"/>
          <w:color w:val="3E3935"/>
        </w:rPr>
        <w:t>Race/Ethnicity</w:t>
      </w:r>
      <w:r>
        <w:rPr>
          <w:rFonts w:ascii="Arial" w:cs="Arial" w:eastAsia="Arial" w:hAnsi="Arial"/>
          <w:sz w:val="20"/>
          <w:szCs w:val="20"/>
          <w:color w:val="3E3935"/>
        </w:rPr>
        <w:t>: Indian</w:t>
      </w:r>
    </w:p>
    <w:p>
      <w:pPr>
        <w:spacing w:after="0" w:line="1" w:lineRule="exact"/>
        <w:rPr>
          <w:sz w:val="20"/>
          <w:szCs w:val="20"/>
          <w:color w:val="auto"/>
        </w:rPr>
      </w:pPr>
    </w:p>
    <w:p>
      <w:pPr>
        <w:ind w:left="2660"/>
        <w:spacing w:after="0"/>
        <w:rPr>
          <w:sz w:val="20"/>
          <w:szCs w:val="20"/>
          <w:color w:val="auto"/>
        </w:rPr>
      </w:pPr>
      <w:r>
        <w:rPr>
          <w:rFonts w:ascii="Arial" w:cs="Arial" w:eastAsia="Arial" w:hAnsi="Arial"/>
          <w:sz w:val="20"/>
          <w:szCs w:val="20"/>
          <w:color w:val="3E3935"/>
        </w:rPr>
        <w:t>American</w:t>
      </w:r>
    </w:p>
    <w:p>
      <w:pPr>
        <w:spacing w:after="0" w:line="200" w:lineRule="exact"/>
        <w:rPr>
          <w:sz w:val="20"/>
          <w:szCs w:val="20"/>
          <w:color w:val="auto"/>
        </w:rPr>
      </w:pPr>
    </w:p>
    <w:p>
      <w:pPr>
        <w:spacing w:after="0" w:line="234" w:lineRule="exact"/>
        <w:rPr>
          <w:sz w:val="20"/>
          <w:szCs w:val="20"/>
          <w:color w:val="auto"/>
        </w:rPr>
      </w:pPr>
    </w:p>
    <w:p>
      <w:pPr>
        <w:jc w:val="center"/>
        <w:ind w:left="120"/>
        <w:spacing w:after="0"/>
        <w:rPr>
          <w:sz w:val="20"/>
          <w:szCs w:val="20"/>
          <w:color w:val="auto"/>
        </w:rPr>
      </w:pPr>
      <w:r>
        <w:rPr>
          <w:rFonts w:ascii="Arial" w:cs="Arial" w:eastAsia="Arial" w:hAnsi="Arial"/>
          <w:sz w:val="22"/>
          <w:szCs w:val="22"/>
          <w:b w:val="1"/>
          <w:bCs w:val="1"/>
          <w:color w:val="0071CE"/>
        </w:rPr>
        <w:t>Aneel Bhusri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54610</wp:posOffset>
            </wp:positionV>
            <wp:extent cx="323151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231515" cy="8255"/>
                    </a:xfrm>
                    <a:prstGeom prst="rect">
                      <a:avLst/>
                    </a:prstGeom>
                    <a:noFill/>
                  </pic:spPr>
                </pic:pic>
              </a:graphicData>
            </a:graphic>
          </wp:anchor>
        </w:drawing>
      </w:r>
    </w:p>
    <w:p>
      <w:pPr>
        <w:spacing w:after="0" w:line="152" w:lineRule="exact"/>
        <w:rPr>
          <w:sz w:val="20"/>
          <w:szCs w:val="20"/>
          <w:color w:val="auto"/>
        </w:rPr>
      </w:pPr>
    </w:p>
    <w:p>
      <w:pPr>
        <w:jc w:val="center"/>
        <w:ind w:left="120"/>
        <w:spacing w:after="0"/>
        <w:rPr>
          <w:sz w:val="20"/>
          <w:szCs w:val="20"/>
          <w:color w:val="auto"/>
        </w:rPr>
      </w:pPr>
      <w:r>
        <w:rPr>
          <w:rFonts w:ascii="Arial" w:cs="Arial" w:eastAsia="Arial" w:hAnsi="Arial"/>
          <w:sz w:val="20"/>
          <w:szCs w:val="20"/>
          <w:i w:val="1"/>
          <w:iCs w:val="1"/>
          <w:color w:val="3E3935"/>
        </w:rPr>
        <w:t>Chairman, Co-Founder &amp; Co-CEO,</w:t>
      </w:r>
    </w:p>
    <w:p>
      <w:pPr>
        <w:spacing w:after="0" w:line="4" w:lineRule="exact"/>
        <w:rPr>
          <w:sz w:val="20"/>
          <w:szCs w:val="20"/>
          <w:color w:val="auto"/>
        </w:rPr>
      </w:pPr>
    </w:p>
    <w:p>
      <w:pPr>
        <w:jc w:val="center"/>
        <w:ind w:left="120"/>
        <w:spacing w:after="0"/>
        <w:rPr>
          <w:sz w:val="20"/>
          <w:szCs w:val="20"/>
          <w:color w:val="auto"/>
        </w:rPr>
      </w:pPr>
      <w:r>
        <w:rPr>
          <w:rFonts w:ascii="Arial" w:cs="Arial" w:eastAsia="Arial" w:hAnsi="Arial"/>
          <w:sz w:val="20"/>
          <w:szCs w:val="20"/>
          <w:i w:val="1"/>
          <w:iCs w:val="1"/>
          <w:color w:val="3E3935"/>
        </w:rPr>
        <w:t>Workday,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45085</wp:posOffset>
            </wp:positionV>
            <wp:extent cx="3231515"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3231515" cy="8890"/>
                    </a:xfrm>
                    <a:prstGeom prst="rect">
                      <a:avLst/>
                    </a:prstGeom>
                    <a:noFill/>
                  </pic:spPr>
                </pic:pic>
              </a:graphicData>
            </a:graphic>
          </wp:anchor>
        </w:drawing>
      </w:r>
    </w:p>
    <w:p>
      <w:pPr>
        <w:spacing w:after="0" w:line="124" w:lineRule="exact"/>
        <w:rPr>
          <w:sz w:val="20"/>
          <w:szCs w:val="20"/>
          <w:color w:val="auto"/>
        </w:rPr>
      </w:pPr>
    </w:p>
    <w:p>
      <w:pPr>
        <w:ind w:left="120"/>
        <w:spacing w:after="0"/>
        <w:rPr>
          <w:sz w:val="20"/>
          <w:szCs w:val="20"/>
          <w:color w:val="auto"/>
        </w:rPr>
      </w:pPr>
      <w:r>
        <w:rPr>
          <w:rFonts w:ascii="Arial" w:cs="Arial" w:eastAsia="Arial" w:hAnsi="Arial"/>
          <w:sz w:val="20"/>
          <w:szCs w:val="20"/>
          <w:b w:val="1"/>
          <w:bCs w:val="1"/>
          <w:i w:val="1"/>
          <w:iCs w:val="1"/>
          <w:color w:val="00C1DE"/>
        </w:rPr>
        <w:t xml:space="preserve">Committees: </w:t>
      </w:r>
      <w:r>
        <w:rPr>
          <w:rFonts w:ascii="Arial" w:cs="Arial" w:eastAsia="Arial" w:hAnsi="Arial"/>
          <w:sz w:val="20"/>
          <w:szCs w:val="20"/>
          <w:color w:val="3E3935"/>
        </w:rPr>
        <w:t>Compensation, Governance</w:t>
      </w:r>
    </w:p>
    <w:p>
      <w:pPr>
        <w:spacing w:after="0" w:line="148" w:lineRule="exact"/>
        <w:rPr>
          <w:sz w:val="20"/>
          <w:szCs w:val="20"/>
          <w:color w:val="auto"/>
        </w:rPr>
      </w:pPr>
    </w:p>
    <w:p>
      <w:pPr>
        <w:ind w:left="120"/>
        <w:spacing w:after="0"/>
        <w:rPr>
          <w:sz w:val="20"/>
          <w:szCs w:val="20"/>
          <w:color w:val="auto"/>
        </w:rPr>
      </w:pPr>
      <w:r>
        <w:rPr>
          <w:rFonts w:ascii="Arial" w:cs="Arial" w:eastAsia="Arial" w:hAnsi="Arial"/>
          <w:sz w:val="20"/>
          <w:szCs w:val="20"/>
          <w:b w:val="1"/>
          <w:bCs w:val="1"/>
          <w:i w:val="1"/>
          <w:iCs w:val="1"/>
          <w:color w:val="00C1DE"/>
        </w:rPr>
        <w:t xml:space="preserve">Other Public Company Directorships: </w:t>
      </w:r>
      <w:r>
        <w:rPr>
          <w:rFonts w:ascii="Arial" w:cs="Arial" w:eastAsia="Arial" w:hAnsi="Arial"/>
          <w:sz w:val="20"/>
          <w:szCs w:val="20"/>
          <w:color w:val="3E3935"/>
        </w:rPr>
        <w:t>Workday, Inc.</w:t>
      </w:r>
    </w:p>
    <w:p>
      <w:pPr>
        <w:spacing w:after="0" w:line="148" w:lineRule="exact"/>
        <w:rPr>
          <w:sz w:val="20"/>
          <w:szCs w:val="20"/>
          <w:color w:val="auto"/>
        </w:rPr>
      </w:pPr>
    </w:p>
    <w:p>
      <w:pPr>
        <w:jc w:val="both"/>
        <w:ind w:left="120"/>
        <w:spacing w:after="0" w:line="257" w:lineRule="auto"/>
        <w:rPr>
          <w:sz w:val="20"/>
          <w:szCs w:val="20"/>
          <w:color w:val="auto"/>
        </w:rPr>
      </w:pPr>
      <w:r>
        <w:rPr>
          <w:rFonts w:ascii="Arial" w:cs="Arial" w:eastAsia="Arial" w:hAnsi="Arial"/>
          <w:sz w:val="20"/>
          <w:szCs w:val="20"/>
          <w:b w:val="1"/>
          <w:bCs w:val="1"/>
          <w:i w:val="1"/>
          <w:iCs w:val="1"/>
          <w:color w:val="00C1DE"/>
        </w:rPr>
        <w:t xml:space="preserve">Prior Public Company Directorships: </w:t>
      </w:r>
      <w:r>
        <w:rPr>
          <w:rFonts w:ascii="Arial" w:cs="Arial" w:eastAsia="Arial" w:hAnsi="Arial"/>
          <w:sz w:val="20"/>
          <w:szCs w:val="20"/>
          <w:color w:val="3E3935"/>
        </w:rPr>
        <w:t>Okta, Inc.,</w:t>
      </w:r>
      <w:r>
        <w:rPr>
          <w:rFonts w:ascii="Arial" w:cs="Arial" w:eastAsia="Arial" w:hAnsi="Arial"/>
          <w:sz w:val="20"/>
          <w:szCs w:val="20"/>
          <w:b w:val="1"/>
          <w:bCs w:val="1"/>
          <w:i w:val="1"/>
          <w:iCs w:val="1"/>
          <w:color w:val="00C1DE"/>
        </w:rPr>
        <w:t xml:space="preserve"> </w:t>
      </w:r>
      <w:r>
        <w:rPr>
          <w:rFonts w:ascii="Arial" w:cs="Arial" w:eastAsia="Arial" w:hAnsi="Arial"/>
          <w:sz w:val="20"/>
          <w:szCs w:val="20"/>
          <w:color w:val="3E3935"/>
        </w:rPr>
        <w:t>Cloudera, Inc., Pure Storage, Inc., and Intel Corporation</w:t>
      </w:r>
    </w:p>
    <w:p>
      <w:pPr>
        <w:spacing w:after="0" w:line="101" w:lineRule="exact"/>
        <w:rPr>
          <w:sz w:val="20"/>
          <w:szCs w:val="20"/>
          <w:color w:val="auto"/>
        </w:rPr>
      </w:pPr>
    </w:p>
    <w:p>
      <w:pPr>
        <w:jc w:val="both"/>
        <w:ind w:left="120"/>
        <w:spacing w:after="0" w:line="230" w:lineRule="auto"/>
        <w:rPr>
          <w:sz w:val="20"/>
          <w:szCs w:val="20"/>
          <w:color w:val="auto"/>
        </w:rPr>
      </w:pPr>
      <w:r>
        <w:rPr>
          <w:rFonts w:ascii="Arial" w:cs="Arial" w:eastAsia="Arial" w:hAnsi="Arial"/>
          <w:sz w:val="20"/>
          <w:szCs w:val="20"/>
          <w:b w:val="1"/>
          <w:bCs w:val="1"/>
          <w:i w:val="1"/>
          <w:iCs w:val="1"/>
          <w:color w:val="00C1DE"/>
        </w:rPr>
        <w:t xml:space="preserve">Prior Experience: </w:t>
      </w:r>
      <w:r>
        <w:rPr>
          <w:rFonts w:ascii="Arial" w:cs="Arial" w:eastAsia="Arial" w:hAnsi="Arial"/>
          <w:sz w:val="20"/>
          <w:szCs w:val="20"/>
          <w:color w:val="3E3935"/>
        </w:rPr>
        <w:t>Mr. Bhusri is a Co-Founder and Co-CEO of Workday, Inc. and Chairman of its board. Before co-founding Workday in 2005, he held a number of leadership positions at PeopleSoft, Inc., including serving as Vice Chairman of the board and Senior Vice President responsible for product strategy, business development, and marketing. In addition to his role at Workday, Mr. Bhusri is an advisor at Greylock Partners, a leading venture capital firm.</w:t>
      </w:r>
    </w:p>
    <w:p>
      <w:pPr>
        <w:spacing w:after="0" w:line="122" w:lineRule="exact"/>
        <w:rPr>
          <w:sz w:val="20"/>
          <w:szCs w:val="20"/>
          <w:color w:val="auto"/>
        </w:rPr>
      </w:pPr>
    </w:p>
    <w:p>
      <w:pPr>
        <w:jc w:val="both"/>
        <w:ind w:left="120"/>
        <w:spacing w:after="0" w:line="233" w:lineRule="auto"/>
        <w:rPr>
          <w:sz w:val="20"/>
          <w:szCs w:val="20"/>
          <w:color w:val="auto"/>
        </w:rPr>
      </w:pPr>
      <w:r>
        <w:rPr>
          <w:rFonts w:ascii="Arial" w:cs="Arial" w:eastAsia="Arial" w:hAnsi="Arial"/>
          <w:sz w:val="20"/>
          <w:szCs w:val="20"/>
          <w:b w:val="1"/>
          <w:bCs w:val="1"/>
          <w:i w:val="1"/>
          <w:iCs w:val="1"/>
          <w:color w:val="00C1DE"/>
        </w:rPr>
        <w:t xml:space="preserve">Reasons for Nomination: </w:t>
      </w:r>
      <w:r>
        <w:rPr>
          <w:rFonts w:ascii="Arial" w:cs="Arial" w:eastAsia="Arial" w:hAnsi="Arial"/>
          <w:sz w:val="20"/>
          <w:szCs w:val="20"/>
          <w:color w:val="3E3935"/>
        </w:rPr>
        <w:t>Mr. Bhusri has extensive</w:t>
      </w:r>
      <w:r>
        <w:rPr>
          <w:rFonts w:ascii="Arial" w:cs="Arial" w:eastAsia="Arial" w:hAnsi="Arial"/>
          <w:sz w:val="20"/>
          <w:szCs w:val="20"/>
          <w:b w:val="1"/>
          <w:bCs w:val="1"/>
          <w:i w:val="1"/>
          <w:iCs w:val="1"/>
          <w:color w:val="00C1DE"/>
        </w:rPr>
        <w:t xml:space="preserve"> </w:t>
      </w:r>
      <w:r>
        <w:rPr>
          <w:rFonts w:ascii="Arial" w:cs="Arial" w:eastAsia="Arial" w:hAnsi="Arial"/>
          <w:sz w:val="20"/>
          <w:szCs w:val="20"/>
          <w:color w:val="3E3935"/>
        </w:rPr>
        <w:t>expertise in software, technology, and fostering growth companies from the start-up phase into mature, public companies. He also has strong leadership experience gained through his role as the CEO of a large, public technology company.</w:t>
      </w:r>
    </w:p>
    <w:p>
      <w:pPr>
        <w:spacing w:after="0" w:line="118" w:lineRule="exact"/>
        <w:rPr>
          <w:sz w:val="20"/>
          <w:szCs w:val="20"/>
          <w:color w:val="auto"/>
        </w:rPr>
      </w:pPr>
    </w:p>
    <w:p>
      <w:pPr>
        <w:jc w:val="both"/>
        <w:ind w:left="120"/>
        <w:spacing w:after="0" w:line="231" w:lineRule="auto"/>
        <w:rPr>
          <w:sz w:val="20"/>
          <w:szCs w:val="20"/>
          <w:color w:val="auto"/>
        </w:rPr>
      </w:pPr>
      <w:r>
        <w:rPr>
          <w:rFonts w:ascii="Arial" w:cs="Arial" w:eastAsia="Arial" w:hAnsi="Arial"/>
          <w:sz w:val="20"/>
          <w:szCs w:val="20"/>
          <w:b w:val="1"/>
          <w:bCs w:val="1"/>
          <w:i w:val="1"/>
          <w:iCs w:val="1"/>
          <w:color w:val="00C1DE"/>
        </w:rPr>
        <w:t xml:space="preserve">Spotlight on ESG Expertise: </w:t>
      </w:r>
      <w:r>
        <w:rPr>
          <w:rFonts w:ascii="Arial" w:cs="Arial" w:eastAsia="Arial" w:hAnsi="Arial"/>
          <w:sz w:val="20"/>
          <w:szCs w:val="20"/>
          <w:color w:val="3E3935"/>
        </w:rPr>
        <w:t>Mr. Bhusri has developed</w:t>
      </w:r>
      <w:r>
        <w:rPr>
          <w:rFonts w:ascii="Arial" w:cs="Arial" w:eastAsia="Arial" w:hAnsi="Arial"/>
          <w:sz w:val="20"/>
          <w:szCs w:val="20"/>
          <w:b w:val="1"/>
          <w:bCs w:val="1"/>
          <w:i w:val="1"/>
          <w:iCs w:val="1"/>
          <w:color w:val="00C1DE"/>
        </w:rPr>
        <w:t xml:space="preserve"> </w:t>
      </w:r>
      <w:r>
        <w:rPr>
          <w:rFonts w:ascii="Arial" w:cs="Arial" w:eastAsia="Arial" w:hAnsi="Arial"/>
          <w:sz w:val="20"/>
          <w:szCs w:val="20"/>
          <w:color w:val="3E3935"/>
        </w:rPr>
        <w:t>social expertise as the Co-Founder and Co-CEO of Workday. In that capacity, he advocates for human capital management solutions that focus, in part, on employee engagement. GM benefits from Mr. Bhusri’s experience in this area as it takes steps to be the most inclusive company in the world and seeks to minimize the impacts of the transition to EVs on employees.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2840"/>
        <w:spacing w:after="0"/>
        <w:rPr>
          <w:sz w:val="20"/>
          <w:szCs w:val="20"/>
          <w:color w:val="auto"/>
        </w:rPr>
      </w:pPr>
      <w:r>
        <w:rPr>
          <w:rFonts w:ascii="Arial" w:cs="Arial" w:eastAsia="Arial" w:hAnsi="Arial"/>
          <w:sz w:val="20"/>
          <w:szCs w:val="20"/>
          <w:b w:val="1"/>
          <w:bCs w:val="1"/>
          <w:color w:val="3E3935"/>
        </w:rPr>
        <w:t>Director Since</w:t>
      </w:r>
      <w:r>
        <w:rPr>
          <w:rFonts w:ascii="Arial" w:cs="Arial" w:eastAsia="Arial" w:hAnsi="Arial"/>
          <w:sz w:val="20"/>
          <w:szCs w:val="20"/>
          <w:color w:val="3E3935"/>
        </w:rPr>
        <w:t>: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-3664585</wp:posOffset>
            </wp:positionH>
            <wp:positionV relativeFrom="paragraph">
              <wp:posOffset>-970280</wp:posOffset>
            </wp:positionV>
            <wp:extent cx="7174865" cy="5588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4865" cy="55880"/>
                    </a:xfrm>
                    <a:prstGeom prst="rect">
                      <a:avLst/>
                    </a:prstGeom>
                    <a:noFill/>
                  </pic:spPr>
                </pic:pic>
              </a:graphicData>
            </a:graphic>
          </wp:anchor>
        </w:drawing>
        <w:drawing>
          <wp:anchor simplePos="0" relativeHeight="251657728" behindDoc="1" locked="0" layoutInCell="0" allowOverlap="1">
            <wp:simplePos x="0" y="0"/>
            <wp:positionH relativeFrom="column">
              <wp:posOffset>205105</wp:posOffset>
            </wp:positionH>
            <wp:positionV relativeFrom="paragraph">
              <wp:posOffset>-413385</wp:posOffset>
            </wp:positionV>
            <wp:extent cx="1268730" cy="126873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268730" cy="1268730"/>
                    </a:xfrm>
                    <a:prstGeom prst="rect">
                      <a:avLst/>
                    </a:prstGeom>
                    <a:noFill/>
                  </pic:spPr>
                </pic:pic>
              </a:graphicData>
            </a:graphic>
          </wp:anchor>
        </w:drawing>
      </w:r>
    </w:p>
    <w:p>
      <w:pPr>
        <w:ind w:left="2840"/>
        <w:spacing w:after="0" w:line="231" w:lineRule="auto"/>
        <w:rPr>
          <w:sz w:val="20"/>
          <w:szCs w:val="20"/>
          <w:color w:val="auto"/>
        </w:rPr>
      </w:pPr>
      <w:r>
        <w:rPr>
          <w:rFonts w:ascii="Arial" w:cs="Arial" w:eastAsia="Arial" w:hAnsi="Arial"/>
          <w:sz w:val="20"/>
          <w:szCs w:val="20"/>
          <w:b w:val="1"/>
          <w:bCs w:val="1"/>
          <w:color w:val="3E3935"/>
        </w:rPr>
        <w:t>Age</w:t>
      </w:r>
      <w:r>
        <w:rPr>
          <w:rFonts w:ascii="Arial" w:cs="Arial" w:eastAsia="Arial" w:hAnsi="Arial"/>
          <w:sz w:val="20"/>
          <w:szCs w:val="20"/>
          <w:color w:val="3E3935"/>
        </w:rPr>
        <w:t>: 62</w:t>
      </w:r>
    </w:p>
    <w:p>
      <w:pPr>
        <w:ind w:left="2840"/>
        <w:spacing w:after="0" w:line="226" w:lineRule="auto"/>
        <w:rPr>
          <w:sz w:val="20"/>
          <w:szCs w:val="20"/>
          <w:color w:val="auto"/>
        </w:rPr>
      </w:pPr>
      <w:r>
        <w:rPr>
          <w:rFonts w:ascii="Arial" w:cs="Arial" w:eastAsia="Arial" w:hAnsi="Arial"/>
          <w:sz w:val="20"/>
          <w:szCs w:val="20"/>
          <w:b w:val="1"/>
          <w:bCs w:val="1"/>
          <w:color w:val="3E3935"/>
        </w:rPr>
        <w:t>Independent</w:t>
      </w:r>
      <w:r>
        <w:rPr>
          <w:rFonts w:ascii="Arial" w:cs="Arial" w:eastAsia="Arial" w:hAnsi="Arial"/>
          <w:sz w:val="20"/>
          <w:szCs w:val="20"/>
          <w:color w:val="3E3935"/>
        </w:rPr>
        <w:t>: Yes</w:t>
      </w:r>
    </w:p>
    <w:p>
      <w:pPr>
        <w:ind w:left="2840"/>
        <w:spacing w:after="0" w:line="225" w:lineRule="auto"/>
        <w:rPr>
          <w:sz w:val="20"/>
          <w:szCs w:val="20"/>
          <w:color w:val="auto"/>
        </w:rPr>
      </w:pPr>
      <w:r>
        <w:rPr>
          <w:rFonts w:ascii="Arial" w:cs="Arial" w:eastAsia="Arial" w:hAnsi="Arial"/>
          <w:sz w:val="20"/>
          <w:szCs w:val="20"/>
          <w:b w:val="1"/>
          <w:bCs w:val="1"/>
          <w:color w:val="3E3935"/>
        </w:rPr>
        <w:t>Gender</w:t>
      </w:r>
      <w:r>
        <w:rPr>
          <w:rFonts w:ascii="Arial" w:cs="Arial" w:eastAsia="Arial" w:hAnsi="Arial"/>
          <w:sz w:val="20"/>
          <w:szCs w:val="20"/>
          <w:color w:val="3E3935"/>
        </w:rPr>
        <w:t>: Male</w:t>
      </w:r>
    </w:p>
    <w:p>
      <w:pPr>
        <w:spacing w:after="0" w:line="1" w:lineRule="exact"/>
        <w:rPr>
          <w:sz w:val="20"/>
          <w:szCs w:val="20"/>
          <w:color w:val="auto"/>
        </w:rPr>
      </w:pPr>
    </w:p>
    <w:p>
      <w:pPr>
        <w:ind w:left="2840"/>
        <w:spacing w:after="0"/>
        <w:rPr>
          <w:sz w:val="20"/>
          <w:szCs w:val="20"/>
          <w:color w:val="auto"/>
        </w:rPr>
      </w:pPr>
      <w:r>
        <w:rPr>
          <w:rFonts w:ascii="Arial" w:cs="Arial" w:eastAsia="Arial" w:hAnsi="Arial"/>
          <w:sz w:val="20"/>
          <w:szCs w:val="20"/>
          <w:b w:val="1"/>
          <w:bCs w:val="1"/>
          <w:color w:val="3E3935"/>
        </w:rPr>
        <w:t>Race/Ethnicity</w:t>
      </w:r>
      <w:r>
        <w:rPr>
          <w:rFonts w:ascii="Arial" w:cs="Arial" w:eastAsia="Arial" w:hAnsi="Arial"/>
          <w:sz w:val="20"/>
          <w:szCs w:val="20"/>
          <w:color w:val="3E3935"/>
        </w:rPr>
        <w:t>: White</w:t>
      </w: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0071CE"/>
        </w:rPr>
        <w:t>Wesley G. Bush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-68580</wp:posOffset>
            </wp:positionH>
            <wp:positionV relativeFrom="paragraph">
              <wp:posOffset>54610</wp:posOffset>
            </wp:positionV>
            <wp:extent cx="348043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480435" cy="8255"/>
                    </a:xfrm>
                    <a:prstGeom prst="rect">
                      <a:avLst/>
                    </a:prstGeom>
                    <a:noFill/>
                  </pic:spPr>
                </pic:pic>
              </a:graphicData>
            </a:graphic>
          </wp:anchor>
        </w:drawing>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20"/>
          <w:szCs w:val="20"/>
          <w:i w:val="1"/>
          <w:iCs w:val="1"/>
          <w:color w:val="3E3935"/>
        </w:rPr>
        <w:t>Retired Chairman &amp; CEO,</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0"/>
          <w:szCs w:val="20"/>
          <w:i w:val="1"/>
          <w:iCs w:val="1"/>
          <w:color w:val="3E3935"/>
        </w:rPr>
        <w:t>Northrop Grumman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-68580</wp:posOffset>
            </wp:positionH>
            <wp:positionV relativeFrom="paragraph">
              <wp:posOffset>45085</wp:posOffset>
            </wp:positionV>
            <wp:extent cx="3480435"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3480435" cy="8890"/>
                    </a:xfrm>
                    <a:prstGeom prst="rect">
                      <a:avLst/>
                    </a:prstGeom>
                    <a:noFill/>
                  </pic:spPr>
                </pic:pic>
              </a:graphicData>
            </a:graphic>
          </wp:anchor>
        </w:drawing>
      </w:r>
    </w:p>
    <w:p>
      <w:pPr>
        <w:spacing w:after="0" w:line="12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00C1DE"/>
        </w:rPr>
        <w:t xml:space="preserve">Committees: </w:t>
      </w:r>
      <w:r>
        <w:rPr>
          <w:rFonts w:ascii="Arial" w:cs="Arial" w:eastAsia="Arial" w:hAnsi="Arial"/>
          <w:sz w:val="20"/>
          <w:szCs w:val="20"/>
          <w:color w:val="3E3935"/>
        </w:rPr>
        <w:t>Audit, Compensation (Chair), Finance</w:t>
      </w:r>
    </w:p>
    <w:p>
      <w:pPr>
        <w:spacing w:after="0" w:line="14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00C1DE"/>
        </w:rPr>
        <w:t xml:space="preserve">Other Public Company Directorships: </w:t>
      </w:r>
      <w:r>
        <w:rPr>
          <w:rFonts w:ascii="Arial" w:cs="Arial" w:eastAsia="Arial" w:hAnsi="Arial"/>
          <w:sz w:val="20"/>
          <w:szCs w:val="20"/>
          <w:color w:val="3E3935"/>
        </w:rPr>
        <w:t>Dow Inc. and Cisco</w:t>
      </w:r>
    </w:p>
    <w:p>
      <w:pPr>
        <w:spacing w:after="0" w:line="4" w:lineRule="exact"/>
        <w:rPr>
          <w:sz w:val="20"/>
          <w:szCs w:val="20"/>
          <w:color w:val="auto"/>
        </w:rPr>
      </w:pPr>
    </w:p>
    <w:p>
      <w:pPr>
        <w:spacing w:after="0"/>
        <w:rPr>
          <w:sz w:val="20"/>
          <w:szCs w:val="20"/>
          <w:color w:val="auto"/>
        </w:rPr>
      </w:pPr>
      <w:r>
        <w:rPr>
          <w:rFonts w:ascii="Arial" w:cs="Arial" w:eastAsia="Arial" w:hAnsi="Arial"/>
          <w:sz w:val="20"/>
          <w:szCs w:val="20"/>
          <w:color w:val="3E3935"/>
        </w:rPr>
        <w:t>Systems Inc.</w:t>
      </w:r>
    </w:p>
    <w:p>
      <w:pPr>
        <w:spacing w:after="0" w:line="130" w:lineRule="exact"/>
        <w:rPr>
          <w:sz w:val="20"/>
          <w:szCs w:val="20"/>
          <w:color w:val="auto"/>
        </w:rPr>
      </w:pPr>
    </w:p>
    <w:p>
      <w:pPr>
        <w:jc w:val="both"/>
        <w:ind w:right="20"/>
        <w:spacing w:after="0" w:line="257" w:lineRule="auto"/>
        <w:rPr>
          <w:sz w:val="20"/>
          <w:szCs w:val="20"/>
          <w:color w:val="auto"/>
        </w:rPr>
      </w:pPr>
      <w:r>
        <w:rPr>
          <w:rFonts w:ascii="Arial" w:cs="Arial" w:eastAsia="Arial" w:hAnsi="Arial"/>
          <w:sz w:val="20"/>
          <w:szCs w:val="20"/>
          <w:b w:val="1"/>
          <w:bCs w:val="1"/>
          <w:i w:val="1"/>
          <w:iCs w:val="1"/>
          <w:color w:val="00C1DE"/>
        </w:rPr>
        <w:t xml:space="preserve">Prior Public Company Directorships: </w:t>
      </w:r>
      <w:r>
        <w:rPr>
          <w:rFonts w:ascii="Arial" w:cs="Arial" w:eastAsia="Arial" w:hAnsi="Arial"/>
          <w:sz w:val="20"/>
          <w:szCs w:val="20"/>
          <w:color w:val="3E3935"/>
        </w:rPr>
        <w:t>Norfolk Southern</w:t>
      </w:r>
      <w:r>
        <w:rPr>
          <w:rFonts w:ascii="Arial" w:cs="Arial" w:eastAsia="Arial" w:hAnsi="Arial"/>
          <w:sz w:val="20"/>
          <w:szCs w:val="20"/>
          <w:b w:val="1"/>
          <w:bCs w:val="1"/>
          <w:i w:val="1"/>
          <w:iCs w:val="1"/>
          <w:color w:val="00C1DE"/>
        </w:rPr>
        <w:t xml:space="preserve"> </w:t>
      </w:r>
      <w:r>
        <w:rPr>
          <w:rFonts w:ascii="Arial" w:cs="Arial" w:eastAsia="Arial" w:hAnsi="Arial"/>
          <w:sz w:val="20"/>
          <w:szCs w:val="20"/>
          <w:color w:val="3E3935"/>
        </w:rPr>
        <w:t>Corporation and Northrop Grumman Corporation</w:t>
      </w:r>
    </w:p>
    <w:p>
      <w:pPr>
        <w:spacing w:after="0" w:line="101" w:lineRule="exact"/>
        <w:rPr>
          <w:sz w:val="20"/>
          <w:szCs w:val="20"/>
          <w:color w:val="auto"/>
        </w:rPr>
      </w:pPr>
    </w:p>
    <w:p>
      <w:pPr>
        <w:jc w:val="both"/>
        <w:spacing w:after="0" w:line="230" w:lineRule="auto"/>
        <w:rPr>
          <w:sz w:val="20"/>
          <w:szCs w:val="20"/>
          <w:color w:val="auto"/>
        </w:rPr>
      </w:pPr>
      <w:r>
        <w:rPr>
          <w:rFonts w:ascii="Arial" w:cs="Arial" w:eastAsia="Arial" w:hAnsi="Arial"/>
          <w:sz w:val="20"/>
          <w:szCs w:val="20"/>
          <w:b w:val="1"/>
          <w:bCs w:val="1"/>
          <w:i w:val="1"/>
          <w:iCs w:val="1"/>
          <w:color w:val="00C1DE"/>
        </w:rPr>
        <w:t xml:space="preserve">Prior Experience: </w:t>
      </w:r>
      <w:r>
        <w:rPr>
          <w:rFonts w:ascii="Arial" w:cs="Arial" w:eastAsia="Arial" w:hAnsi="Arial"/>
          <w:sz w:val="20"/>
          <w:szCs w:val="20"/>
          <w:color w:val="3E3935"/>
        </w:rPr>
        <w:t>Mr. Bush served as Chairman of Northrop</w:t>
      </w:r>
      <w:r>
        <w:rPr>
          <w:rFonts w:ascii="Arial" w:cs="Arial" w:eastAsia="Arial" w:hAnsi="Arial"/>
          <w:sz w:val="20"/>
          <w:szCs w:val="20"/>
          <w:b w:val="1"/>
          <w:bCs w:val="1"/>
          <w:i w:val="1"/>
          <w:iCs w:val="1"/>
          <w:color w:val="00C1DE"/>
        </w:rPr>
        <w:t xml:space="preserve"> </w:t>
      </w:r>
      <w:r>
        <w:rPr>
          <w:rFonts w:ascii="Arial" w:cs="Arial" w:eastAsia="Arial" w:hAnsi="Arial"/>
          <w:sz w:val="20"/>
          <w:szCs w:val="20"/>
          <w:color w:val="3E3935"/>
        </w:rPr>
        <w:t>Grumman’s board of directors from 2011 to 2019. He also served as the CEO of Northrop Grumman from 2010 to 2018. Prior to that, Mr. Bush served in numerous leadership roles at Northrop Grumman, including President and Chief Operating Officer, CFO, and President of the company’s Space Technology sector. He also served in a variety of leadership positions at TRW, Inc., before it was acquired by Northrop Grumman in 2002.</w:t>
      </w:r>
    </w:p>
    <w:p>
      <w:pPr>
        <w:spacing w:after="0" w:line="122" w:lineRule="exact"/>
        <w:rPr>
          <w:sz w:val="20"/>
          <w:szCs w:val="20"/>
          <w:color w:val="auto"/>
        </w:rPr>
      </w:pPr>
    </w:p>
    <w:p>
      <w:pPr>
        <w:jc w:val="both"/>
        <w:ind w:right="20"/>
        <w:spacing w:after="0" w:line="233" w:lineRule="auto"/>
        <w:rPr>
          <w:sz w:val="20"/>
          <w:szCs w:val="20"/>
          <w:color w:val="auto"/>
        </w:rPr>
      </w:pPr>
      <w:r>
        <w:rPr>
          <w:rFonts w:ascii="Arial" w:cs="Arial" w:eastAsia="Arial" w:hAnsi="Arial"/>
          <w:sz w:val="20"/>
          <w:szCs w:val="20"/>
          <w:b w:val="1"/>
          <w:bCs w:val="1"/>
          <w:i w:val="1"/>
          <w:iCs w:val="1"/>
          <w:color w:val="00C1DE"/>
        </w:rPr>
        <w:t xml:space="preserve">Reasons for Nomination: </w:t>
      </w:r>
      <w:r>
        <w:rPr>
          <w:rFonts w:ascii="Arial" w:cs="Arial" w:eastAsia="Arial" w:hAnsi="Arial"/>
          <w:sz w:val="20"/>
          <w:szCs w:val="20"/>
          <w:color w:val="3E3935"/>
        </w:rPr>
        <w:t>Mr. Bush has valuable</w:t>
      </w:r>
      <w:r>
        <w:rPr>
          <w:rFonts w:ascii="Arial" w:cs="Arial" w:eastAsia="Arial" w:hAnsi="Arial"/>
          <w:sz w:val="20"/>
          <w:szCs w:val="20"/>
          <w:b w:val="1"/>
          <w:bCs w:val="1"/>
          <w:i w:val="1"/>
          <w:iCs w:val="1"/>
          <w:color w:val="00C1DE"/>
        </w:rPr>
        <w:t xml:space="preserve"> </w:t>
      </w:r>
      <w:r>
        <w:rPr>
          <w:rFonts w:ascii="Arial" w:cs="Arial" w:eastAsia="Arial" w:hAnsi="Arial"/>
          <w:sz w:val="20"/>
          <w:szCs w:val="20"/>
          <w:color w:val="3E3935"/>
        </w:rPr>
        <w:t>experience in leading a manufacturing enterprise known for its advanced engineering and technology. He also has strong financial acumen gained through his finance leadership roles and has knowledge of key governance issues, including risk management.</w:t>
      </w:r>
    </w:p>
    <w:p>
      <w:pPr>
        <w:spacing w:after="0" w:line="118" w:lineRule="exact"/>
        <w:rPr>
          <w:sz w:val="20"/>
          <w:szCs w:val="20"/>
          <w:color w:val="auto"/>
        </w:rPr>
      </w:pPr>
    </w:p>
    <w:p>
      <w:pPr>
        <w:jc w:val="both"/>
        <w:ind w:right="20"/>
        <w:spacing w:after="0" w:line="233" w:lineRule="auto"/>
        <w:rPr>
          <w:sz w:val="20"/>
          <w:szCs w:val="20"/>
          <w:color w:val="auto"/>
        </w:rPr>
      </w:pPr>
      <w:r>
        <w:rPr>
          <w:rFonts w:ascii="Arial" w:cs="Arial" w:eastAsia="Arial" w:hAnsi="Arial"/>
          <w:sz w:val="20"/>
          <w:szCs w:val="20"/>
          <w:b w:val="1"/>
          <w:bCs w:val="1"/>
          <w:i w:val="1"/>
          <w:iCs w:val="1"/>
          <w:color w:val="00C1DE"/>
        </w:rPr>
        <w:t xml:space="preserve">Spotlight on ESG Expertise: </w:t>
      </w:r>
      <w:r>
        <w:rPr>
          <w:rFonts w:ascii="Arial" w:cs="Arial" w:eastAsia="Arial" w:hAnsi="Arial"/>
          <w:sz w:val="20"/>
          <w:szCs w:val="20"/>
          <w:color w:val="3E3935"/>
        </w:rPr>
        <w:t>Mr. Bush has developed</w:t>
      </w:r>
      <w:r>
        <w:rPr>
          <w:rFonts w:ascii="Arial" w:cs="Arial" w:eastAsia="Arial" w:hAnsi="Arial"/>
          <w:sz w:val="20"/>
          <w:szCs w:val="20"/>
          <w:b w:val="1"/>
          <w:bCs w:val="1"/>
          <w:i w:val="1"/>
          <w:iCs w:val="1"/>
          <w:color w:val="00C1DE"/>
        </w:rPr>
        <w:t xml:space="preserve"> </w:t>
      </w:r>
      <w:r>
        <w:rPr>
          <w:rFonts w:ascii="Arial" w:cs="Arial" w:eastAsia="Arial" w:hAnsi="Arial"/>
          <w:sz w:val="20"/>
          <w:szCs w:val="20"/>
          <w:color w:val="3E3935"/>
        </w:rPr>
        <w:t>environmental expertise as a member of the board of Conservation International. In that capacity, he leverages his scientific training to advocate for natural climate solutions. GM benefits from Mr. Bush’s experience in this area as it seeks to create a world with zero emissions.</w:t>
      </w:r>
    </w:p>
    <w:p>
      <w:pPr>
        <w:spacing w:after="0" w:line="347" w:lineRule="exact"/>
        <w:rPr>
          <w:sz w:val="20"/>
          <w:szCs w:val="20"/>
          <w:color w:val="auto"/>
        </w:rPr>
      </w:pPr>
    </w:p>
    <w:p>
      <w:pPr>
        <w:ind w:left="4900"/>
        <w:spacing w:after="0"/>
        <w:rPr>
          <w:sz w:val="20"/>
          <w:szCs w:val="20"/>
          <w:color w:val="auto"/>
        </w:rPr>
      </w:pPr>
      <w:r>
        <w:rPr>
          <w:rFonts w:ascii="Arial" w:cs="Arial" w:eastAsia="Arial" w:hAnsi="Arial"/>
          <w:sz w:val="14"/>
          <w:szCs w:val="14"/>
          <w:color w:val="0071CE"/>
        </w:rPr>
        <w:t>15</w:t>
      </w:r>
    </w:p>
    <w:p>
      <w:pPr>
        <w:sectPr>
          <w:pgSz w:w="11900" w:h="16838" w:orient="portrait"/>
          <w:cols w:equalWidth="0" w:num="2">
            <w:col w:w="5200" w:space="560"/>
            <w:col w:w="5380"/>
          </w:cols>
          <w:pgMar w:left="320" w:top="482" w:right="4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176530</wp:posOffset>
            </wp:positionH>
            <wp:positionV relativeFrom="paragraph">
              <wp:posOffset>208280</wp:posOffset>
            </wp:positionV>
            <wp:extent cx="1268730" cy="126873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268730" cy="12687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2660"/>
        <w:spacing w:after="0"/>
        <w:rPr>
          <w:sz w:val="20"/>
          <w:szCs w:val="20"/>
          <w:color w:val="auto"/>
        </w:rPr>
      </w:pPr>
      <w:r>
        <w:rPr>
          <w:rFonts w:ascii="Arial" w:cs="Arial" w:eastAsia="Arial" w:hAnsi="Arial"/>
          <w:sz w:val="20"/>
          <w:szCs w:val="20"/>
          <w:b w:val="1"/>
          <w:bCs w:val="1"/>
          <w:color w:val="3E3935"/>
        </w:rPr>
        <w:t>Director Since</w:t>
      </w:r>
      <w:r>
        <w:rPr>
          <w:rFonts w:ascii="Arial" w:cs="Arial" w:eastAsia="Arial" w:hAnsi="Arial"/>
          <w:sz w:val="20"/>
          <w:szCs w:val="20"/>
          <w:color w:val="3E3935"/>
        </w:rPr>
        <w:t>: 2022</w:t>
      </w:r>
    </w:p>
    <w:p>
      <w:pPr>
        <w:ind w:left="2660"/>
        <w:spacing w:after="0" w:line="231" w:lineRule="auto"/>
        <w:rPr>
          <w:sz w:val="20"/>
          <w:szCs w:val="20"/>
          <w:color w:val="auto"/>
        </w:rPr>
      </w:pPr>
      <w:r>
        <w:rPr>
          <w:rFonts w:ascii="Arial" w:cs="Arial" w:eastAsia="Arial" w:hAnsi="Arial"/>
          <w:sz w:val="20"/>
          <w:szCs w:val="20"/>
          <w:b w:val="1"/>
          <w:bCs w:val="1"/>
          <w:color w:val="3E3935"/>
        </w:rPr>
        <w:t>Age</w:t>
      </w:r>
      <w:r>
        <w:rPr>
          <w:rFonts w:ascii="Arial" w:cs="Arial" w:eastAsia="Arial" w:hAnsi="Arial"/>
          <w:sz w:val="20"/>
          <w:szCs w:val="20"/>
          <w:color w:val="3E3935"/>
        </w:rPr>
        <w:t>: 59</w:t>
      </w:r>
    </w:p>
    <w:p>
      <w:pPr>
        <w:ind w:left="2660"/>
        <w:spacing w:after="0" w:line="226" w:lineRule="auto"/>
        <w:rPr>
          <w:sz w:val="20"/>
          <w:szCs w:val="20"/>
          <w:color w:val="auto"/>
        </w:rPr>
      </w:pPr>
      <w:r>
        <w:rPr>
          <w:rFonts w:ascii="Arial" w:cs="Arial" w:eastAsia="Arial" w:hAnsi="Arial"/>
          <w:sz w:val="20"/>
          <w:szCs w:val="20"/>
          <w:b w:val="1"/>
          <w:bCs w:val="1"/>
          <w:color w:val="3E3935"/>
        </w:rPr>
        <w:t>Independent</w:t>
      </w:r>
      <w:r>
        <w:rPr>
          <w:rFonts w:ascii="Arial" w:cs="Arial" w:eastAsia="Arial" w:hAnsi="Arial"/>
          <w:sz w:val="20"/>
          <w:szCs w:val="20"/>
          <w:color w:val="3E3935"/>
        </w:rPr>
        <w:t>: Yes</w:t>
      </w:r>
    </w:p>
    <w:p>
      <w:pPr>
        <w:ind w:left="2660"/>
        <w:spacing w:after="0" w:line="225" w:lineRule="auto"/>
        <w:rPr>
          <w:sz w:val="20"/>
          <w:szCs w:val="20"/>
          <w:color w:val="auto"/>
        </w:rPr>
      </w:pPr>
      <w:r>
        <w:rPr>
          <w:rFonts w:ascii="Arial" w:cs="Arial" w:eastAsia="Arial" w:hAnsi="Arial"/>
          <w:sz w:val="20"/>
          <w:szCs w:val="20"/>
          <w:b w:val="1"/>
          <w:bCs w:val="1"/>
          <w:color w:val="3E3935"/>
        </w:rPr>
        <w:t>Gender</w:t>
      </w:r>
      <w:r>
        <w:rPr>
          <w:rFonts w:ascii="Arial" w:cs="Arial" w:eastAsia="Arial" w:hAnsi="Arial"/>
          <w:sz w:val="20"/>
          <w:szCs w:val="20"/>
          <w:color w:val="3E3935"/>
        </w:rPr>
        <w:t>: Female</w:t>
      </w:r>
    </w:p>
    <w:p>
      <w:pPr>
        <w:spacing w:after="0" w:line="1" w:lineRule="exact"/>
        <w:rPr>
          <w:sz w:val="20"/>
          <w:szCs w:val="20"/>
          <w:color w:val="auto"/>
        </w:rPr>
      </w:pPr>
    </w:p>
    <w:p>
      <w:pPr>
        <w:ind w:left="2660"/>
        <w:spacing w:after="0"/>
        <w:rPr>
          <w:sz w:val="20"/>
          <w:szCs w:val="20"/>
          <w:color w:val="auto"/>
        </w:rPr>
      </w:pPr>
      <w:r>
        <w:rPr>
          <w:rFonts w:ascii="Arial" w:cs="Arial" w:eastAsia="Arial" w:hAnsi="Arial"/>
          <w:sz w:val="20"/>
          <w:szCs w:val="20"/>
          <w:b w:val="1"/>
          <w:bCs w:val="1"/>
          <w:color w:val="3E3935"/>
        </w:rPr>
        <w:t>Race/Ethnicity</w:t>
      </w:r>
      <w:r>
        <w:rPr>
          <w:rFonts w:ascii="Arial" w:cs="Arial" w:eastAsia="Arial" w:hAnsi="Arial"/>
          <w:sz w:val="20"/>
          <w:szCs w:val="20"/>
          <w:color w:val="3E3935"/>
        </w:rPr>
        <w:t>: White</w:t>
      </w:r>
    </w:p>
    <w:p>
      <w:pPr>
        <w:spacing w:after="0" w:line="200" w:lineRule="exact"/>
        <w:rPr>
          <w:sz w:val="20"/>
          <w:szCs w:val="20"/>
          <w:color w:val="auto"/>
        </w:rPr>
      </w:pPr>
    </w:p>
    <w:p>
      <w:pPr>
        <w:spacing w:after="0" w:line="342" w:lineRule="exact"/>
        <w:rPr>
          <w:sz w:val="20"/>
          <w:szCs w:val="20"/>
          <w:color w:val="auto"/>
        </w:rPr>
      </w:pPr>
    </w:p>
    <w:p>
      <w:pPr>
        <w:jc w:val="center"/>
        <w:ind w:left="120"/>
        <w:spacing w:after="0"/>
        <w:rPr>
          <w:sz w:val="20"/>
          <w:szCs w:val="20"/>
          <w:color w:val="auto"/>
        </w:rPr>
      </w:pPr>
      <w:r>
        <w:rPr>
          <w:rFonts w:ascii="Arial" w:cs="Arial" w:eastAsia="Arial" w:hAnsi="Arial"/>
          <w:sz w:val="22"/>
          <w:szCs w:val="22"/>
          <w:b w:val="1"/>
          <w:bCs w:val="1"/>
          <w:color w:val="0071CE"/>
        </w:rPr>
        <w:t>Joanne C. Crevoiserat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54610</wp:posOffset>
            </wp:positionV>
            <wp:extent cx="323151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3231515" cy="8255"/>
                    </a:xfrm>
                    <a:prstGeom prst="rect">
                      <a:avLst/>
                    </a:prstGeom>
                    <a:noFill/>
                  </pic:spPr>
                </pic:pic>
              </a:graphicData>
            </a:graphic>
          </wp:anchor>
        </w:drawing>
      </w:r>
    </w:p>
    <w:p>
      <w:pPr>
        <w:spacing w:after="0" w:line="233" w:lineRule="exact"/>
        <w:rPr>
          <w:sz w:val="20"/>
          <w:szCs w:val="20"/>
          <w:color w:val="auto"/>
        </w:rPr>
      </w:pPr>
    </w:p>
    <w:p>
      <w:pPr>
        <w:jc w:val="center"/>
        <w:ind w:left="120"/>
        <w:spacing w:after="0"/>
        <w:rPr>
          <w:sz w:val="20"/>
          <w:szCs w:val="20"/>
          <w:color w:val="auto"/>
        </w:rPr>
      </w:pPr>
      <w:r>
        <w:rPr>
          <w:rFonts w:ascii="Arial" w:cs="Arial" w:eastAsia="Arial" w:hAnsi="Arial"/>
          <w:sz w:val="20"/>
          <w:szCs w:val="20"/>
          <w:i w:val="1"/>
          <w:iCs w:val="1"/>
          <w:color w:val="3E3935"/>
        </w:rPr>
        <w:t>CEO,</w:t>
      </w:r>
    </w:p>
    <w:p>
      <w:pPr>
        <w:spacing w:after="0" w:line="4" w:lineRule="exact"/>
        <w:rPr>
          <w:sz w:val="20"/>
          <w:szCs w:val="20"/>
          <w:color w:val="auto"/>
        </w:rPr>
      </w:pPr>
    </w:p>
    <w:p>
      <w:pPr>
        <w:jc w:val="center"/>
        <w:ind w:left="120"/>
        <w:spacing w:after="0"/>
        <w:rPr>
          <w:sz w:val="20"/>
          <w:szCs w:val="20"/>
          <w:color w:val="auto"/>
        </w:rPr>
      </w:pPr>
      <w:r>
        <w:rPr>
          <w:rFonts w:ascii="Arial" w:cs="Arial" w:eastAsia="Arial" w:hAnsi="Arial"/>
          <w:sz w:val="20"/>
          <w:szCs w:val="20"/>
          <w:i w:val="1"/>
          <w:iCs w:val="1"/>
          <w:color w:val="3E3935"/>
        </w:rPr>
        <w:t>Tapestry,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130810</wp:posOffset>
            </wp:positionV>
            <wp:extent cx="323151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3231515" cy="8255"/>
                    </a:xfrm>
                    <a:prstGeom prst="rect">
                      <a:avLst/>
                    </a:prstGeom>
                    <a:noFill/>
                  </pic:spPr>
                </pic:pic>
              </a:graphicData>
            </a:graphic>
          </wp:anchor>
        </w:drawing>
      </w:r>
    </w:p>
    <w:p>
      <w:pPr>
        <w:spacing w:after="0" w:line="259" w:lineRule="exact"/>
        <w:rPr>
          <w:sz w:val="20"/>
          <w:szCs w:val="20"/>
          <w:color w:val="auto"/>
        </w:rPr>
      </w:pPr>
    </w:p>
    <w:p>
      <w:pPr>
        <w:ind w:left="120"/>
        <w:spacing w:after="0"/>
        <w:rPr>
          <w:sz w:val="20"/>
          <w:szCs w:val="20"/>
          <w:color w:val="auto"/>
        </w:rPr>
      </w:pPr>
      <w:r>
        <w:rPr>
          <w:rFonts w:ascii="Arial" w:cs="Arial" w:eastAsia="Arial" w:hAnsi="Arial"/>
          <w:sz w:val="20"/>
          <w:szCs w:val="20"/>
          <w:b w:val="1"/>
          <w:bCs w:val="1"/>
          <w:i w:val="1"/>
          <w:iCs w:val="1"/>
          <w:color w:val="00C1DE"/>
        </w:rPr>
        <w:t>Committees</w:t>
      </w:r>
      <w:r>
        <w:rPr>
          <w:rFonts w:ascii="Arial" w:cs="Arial" w:eastAsia="Arial" w:hAnsi="Arial"/>
          <w:sz w:val="20"/>
          <w:szCs w:val="20"/>
          <w:color w:val="3E3935"/>
        </w:rPr>
        <w:t>: Audit, Finance, Governance</w:t>
      </w:r>
    </w:p>
    <w:p>
      <w:pPr>
        <w:spacing w:after="0" w:line="148" w:lineRule="exact"/>
        <w:rPr>
          <w:sz w:val="20"/>
          <w:szCs w:val="20"/>
          <w:color w:val="auto"/>
        </w:rPr>
      </w:pPr>
    </w:p>
    <w:p>
      <w:pPr>
        <w:ind w:left="120"/>
        <w:spacing w:after="0"/>
        <w:rPr>
          <w:sz w:val="20"/>
          <w:szCs w:val="20"/>
          <w:color w:val="auto"/>
        </w:rPr>
      </w:pPr>
      <w:r>
        <w:rPr>
          <w:rFonts w:ascii="Arial" w:cs="Arial" w:eastAsia="Arial" w:hAnsi="Arial"/>
          <w:sz w:val="20"/>
          <w:szCs w:val="20"/>
          <w:b w:val="1"/>
          <w:bCs w:val="1"/>
          <w:i w:val="1"/>
          <w:iCs w:val="1"/>
          <w:color w:val="00C1DE"/>
        </w:rPr>
        <w:t xml:space="preserve">Other Public Company Directorships: </w:t>
      </w:r>
      <w:r>
        <w:rPr>
          <w:rFonts w:ascii="Arial" w:cs="Arial" w:eastAsia="Arial" w:hAnsi="Arial"/>
          <w:sz w:val="20"/>
          <w:szCs w:val="20"/>
          <w:color w:val="3E3935"/>
        </w:rPr>
        <w:t>Tapestry, Inc.</w:t>
      </w:r>
    </w:p>
    <w:p>
      <w:pPr>
        <w:spacing w:after="0" w:line="148" w:lineRule="exact"/>
        <w:rPr>
          <w:sz w:val="20"/>
          <w:szCs w:val="20"/>
          <w:color w:val="auto"/>
        </w:rPr>
      </w:pPr>
    </w:p>
    <w:p>
      <w:pPr>
        <w:ind w:left="120"/>
        <w:spacing w:after="0"/>
        <w:rPr>
          <w:sz w:val="20"/>
          <w:szCs w:val="20"/>
          <w:color w:val="auto"/>
        </w:rPr>
      </w:pPr>
      <w:r>
        <w:rPr>
          <w:rFonts w:ascii="Arial" w:cs="Arial" w:eastAsia="Arial" w:hAnsi="Arial"/>
          <w:sz w:val="20"/>
          <w:szCs w:val="20"/>
          <w:b w:val="1"/>
          <w:bCs w:val="1"/>
          <w:i w:val="1"/>
          <w:iCs w:val="1"/>
          <w:color w:val="00C1DE"/>
        </w:rPr>
        <w:t xml:space="preserve">Prior Public Company Directorships: </w:t>
      </w:r>
      <w:r>
        <w:rPr>
          <w:rFonts w:ascii="Arial" w:cs="Arial" w:eastAsia="Arial" w:hAnsi="Arial"/>
          <w:sz w:val="20"/>
          <w:szCs w:val="20"/>
          <w:color w:val="3E3935"/>
        </w:rPr>
        <w:t>At Home Group</w:t>
      </w:r>
    </w:p>
    <w:p>
      <w:pPr>
        <w:spacing w:after="0" w:line="4" w:lineRule="exact"/>
        <w:rPr>
          <w:sz w:val="20"/>
          <w:szCs w:val="20"/>
          <w:color w:val="auto"/>
        </w:rPr>
      </w:pPr>
    </w:p>
    <w:p>
      <w:pPr>
        <w:ind w:left="120"/>
        <w:spacing w:after="0"/>
        <w:rPr>
          <w:sz w:val="20"/>
          <w:szCs w:val="20"/>
          <w:color w:val="auto"/>
        </w:rPr>
      </w:pPr>
      <w:r>
        <w:rPr>
          <w:rFonts w:ascii="Arial" w:cs="Arial" w:eastAsia="Arial" w:hAnsi="Arial"/>
          <w:sz w:val="20"/>
          <w:szCs w:val="20"/>
          <w:color w:val="3E3935"/>
        </w:rPr>
        <w:t>Inc.</w:t>
      </w:r>
    </w:p>
    <w:p>
      <w:pPr>
        <w:spacing w:after="0" w:line="130" w:lineRule="exact"/>
        <w:rPr>
          <w:sz w:val="20"/>
          <w:szCs w:val="20"/>
          <w:color w:val="auto"/>
        </w:rPr>
      </w:pPr>
    </w:p>
    <w:p>
      <w:pPr>
        <w:jc w:val="both"/>
        <w:ind w:left="120"/>
        <w:spacing w:after="0" w:line="233" w:lineRule="auto"/>
        <w:rPr>
          <w:sz w:val="20"/>
          <w:szCs w:val="20"/>
          <w:color w:val="auto"/>
        </w:rPr>
      </w:pPr>
      <w:r>
        <w:rPr>
          <w:rFonts w:ascii="Arial" w:cs="Arial" w:eastAsia="Arial" w:hAnsi="Arial"/>
          <w:sz w:val="20"/>
          <w:szCs w:val="20"/>
          <w:b w:val="1"/>
          <w:bCs w:val="1"/>
          <w:i w:val="1"/>
          <w:iCs w:val="1"/>
          <w:color w:val="00C1DE"/>
        </w:rPr>
        <w:t xml:space="preserve">Prior Experience: </w:t>
      </w:r>
      <w:r>
        <w:rPr>
          <w:rFonts w:ascii="Arial" w:cs="Arial" w:eastAsia="Arial" w:hAnsi="Arial"/>
          <w:sz w:val="20"/>
          <w:szCs w:val="20"/>
          <w:color w:val="3E3935"/>
        </w:rPr>
        <w:t>Since October 2020, Ms. Crevoiserat</w:t>
      </w:r>
      <w:r>
        <w:rPr>
          <w:rFonts w:ascii="Arial" w:cs="Arial" w:eastAsia="Arial" w:hAnsi="Arial"/>
          <w:sz w:val="20"/>
          <w:szCs w:val="20"/>
          <w:b w:val="1"/>
          <w:bCs w:val="1"/>
          <w:i w:val="1"/>
          <w:iCs w:val="1"/>
          <w:color w:val="00C1DE"/>
        </w:rPr>
        <w:t xml:space="preserve"> </w:t>
      </w:r>
      <w:r>
        <w:rPr>
          <w:rFonts w:ascii="Arial" w:cs="Arial" w:eastAsia="Arial" w:hAnsi="Arial"/>
          <w:sz w:val="20"/>
          <w:szCs w:val="20"/>
          <w:color w:val="3E3935"/>
        </w:rPr>
        <w:t>has been CEO and a member of the board of Tapestry, Inc. Prior to her appointment as interim CEO in July 2020, she served as the CFO. She also previously served in senior roles at Abercrombie &amp; Fitch Co., Kohl’s Inc., Wal-Mart Stores, Inc., and May Department Stores.</w:t>
      </w:r>
    </w:p>
    <w:p>
      <w:pPr>
        <w:spacing w:after="0" w:line="118" w:lineRule="exact"/>
        <w:rPr>
          <w:sz w:val="20"/>
          <w:szCs w:val="20"/>
          <w:color w:val="auto"/>
        </w:rPr>
      </w:pPr>
    </w:p>
    <w:p>
      <w:pPr>
        <w:jc w:val="both"/>
        <w:ind w:left="120"/>
        <w:spacing w:after="0" w:line="232" w:lineRule="auto"/>
        <w:rPr>
          <w:sz w:val="20"/>
          <w:szCs w:val="20"/>
          <w:color w:val="auto"/>
        </w:rPr>
      </w:pPr>
      <w:r>
        <w:rPr>
          <w:rFonts w:ascii="Arial" w:cs="Arial" w:eastAsia="Arial" w:hAnsi="Arial"/>
          <w:sz w:val="20"/>
          <w:szCs w:val="20"/>
          <w:b w:val="1"/>
          <w:bCs w:val="1"/>
          <w:i w:val="1"/>
          <w:iCs w:val="1"/>
          <w:color w:val="00C1DE"/>
        </w:rPr>
        <w:t xml:space="preserve">Reasons for Nomination: </w:t>
      </w:r>
      <w:r>
        <w:rPr>
          <w:rFonts w:ascii="Arial" w:cs="Arial" w:eastAsia="Arial" w:hAnsi="Arial"/>
          <w:sz w:val="20"/>
          <w:szCs w:val="20"/>
          <w:color w:val="3E3935"/>
        </w:rPr>
        <w:t>Ms. Crevoiserat has cultivated</w:t>
      </w:r>
      <w:r>
        <w:rPr>
          <w:rFonts w:ascii="Arial" w:cs="Arial" w:eastAsia="Arial" w:hAnsi="Arial"/>
          <w:sz w:val="20"/>
          <w:szCs w:val="20"/>
          <w:b w:val="1"/>
          <w:bCs w:val="1"/>
          <w:i w:val="1"/>
          <w:iCs w:val="1"/>
          <w:color w:val="00C1DE"/>
        </w:rPr>
        <w:t xml:space="preserve"> </w:t>
      </w:r>
      <w:r>
        <w:rPr>
          <w:rFonts w:ascii="Arial" w:cs="Arial" w:eastAsia="Arial" w:hAnsi="Arial"/>
          <w:sz w:val="20"/>
          <w:szCs w:val="20"/>
          <w:color w:val="3E3935"/>
        </w:rPr>
        <w:t>an extensive background in financial expertise and brand development. Her leadership capabilities demonstrated through her various senior leadership retail positions help the company as it grows its global consumer brands through consumer-centric, digital, and data-driven initiatives.</w:t>
      </w:r>
    </w:p>
    <w:p>
      <w:pPr>
        <w:spacing w:after="0" w:line="118" w:lineRule="exact"/>
        <w:rPr>
          <w:sz w:val="20"/>
          <w:szCs w:val="20"/>
          <w:color w:val="auto"/>
        </w:rPr>
      </w:pPr>
    </w:p>
    <w:p>
      <w:pPr>
        <w:jc w:val="both"/>
        <w:ind w:left="120"/>
        <w:spacing w:after="0" w:line="231" w:lineRule="auto"/>
        <w:rPr>
          <w:sz w:val="20"/>
          <w:szCs w:val="20"/>
          <w:color w:val="auto"/>
        </w:rPr>
      </w:pPr>
      <w:r>
        <w:rPr>
          <w:rFonts w:ascii="Arial" w:cs="Arial" w:eastAsia="Arial" w:hAnsi="Arial"/>
          <w:sz w:val="20"/>
          <w:szCs w:val="20"/>
          <w:b w:val="1"/>
          <w:bCs w:val="1"/>
          <w:i w:val="1"/>
          <w:iCs w:val="1"/>
          <w:color w:val="00C1DE"/>
        </w:rPr>
        <w:t xml:space="preserve">Spotlight on ESG Expertise: </w:t>
      </w:r>
      <w:r>
        <w:rPr>
          <w:rFonts w:ascii="Arial" w:cs="Arial" w:eastAsia="Arial" w:hAnsi="Arial"/>
          <w:sz w:val="20"/>
          <w:szCs w:val="20"/>
          <w:color w:val="3E3935"/>
        </w:rPr>
        <w:t>Ms. Crevoiserat developed</w:t>
      </w:r>
      <w:r>
        <w:rPr>
          <w:rFonts w:ascii="Arial" w:cs="Arial" w:eastAsia="Arial" w:hAnsi="Arial"/>
          <w:sz w:val="20"/>
          <w:szCs w:val="20"/>
          <w:b w:val="1"/>
          <w:bCs w:val="1"/>
          <w:i w:val="1"/>
          <w:iCs w:val="1"/>
          <w:color w:val="00C1DE"/>
        </w:rPr>
        <w:t xml:space="preserve"> </w:t>
      </w:r>
      <w:r>
        <w:rPr>
          <w:rFonts w:ascii="Arial" w:cs="Arial" w:eastAsia="Arial" w:hAnsi="Arial"/>
          <w:sz w:val="20"/>
          <w:szCs w:val="20"/>
          <w:color w:val="3E3935"/>
        </w:rPr>
        <w:t>social and environmental expertise – in particular, human rights, supply chain, and compliance – through her experience in the retail industry as she provides oversight of sustainable material sourcing. GM benefits from Ms. Crevoiserat’s experience in this area as it seeks to build a more sustainable supply chain aligned with its vision of zero emissions.</w:t>
      </w:r>
    </w:p>
    <w:p>
      <w:pPr>
        <w:spacing w:after="0" w:line="200" w:lineRule="exact"/>
        <w:rPr>
          <w:sz w:val="20"/>
          <w:szCs w:val="20"/>
          <w:color w:val="auto"/>
        </w:rPr>
      </w:pPr>
    </w:p>
    <w:p>
      <w:pPr>
        <w:spacing w:after="0" w:line="364" w:lineRule="exact"/>
        <w:rPr>
          <w:sz w:val="20"/>
          <w:szCs w:val="20"/>
          <w:color w:val="auto"/>
        </w:rPr>
      </w:pPr>
    </w:p>
    <w:p>
      <w:pPr>
        <w:ind w:left="120"/>
        <w:spacing w:after="0"/>
        <w:rPr>
          <w:sz w:val="20"/>
          <w:szCs w:val="20"/>
          <w:color w:val="auto"/>
        </w:rPr>
      </w:pPr>
      <w:r>
        <w:rPr>
          <w:rFonts w:ascii="Arial" w:cs="Arial" w:eastAsia="Arial" w:hAnsi="Arial"/>
          <w:sz w:val="14"/>
          <w:szCs w:val="14"/>
          <w:color w:val="0071CE"/>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236220</wp:posOffset>
            </wp:positionH>
            <wp:positionV relativeFrom="paragraph">
              <wp:posOffset>-95885</wp:posOffset>
            </wp:positionV>
            <wp:extent cx="5983605" cy="10287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983605" cy="10287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2840"/>
        <w:spacing w:after="0"/>
        <w:rPr>
          <w:sz w:val="20"/>
          <w:szCs w:val="20"/>
          <w:color w:val="auto"/>
        </w:rPr>
      </w:pPr>
      <w:r>
        <w:rPr>
          <w:rFonts w:ascii="Arial" w:cs="Arial" w:eastAsia="Arial" w:hAnsi="Arial"/>
          <w:sz w:val="20"/>
          <w:szCs w:val="20"/>
          <w:b w:val="1"/>
          <w:bCs w:val="1"/>
          <w:color w:val="3E3935"/>
        </w:rPr>
        <w:t>Director Since</w:t>
      </w:r>
      <w:r>
        <w:rPr>
          <w:rFonts w:ascii="Arial" w:cs="Arial" w:eastAsia="Arial" w:hAnsi="Arial"/>
          <w:sz w:val="20"/>
          <w:szCs w:val="20"/>
          <w:color w:val="3E3935"/>
        </w:rPr>
        <w:t>: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-3664585</wp:posOffset>
            </wp:positionH>
            <wp:positionV relativeFrom="paragraph">
              <wp:posOffset>-901700</wp:posOffset>
            </wp:positionV>
            <wp:extent cx="7174865" cy="5588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4865" cy="55880"/>
                    </a:xfrm>
                    <a:prstGeom prst="rect">
                      <a:avLst/>
                    </a:prstGeom>
                    <a:noFill/>
                  </pic:spPr>
                </pic:pic>
              </a:graphicData>
            </a:graphic>
          </wp:anchor>
        </w:drawing>
        <w:drawing>
          <wp:anchor simplePos="0" relativeHeight="251657728" behindDoc="1" locked="0" layoutInCell="0" allowOverlap="1">
            <wp:simplePos x="0" y="0"/>
            <wp:positionH relativeFrom="column">
              <wp:posOffset>205105</wp:posOffset>
            </wp:positionH>
            <wp:positionV relativeFrom="paragraph">
              <wp:posOffset>-344805</wp:posOffset>
            </wp:positionV>
            <wp:extent cx="1268730" cy="126873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268730" cy="1268730"/>
                    </a:xfrm>
                    <a:prstGeom prst="rect">
                      <a:avLst/>
                    </a:prstGeom>
                    <a:noFill/>
                  </pic:spPr>
                </pic:pic>
              </a:graphicData>
            </a:graphic>
          </wp:anchor>
        </w:drawing>
      </w:r>
    </w:p>
    <w:p>
      <w:pPr>
        <w:ind w:left="2840"/>
        <w:spacing w:after="0" w:line="231" w:lineRule="auto"/>
        <w:rPr>
          <w:sz w:val="20"/>
          <w:szCs w:val="20"/>
          <w:color w:val="auto"/>
        </w:rPr>
      </w:pPr>
      <w:r>
        <w:rPr>
          <w:rFonts w:ascii="Arial" w:cs="Arial" w:eastAsia="Arial" w:hAnsi="Arial"/>
          <w:sz w:val="20"/>
          <w:szCs w:val="20"/>
          <w:b w:val="1"/>
          <w:bCs w:val="1"/>
          <w:color w:val="3E3935"/>
        </w:rPr>
        <w:t>Age</w:t>
      </w:r>
      <w:r>
        <w:rPr>
          <w:rFonts w:ascii="Arial" w:cs="Arial" w:eastAsia="Arial" w:hAnsi="Arial"/>
          <w:sz w:val="20"/>
          <w:szCs w:val="20"/>
          <w:color w:val="3E3935"/>
        </w:rPr>
        <w:t>: 70</w:t>
      </w:r>
    </w:p>
    <w:p>
      <w:pPr>
        <w:ind w:left="2840"/>
        <w:spacing w:after="0" w:line="226" w:lineRule="auto"/>
        <w:rPr>
          <w:sz w:val="20"/>
          <w:szCs w:val="20"/>
          <w:color w:val="auto"/>
        </w:rPr>
      </w:pPr>
      <w:r>
        <w:rPr>
          <w:rFonts w:ascii="Arial" w:cs="Arial" w:eastAsia="Arial" w:hAnsi="Arial"/>
          <w:sz w:val="20"/>
          <w:szCs w:val="20"/>
          <w:b w:val="1"/>
          <w:bCs w:val="1"/>
          <w:color w:val="3E3935"/>
        </w:rPr>
        <w:t>Independent</w:t>
      </w:r>
      <w:r>
        <w:rPr>
          <w:rFonts w:ascii="Arial" w:cs="Arial" w:eastAsia="Arial" w:hAnsi="Arial"/>
          <w:sz w:val="20"/>
          <w:szCs w:val="20"/>
          <w:color w:val="3E3935"/>
        </w:rPr>
        <w:t>: Yes</w:t>
      </w:r>
    </w:p>
    <w:p>
      <w:pPr>
        <w:ind w:left="2840"/>
        <w:spacing w:after="0" w:line="225" w:lineRule="auto"/>
        <w:rPr>
          <w:sz w:val="20"/>
          <w:szCs w:val="20"/>
          <w:color w:val="auto"/>
        </w:rPr>
      </w:pPr>
      <w:r>
        <w:rPr>
          <w:rFonts w:ascii="Arial" w:cs="Arial" w:eastAsia="Arial" w:hAnsi="Arial"/>
          <w:sz w:val="20"/>
          <w:szCs w:val="20"/>
          <w:b w:val="1"/>
          <w:bCs w:val="1"/>
          <w:color w:val="3E3935"/>
        </w:rPr>
        <w:t>Gender</w:t>
      </w:r>
      <w:r>
        <w:rPr>
          <w:rFonts w:ascii="Arial" w:cs="Arial" w:eastAsia="Arial" w:hAnsi="Arial"/>
          <w:sz w:val="20"/>
          <w:szCs w:val="20"/>
          <w:color w:val="3E3935"/>
        </w:rPr>
        <w:t>: Female</w:t>
      </w:r>
    </w:p>
    <w:p>
      <w:pPr>
        <w:ind w:left="2840"/>
        <w:spacing w:after="0" w:line="225" w:lineRule="auto"/>
        <w:rPr>
          <w:sz w:val="20"/>
          <w:szCs w:val="20"/>
          <w:color w:val="auto"/>
        </w:rPr>
      </w:pPr>
      <w:r>
        <w:rPr>
          <w:rFonts w:ascii="Arial" w:cs="Arial" w:eastAsia="Arial" w:hAnsi="Arial"/>
          <w:sz w:val="20"/>
          <w:szCs w:val="20"/>
          <w:b w:val="1"/>
          <w:bCs w:val="1"/>
          <w:color w:val="3E3935"/>
        </w:rPr>
        <w:t>Race/Ethnicity</w:t>
      </w:r>
      <w:r>
        <w:rPr>
          <w:rFonts w:ascii="Arial" w:cs="Arial" w:eastAsia="Arial" w:hAnsi="Arial"/>
          <w:sz w:val="20"/>
          <w:szCs w:val="20"/>
          <w:color w:val="3E3935"/>
        </w:rPr>
        <w:t>: African</w:t>
      </w:r>
    </w:p>
    <w:p>
      <w:pPr>
        <w:spacing w:after="0" w:line="1" w:lineRule="exact"/>
        <w:rPr>
          <w:sz w:val="20"/>
          <w:szCs w:val="20"/>
          <w:color w:val="auto"/>
        </w:rPr>
      </w:pPr>
    </w:p>
    <w:p>
      <w:pPr>
        <w:ind w:left="2840"/>
        <w:spacing w:after="0"/>
        <w:rPr>
          <w:sz w:val="20"/>
          <w:szCs w:val="20"/>
          <w:color w:val="auto"/>
        </w:rPr>
      </w:pPr>
      <w:r>
        <w:rPr>
          <w:rFonts w:ascii="Arial" w:cs="Arial" w:eastAsia="Arial" w:hAnsi="Arial"/>
          <w:sz w:val="20"/>
          <w:szCs w:val="20"/>
          <w:color w:val="3E3935"/>
        </w:rPr>
        <w:t>American</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0071CE"/>
        </w:rPr>
        <w:t>Linda R. Gooden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-68580</wp:posOffset>
            </wp:positionH>
            <wp:positionV relativeFrom="paragraph">
              <wp:posOffset>54610</wp:posOffset>
            </wp:positionV>
            <wp:extent cx="348043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3480435" cy="8255"/>
                    </a:xfrm>
                    <a:prstGeom prst="rect">
                      <a:avLst/>
                    </a:prstGeom>
                    <a:noFill/>
                  </pic:spPr>
                </pic:pic>
              </a:graphicData>
            </a:graphic>
          </wp:anchor>
        </w:drawing>
      </w:r>
    </w:p>
    <w:p>
      <w:pPr>
        <w:spacing w:after="0" w:line="152" w:lineRule="exact"/>
        <w:rPr>
          <w:sz w:val="20"/>
          <w:szCs w:val="20"/>
          <w:color w:val="auto"/>
        </w:rPr>
      </w:pPr>
    </w:p>
    <w:p>
      <w:pPr>
        <w:jc w:val="center"/>
        <w:ind w:left="920"/>
        <w:spacing w:after="0" w:line="241" w:lineRule="auto"/>
        <w:rPr>
          <w:sz w:val="20"/>
          <w:szCs w:val="20"/>
          <w:color w:val="auto"/>
        </w:rPr>
      </w:pPr>
      <w:r>
        <w:rPr>
          <w:rFonts w:ascii="Arial" w:cs="Arial" w:eastAsia="Arial" w:hAnsi="Arial"/>
          <w:sz w:val="20"/>
          <w:szCs w:val="20"/>
          <w:i w:val="1"/>
          <w:iCs w:val="1"/>
          <w:color w:val="3E3935"/>
        </w:rPr>
        <w:t>Retired Executive Vice President, Information Systems &amp; Global Solutions, Lockheed Martin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-68580</wp:posOffset>
            </wp:positionH>
            <wp:positionV relativeFrom="paragraph">
              <wp:posOffset>36830</wp:posOffset>
            </wp:positionV>
            <wp:extent cx="348043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3480435" cy="8255"/>
                    </a:xfrm>
                    <a:prstGeom prst="rect">
                      <a:avLst/>
                    </a:prstGeom>
                    <a:noFill/>
                  </pic:spPr>
                </pic:pic>
              </a:graphicData>
            </a:graphic>
          </wp:anchor>
        </w:drawing>
      </w:r>
    </w:p>
    <w:p>
      <w:pPr>
        <w:spacing w:after="0" w:line="111" w:lineRule="exact"/>
        <w:rPr>
          <w:sz w:val="20"/>
          <w:szCs w:val="20"/>
          <w:color w:val="auto"/>
        </w:rPr>
      </w:pPr>
    </w:p>
    <w:p>
      <w:pPr>
        <w:jc w:val="both"/>
        <w:ind w:right="20"/>
        <w:spacing w:after="0" w:line="257" w:lineRule="auto"/>
        <w:rPr>
          <w:sz w:val="20"/>
          <w:szCs w:val="20"/>
          <w:color w:val="auto"/>
        </w:rPr>
      </w:pPr>
      <w:r>
        <w:rPr>
          <w:rFonts w:ascii="Arial" w:cs="Arial" w:eastAsia="Arial" w:hAnsi="Arial"/>
          <w:sz w:val="20"/>
          <w:szCs w:val="20"/>
          <w:b w:val="1"/>
          <w:bCs w:val="1"/>
          <w:i w:val="1"/>
          <w:iCs w:val="1"/>
          <w:color w:val="00C1DE"/>
        </w:rPr>
        <w:t xml:space="preserve">Committees: </w:t>
      </w:r>
      <w:r>
        <w:rPr>
          <w:rFonts w:ascii="Arial" w:cs="Arial" w:eastAsia="Arial" w:hAnsi="Arial"/>
          <w:sz w:val="20"/>
          <w:szCs w:val="20"/>
          <w:color w:val="3E3935"/>
        </w:rPr>
        <w:t>Audit, Executive, Risk and Cybersecurity</w:t>
      </w:r>
      <w:r>
        <w:rPr>
          <w:rFonts w:ascii="Arial" w:cs="Arial" w:eastAsia="Arial" w:hAnsi="Arial"/>
          <w:sz w:val="20"/>
          <w:szCs w:val="20"/>
          <w:b w:val="1"/>
          <w:bCs w:val="1"/>
          <w:i w:val="1"/>
          <w:iCs w:val="1"/>
          <w:color w:val="00C1DE"/>
        </w:rPr>
        <w:t xml:space="preserve"> </w:t>
      </w:r>
      <w:r>
        <w:rPr>
          <w:rFonts w:ascii="Arial" w:cs="Arial" w:eastAsia="Arial" w:hAnsi="Arial"/>
          <w:sz w:val="20"/>
          <w:szCs w:val="20"/>
          <w:color w:val="3E3935"/>
        </w:rPr>
        <w:t>(Chair)</w:t>
      </w:r>
    </w:p>
    <w:p>
      <w:pPr>
        <w:spacing w:after="0" w:line="101" w:lineRule="exact"/>
        <w:rPr>
          <w:sz w:val="20"/>
          <w:szCs w:val="20"/>
          <w:color w:val="auto"/>
        </w:rPr>
      </w:pPr>
    </w:p>
    <w:p>
      <w:pPr>
        <w:jc w:val="both"/>
        <w:ind w:right="20"/>
        <w:spacing w:after="0" w:line="257" w:lineRule="auto"/>
        <w:rPr>
          <w:sz w:val="20"/>
          <w:szCs w:val="20"/>
          <w:color w:val="auto"/>
        </w:rPr>
      </w:pPr>
      <w:r>
        <w:rPr>
          <w:rFonts w:ascii="Arial" w:cs="Arial" w:eastAsia="Arial" w:hAnsi="Arial"/>
          <w:sz w:val="20"/>
          <w:szCs w:val="20"/>
          <w:b w:val="1"/>
          <w:bCs w:val="1"/>
          <w:i w:val="1"/>
          <w:iCs w:val="1"/>
          <w:color w:val="00C1DE"/>
        </w:rPr>
        <w:t xml:space="preserve">Other Public Company Directorships: </w:t>
      </w:r>
      <w:r>
        <w:rPr>
          <w:rFonts w:ascii="Arial" w:cs="Arial" w:eastAsia="Arial" w:hAnsi="Arial"/>
          <w:sz w:val="20"/>
          <w:szCs w:val="20"/>
          <w:color w:val="3E3935"/>
        </w:rPr>
        <w:t>The Home Depot,</w:t>
      </w:r>
      <w:r>
        <w:rPr>
          <w:rFonts w:ascii="Arial" w:cs="Arial" w:eastAsia="Arial" w:hAnsi="Arial"/>
          <w:sz w:val="20"/>
          <w:szCs w:val="20"/>
          <w:b w:val="1"/>
          <w:bCs w:val="1"/>
          <w:i w:val="1"/>
          <w:iCs w:val="1"/>
          <w:color w:val="00C1DE"/>
        </w:rPr>
        <w:t xml:space="preserve"> </w:t>
      </w:r>
      <w:r>
        <w:rPr>
          <w:rFonts w:ascii="Arial" w:cs="Arial" w:eastAsia="Arial" w:hAnsi="Arial"/>
          <w:sz w:val="20"/>
          <w:szCs w:val="20"/>
          <w:color w:val="3E3935"/>
        </w:rPr>
        <w:t>Inc. and Bright Health Group, Inc.</w:t>
      </w:r>
    </w:p>
    <w:p>
      <w:pPr>
        <w:spacing w:after="0" w:line="101" w:lineRule="exact"/>
        <w:rPr>
          <w:sz w:val="20"/>
          <w:szCs w:val="20"/>
          <w:color w:val="auto"/>
        </w:rPr>
      </w:pPr>
    </w:p>
    <w:p>
      <w:pPr>
        <w:jc w:val="both"/>
        <w:spacing w:after="0" w:line="241" w:lineRule="auto"/>
        <w:rPr>
          <w:sz w:val="20"/>
          <w:szCs w:val="20"/>
          <w:color w:val="auto"/>
        </w:rPr>
      </w:pPr>
      <w:r>
        <w:rPr>
          <w:rFonts w:ascii="Arial" w:cs="Arial" w:eastAsia="Arial" w:hAnsi="Arial"/>
          <w:sz w:val="20"/>
          <w:szCs w:val="20"/>
          <w:b w:val="1"/>
          <w:bCs w:val="1"/>
          <w:i w:val="1"/>
          <w:iCs w:val="1"/>
          <w:color w:val="00C1DE"/>
        </w:rPr>
        <w:t xml:space="preserve">Prior Public Company Directorships: </w:t>
      </w:r>
      <w:r>
        <w:rPr>
          <w:rFonts w:ascii="Arial" w:cs="Arial" w:eastAsia="Arial" w:hAnsi="Arial"/>
          <w:sz w:val="20"/>
          <w:szCs w:val="20"/>
          <w:color w:val="3E3935"/>
        </w:rPr>
        <w:t>WGL Holdings, Inc.,</w:t>
      </w:r>
      <w:r>
        <w:rPr>
          <w:rFonts w:ascii="Arial" w:cs="Arial" w:eastAsia="Arial" w:hAnsi="Arial"/>
          <w:sz w:val="20"/>
          <w:szCs w:val="20"/>
          <w:b w:val="1"/>
          <w:bCs w:val="1"/>
          <w:i w:val="1"/>
          <w:iCs w:val="1"/>
          <w:color w:val="00C1DE"/>
        </w:rPr>
        <w:t xml:space="preserve"> </w:t>
      </w:r>
      <w:r>
        <w:rPr>
          <w:rFonts w:ascii="Arial" w:cs="Arial" w:eastAsia="Arial" w:hAnsi="Arial"/>
          <w:sz w:val="20"/>
          <w:szCs w:val="20"/>
          <w:color w:val="3E3935"/>
        </w:rPr>
        <w:t>Washington Gas &amp; Light Company, a subsidiary of WGL Holdings, Inc., and Automatic Data Processing, Inc.</w:t>
      </w:r>
    </w:p>
    <w:p>
      <w:pPr>
        <w:spacing w:after="0" w:line="117" w:lineRule="exact"/>
        <w:rPr>
          <w:sz w:val="20"/>
          <w:szCs w:val="20"/>
          <w:color w:val="auto"/>
        </w:rPr>
      </w:pPr>
    </w:p>
    <w:p>
      <w:pPr>
        <w:jc w:val="both"/>
        <w:ind w:right="20"/>
        <w:spacing w:after="0" w:line="232" w:lineRule="auto"/>
        <w:rPr>
          <w:sz w:val="20"/>
          <w:szCs w:val="20"/>
          <w:color w:val="auto"/>
        </w:rPr>
      </w:pPr>
      <w:r>
        <w:rPr>
          <w:rFonts w:ascii="Arial" w:cs="Arial" w:eastAsia="Arial" w:hAnsi="Arial"/>
          <w:sz w:val="20"/>
          <w:szCs w:val="20"/>
          <w:b w:val="1"/>
          <w:bCs w:val="1"/>
          <w:i w:val="1"/>
          <w:iCs w:val="1"/>
          <w:color w:val="00C1DE"/>
        </w:rPr>
        <w:t xml:space="preserve">Prior Experience: </w:t>
      </w:r>
      <w:r>
        <w:rPr>
          <w:rFonts w:ascii="Arial" w:cs="Arial" w:eastAsia="Arial" w:hAnsi="Arial"/>
          <w:sz w:val="20"/>
          <w:szCs w:val="20"/>
          <w:color w:val="3E3935"/>
        </w:rPr>
        <w:t>Ms. Gooden served as Executive Vice</w:t>
      </w:r>
      <w:r>
        <w:rPr>
          <w:rFonts w:ascii="Arial" w:cs="Arial" w:eastAsia="Arial" w:hAnsi="Arial"/>
          <w:sz w:val="20"/>
          <w:szCs w:val="20"/>
          <w:b w:val="1"/>
          <w:bCs w:val="1"/>
          <w:i w:val="1"/>
          <w:iCs w:val="1"/>
          <w:color w:val="00C1DE"/>
        </w:rPr>
        <w:t xml:space="preserve"> </w:t>
      </w:r>
      <w:r>
        <w:rPr>
          <w:rFonts w:ascii="Arial" w:cs="Arial" w:eastAsia="Arial" w:hAnsi="Arial"/>
          <w:sz w:val="20"/>
          <w:szCs w:val="20"/>
          <w:color w:val="3E3935"/>
        </w:rPr>
        <w:t>President, Information Systems and Global Solutions of Lockheed Martin Corporation from 2007 to 2013. She also served as Lockheed Martin’s Deputy Executive Vice President, Information and Technology Services from October to December 2006, and as its President, Information Technology from 1997 to December 2006.</w:t>
      </w:r>
    </w:p>
    <w:p>
      <w:pPr>
        <w:spacing w:after="0" w:line="118" w:lineRule="exact"/>
        <w:rPr>
          <w:sz w:val="20"/>
          <w:szCs w:val="20"/>
          <w:color w:val="auto"/>
        </w:rPr>
      </w:pPr>
    </w:p>
    <w:p>
      <w:pPr>
        <w:jc w:val="both"/>
        <w:spacing w:after="0" w:line="233" w:lineRule="auto"/>
        <w:rPr>
          <w:sz w:val="20"/>
          <w:szCs w:val="20"/>
          <w:color w:val="auto"/>
        </w:rPr>
      </w:pPr>
      <w:r>
        <w:rPr>
          <w:rFonts w:ascii="Arial" w:cs="Arial" w:eastAsia="Arial" w:hAnsi="Arial"/>
          <w:sz w:val="20"/>
          <w:szCs w:val="20"/>
          <w:b w:val="1"/>
          <w:bCs w:val="1"/>
          <w:i w:val="1"/>
          <w:iCs w:val="1"/>
          <w:color w:val="00C1DE"/>
        </w:rPr>
        <w:t xml:space="preserve">Reasons for Nomination: </w:t>
      </w:r>
      <w:r>
        <w:rPr>
          <w:rFonts w:ascii="Arial" w:cs="Arial" w:eastAsia="Arial" w:hAnsi="Arial"/>
          <w:sz w:val="20"/>
          <w:szCs w:val="20"/>
          <w:color w:val="3E3935"/>
        </w:rPr>
        <w:t>Ms. Gooden has strong</w:t>
      </w:r>
      <w:r>
        <w:rPr>
          <w:rFonts w:ascii="Arial" w:cs="Arial" w:eastAsia="Arial" w:hAnsi="Arial"/>
          <w:sz w:val="20"/>
          <w:szCs w:val="20"/>
          <w:b w:val="1"/>
          <w:bCs w:val="1"/>
          <w:i w:val="1"/>
          <w:iCs w:val="1"/>
          <w:color w:val="00C1DE"/>
        </w:rPr>
        <w:t xml:space="preserve"> </w:t>
      </w:r>
      <w:r>
        <w:rPr>
          <w:rFonts w:ascii="Arial" w:cs="Arial" w:eastAsia="Arial" w:hAnsi="Arial"/>
          <w:sz w:val="20"/>
          <w:szCs w:val="20"/>
          <w:color w:val="3E3935"/>
        </w:rPr>
        <w:t>leadership capabilities demonstrated through her various senior leadership positions at Lockheed Martin. She also has significant expertise in operations and strategic planning, as well as an extensive background in information technology and cybersecurity.</w:t>
      </w:r>
    </w:p>
    <w:p>
      <w:pPr>
        <w:spacing w:after="0" w:line="118" w:lineRule="exact"/>
        <w:rPr>
          <w:sz w:val="20"/>
          <w:szCs w:val="20"/>
          <w:color w:val="auto"/>
        </w:rPr>
      </w:pPr>
    </w:p>
    <w:p>
      <w:pPr>
        <w:jc w:val="both"/>
        <w:ind w:right="20"/>
        <w:spacing w:after="0" w:line="232" w:lineRule="auto"/>
        <w:rPr>
          <w:sz w:val="20"/>
          <w:szCs w:val="20"/>
          <w:color w:val="auto"/>
        </w:rPr>
      </w:pPr>
      <w:r>
        <w:rPr>
          <w:rFonts w:ascii="Arial" w:cs="Arial" w:eastAsia="Arial" w:hAnsi="Arial"/>
          <w:sz w:val="20"/>
          <w:szCs w:val="20"/>
          <w:b w:val="1"/>
          <w:bCs w:val="1"/>
          <w:i w:val="1"/>
          <w:iCs w:val="1"/>
          <w:color w:val="00C1DE"/>
        </w:rPr>
        <w:t xml:space="preserve">Spotlight on ESG Expertise: </w:t>
      </w:r>
      <w:r>
        <w:rPr>
          <w:rFonts w:ascii="Arial" w:cs="Arial" w:eastAsia="Arial" w:hAnsi="Arial"/>
          <w:sz w:val="20"/>
          <w:szCs w:val="20"/>
          <w:color w:val="3E3935"/>
        </w:rPr>
        <w:t>Ms. Gooden developed social</w:t>
      </w:r>
      <w:r>
        <w:rPr>
          <w:rFonts w:ascii="Arial" w:cs="Arial" w:eastAsia="Arial" w:hAnsi="Arial"/>
          <w:sz w:val="20"/>
          <w:szCs w:val="20"/>
          <w:b w:val="1"/>
          <w:bCs w:val="1"/>
          <w:i w:val="1"/>
          <w:iCs w:val="1"/>
          <w:color w:val="00C1DE"/>
        </w:rPr>
        <w:t xml:space="preserve"> </w:t>
      </w:r>
      <w:r>
        <w:rPr>
          <w:rFonts w:ascii="Arial" w:cs="Arial" w:eastAsia="Arial" w:hAnsi="Arial"/>
          <w:sz w:val="20"/>
          <w:szCs w:val="20"/>
          <w:color w:val="3E3935"/>
        </w:rPr>
        <w:t>expertise through her leadership in the cybersecurity industry. In that capacity, she leverages her technical training to advocate for stringent privacy and data protection controls. GM benefits from Ms. Gooden’s experience in this area as it develops innovative software and autonomous driving solutions.</w:t>
      </w:r>
    </w:p>
    <w:p>
      <w:pPr>
        <w:sectPr>
          <w:pgSz w:w="11900" w:h="16838" w:orient="portrait"/>
          <w:cols w:equalWidth="0" w:num="2">
            <w:col w:w="5200" w:space="560"/>
            <w:col w:w="5380"/>
          </w:cols>
          <w:pgMar w:left="320" w:top="482" w:right="4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208280</wp:posOffset>
            </wp:positionV>
            <wp:extent cx="1268730" cy="126873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268730" cy="1268730"/>
                    </a:xfrm>
                    <a:prstGeom prst="rect">
                      <a:avLst/>
                    </a:prstGeom>
                    <a:noFill/>
                  </pic:spPr>
                </pic:pic>
              </a:graphicData>
            </a:graphic>
          </wp:anchor>
        </w:drawing>
        <w:drawing>
          <wp:anchor simplePos="0" relativeHeight="251657728" behindDoc="1" locked="0" layoutInCell="0" allowOverlap="1">
            <wp:simplePos x="0" y="0"/>
            <wp:positionH relativeFrom="column">
              <wp:posOffset>3862705</wp:posOffset>
            </wp:positionH>
            <wp:positionV relativeFrom="paragraph">
              <wp:posOffset>208280</wp:posOffset>
            </wp:positionV>
            <wp:extent cx="1268730" cy="126873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268730" cy="12687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2780"/>
        <w:spacing w:after="0"/>
        <w:tabs>
          <w:tab w:leader="none" w:pos="8580" w:val="left"/>
        </w:tabs>
        <w:rPr>
          <w:sz w:val="20"/>
          <w:szCs w:val="20"/>
          <w:color w:val="auto"/>
        </w:rPr>
      </w:pPr>
      <w:r>
        <w:rPr>
          <w:rFonts w:ascii="Arial" w:cs="Arial" w:eastAsia="Arial" w:hAnsi="Arial"/>
          <w:sz w:val="20"/>
          <w:szCs w:val="20"/>
          <w:b w:val="1"/>
          <w:bCs w:val="1"/>
          <w:color w:val="3E3935"/>
        </w:rPr>
        <w:t>Director Since</w:t>
      </w:r>
      <w:r>
        <w:rPr>
          <w:rFonts w:ascii="Arial" w:cs="Arial" w:eastAsia="Arial" w:hAnsi="Arial"/>
          <w:sz w:val="20"/>
          <w:szCs w:val="20"/>
          <w:color w:val="3E3935"/>
        </w:rPr>
        <w:t>: 2015</w:t>
      </w:r>
      <w:r>
        <w:rPr>
          <w:sz w:val="20"/>
          <w:szCs w:val="20"/>
          <w:color w:val="auto"/>
        </w:rPr>
        <w:tab/>
      </w:r>
      <w:r>
        <w:rPr>
          <w:rFonts w:ascii="Arial" w:cs="Arial" w:eastAsia="Arial" w:hAnsi="Arial"/>
          <w:sz w:val="19"/>
          <w:szCs w:val="19"/>
          <w:b w:val="1"/>
          <w:bCs w:val="1"/>
          <w:color w:val="3E3935"/>
        </w:rPr>
        <w:t>Director Since</w:t>
      </w:r>
      <w:r>
        <w:rPr>
          <w:rFonts w:ascii="Arial" w:cs="Arial" w:eastAsia="Arial" w:hAnsi="Arial"/>
          <w:sz w:val="19"/>
          <w:szCs w:val="19"/>
          <w:color w:val="3E3935"/>
        </w:rPr>
        <w:t>: 2022</w:t>
      </w:r>
    </w:p>
    <w:p>
      <w:pPr>
        <w:ind w:left="2780"/>
        <w:spacing w:after="0" w:line="231" w:lineRule="auto"/>
        <w:tabs>
          <w:tab w:leader="none" w:pos="8580" w:val="left"/>
        </w:tabs>
        <w:rPr>
          <w:sz w:val="20"/>
          <w:szCs w:val="20"/>
          <w:color w:val="auto"/>
        </w:rPr>
      </w:pPr>
      <w:r>
        <w:rPr>
          <w:rFonts w:ascii="Arial" w:cs="Arial" w:eastAsia="Arial" w:hAnsi="Arial"/>
          <w:sz w:val="20"/>
          <w:szCs w:val="20"/>
          <w:b w:val="1"/>
          <w:bCs w:val="1"/>
          <w:color w:val="3E3935"/>
        </w:rPr>
        <w:t>Age</w:t>
      </w:r>
      <w:r>
        <w:rPr>
          <w:rFonts w:ascii="Arial" w:cs="Arial" w:eastAsia="Arial" w:hAnsi="Arial"/>
          <w:sz w:val="20"/>
          <w:szCs w:val="20"/>
          <w:color w:val="3E3935"/>
        </w:rPr>
        <w:t>: 63</w:t>
      </w:r>
      <w:r>
        <w:rPr>
          <w:sz w:val="20"/>
          <w:szCs w:val="20"/>
          <w:color w:val="auto"/>
        </w:rPr>
        <w:tab/>
      </w:r>
      <w:r>
        <w:rPr>
          <w:rFonts w:ascii="Arial" w:cs="Arial" w:eastAsia="Arial" w:hAnsi="Arial"/>
          <w:sz w:val="20"/>
          <w:szCs w:val="20"/>
          <w:b w:val="1"/>
          <w:bCs w:val="1"/>
          <w:color w:val="3E3935"/>
        </w:rPr>
        <w:t>Age</w:t>
      </w:r>
      <w:r>
        <w:rPr>
          <w:rFonts w:ascii="Arial" w:cs="Arial" w:eastAsia="Arial" w:hAnsi="Arial"/>
          <w:sz w:val="20"/>
          <w:szCs w:val="20"/>
          <w:color w:val="3E3935"/>
        </w:rPr>
        <w:t>: 55</w:t>
      </w:r>
    </w:p>
    <w:p>
      <w:pPr>
        <w:ind w:left="2780"/>
        <w:spacing w:after="0" w:line="238" w:lineRule="auto"/>
        <w:tabs>
          <w:tab w:leader="none" w:pos="8580" w:val="left"/>
        </w:tabs>
        <w:rPr>
          <w:sz w:val="20"/>
          <w:szCs w:val="20"/>
          <w:color w:val="auto"/>
        </w:rPr>
      </w:pPr>
      <w:r>
        <w:rPr>
          <w:rFonts w:ascii="Arial" w:cs="Arial" w:eastAsia="Arial" w:hAnsi="Arial"/>
          <w:sz w:val="20"/>
          <w:szCs w:val="20"/>
          <w:b w:val="1"/>
          <w:bCs w:val="1"/>
          <w:color w:val="3E3935"/>
        </w:rPr>
        <w:t>Independent</w:t>
      </w:r>
      <w:r>
        <w:rPr>
          <w:rFonts w:ascii="Arial" w:cs="Arial" w:eastAsia="Arial" w:hAnsi="Arial"/>
          <w:sz w:val="20"/>
          <w:szCs w:val="20"/>
          <w:color w:val="3E3935"/>
        </w:rPr>
        <w:t>: Yes</w:t>
      </w:r>
      <w:r>
        <w:rPr>
          <w:sz w:val="20"/>
          <w:szCs w:val="20"/>
          <w:color w:val="auto"/>
        </w:rPr>
        <w:tab/>
      </w:r>
      <w:r>
        <w:rPr>
          <w:rFonts w:ascii="Arial" w:cs="Arial" w:eastAsia="Arial" w:hAnsi="Arial"/>
          <w:sz w:val="19"/>
          <w:szCs w:val="19"/>
          <w:b w:val="1"/>
          <w:bCs w:val="1"/>
          <w:color w:val="3E3935"/>
        </w:rPr>
        <w:t>Independent</w:t>
      </w:r>
      <w:r>
        <w:rPr>
          <w:rFonts w:ascii="Arial" w:cs="Arial" w:eastAsia="Arial" w:hAnsi="Arial"/>
          <w:sz w:val="19"/>
          <w:szCs w:val="19"/>
          <w:color w:val="3E3935"/>
        </w:rPr>
        <w:t>: Yes</w:t>
      </w:r>
    </w:p>
    <w:p>
      <w:pPr>
        <w:ind w:left="2780"/>
        <w:spacing w:after="0" w:line="237" w:lineRule="auto"/>
        <w:tabs>
          <w:tab w:leader="none" w:pos="8580" w:val="left"/>
        </w:tabs>
        <w:rPr>
          <w:sz w:val="20"/>
          <w:szCs w:val="20"/>
          <w:color w:val="auto"/>
        </w:rPr>
      </w:pPr>
      <w:r>
        <w:rPr>
          <w:rFonts w:ascii="Arial" w:cs="Arial" w:eastAsia="Arial" w:hAnsi="Arial"/>
          <w:sz w:val="20"/>
          <w:szCs w:val="20"/>
          <w:b w:val="1"/>
          <w:bCs w:val="1"/>
          <w:color w:val="3E3935"/>
        </w:rPr>
        <w:t>Gender</w:t>
      </w:r>
      <w:r>
        <w:rPr>
          <w:rFonts w:ascii="Arial" w:cs="Arial" w:eastAsia="Arial" w:hAnsi="Arial"/>
          <w:sz w:val="20"/>
          <w:szCs w:val="20"/>
          <w:color w:val="3E3935"/>
        </w:rPr>
        <w:t>: Male</w:t>
      </w:r>
      <w:r>
        <w:rPr>
          <w:sz w:val="20"/>
          <w:szCs w:val="20"/>
          <w:color w:val="auto"/>
        </w:rPr>
        <w:tab/>
      </w:r>
      <w:r>
        <w:rPr>
          <w:rFonts w:ascii="Arial" w:cs="Arial" w:eastAsia="Arial" w:hAnsi="Arial"/>
          <w:sz w:val="19"/>
          <w:szCs w:val="19"/>
          <w:b w:val="1"/>
          <w:bCs w:val="1"/>
          <w:color w:val="3E3935"/>
        </w:rPr>
        <w:t>Gender</w:t>
      </w:r>
      <w:r>
        <w:rPr>
          <w:rFonts w:ascii="Arial" w:cs="Arial" w:eastAsia="Arial" w:hAnsi="Arial"/>
          <w:sz w:val="19"/>
          <w:szCs w:val="19"/>
          <w:color w:val="3E3935"/>
        </w:rPr>
        <w:t>: Male</w:t>
      </w:r>
    </w:p>
    <w:p>
      <w:pPr>
        <w:jc w:val="right"/>
        <w:ind w:right="560"/>
        <w:spacing w:after="0"/>
        <w:tabs>
          <w:tab w:leader="none" w:pos="1960" w:val="left"/>
        </w:tabs>
        <w:rPr>
          <w:sz w:val="20"/>
          <w:szCs w:val="20"/>
          <w:color w:val="auto"/>
        </w:rPr>
      </w:pPr>
      <w:r>
        <w:rPr>
          <w:rFonts w:ascii="Arial" w:cs="Arial" w:eastAsia="Arial" w:hAnsi="Arial"/>
          <w:sz w:val="20"/>
          <w:szCs w:val="20"/>
          <w:b w:val="1"/>
          <w:bCs w:val="1"/>
          <w:color w:val="3E3935"/>
        </w:rPr>
        <w:t>Race/Ethnicity</w:t>
      </w:r>
      <w:r>
        <w:rPr>
          <w:rFonts w:ascii="Arial" w:cs="Arial" w:eastAsia="Arial" w:hAnsi="Arial"/>
          <w:sz w:val="20"/>
          <w:szCs w:val="20"/>
          <w:color w:val="3E3935"/>
        </w:rPr>
        <w:t>: Hispanic</w:t>
      </w:r>
      <w:r>
        <w:rPr>
          <w:sz w:val="20"/>
          <w:szCs w:val="20"/>
          <w:color w:val="auto"/>
        </w:rPr>
        <w:tab/>
      </w:r>
      <w:r>
        <w:rPr>
          <w:rFonts w:ascii="Arial" w:cs="Arial" w:eastAsia="Arial" w:hAnsi="Arial"/>
          <w:sz w:val="19"/>
          <w:szCs w:val="19"/>
          <w:b w:val="1"/>
          <w:bCs w:val="1"/>
          <w:color w:val="3E3935"/>
        </w:rPr>
        <w:t>Race/Ethnicity</w:t>
      </w:r>
      <w:r>
        <w:rPr>
          <w:rFonts w:ascii="Arial" w:cs="Arial" w:eastAsia="Arial" w:hAnsi="Arial"/>
          <w:sz w:val="19"/>
          <w:szCs w:val="19"/>
          <w:color w:val="3E3935"/>
        </w:rPr>
        <w:t>: White</w:t>
      </w:r>
    </w:p>
    <w:p>
      <w:pPr>
        <w:sectPr>
          <w:pgSz w:w="11900" w:h="16838" w:orient="portrait"/>
          <w:cols w:equalWidth="0" w:num="1">
            <w:col w:w="11140"/>
          </w:cols>
          <w:pgMar w:left="320" w:top="482" w:right="439" w:bottom="1440" w:gutter="0" w:footer="0" w:header="0"/>
        </w:sectPr>
      </w:pPr>
    </w:p>
    <w:p>
      <w:pPr>
        <w:spacing w:after="0" w:line="200" w:lineRule="exact"/>
        <w:rPr>
          <w:sz w:val="20"/>
          <w:szCs w:val="20"/>
          <w:color w:val="auto"/>
        </w:rPr>
      </w:pPr>
    </w:p>
    <w:p>
      <w:pPr>
        <w:spacing w:after="0" w:line="342" w:lineRule="exact"/>
        <w:rPr>
          <w:sz w:val="20"/>
          <w:szCs w:val="20"/>
          <w:color w:val="auto"/>
        </w:rPr>
      </w:pPr>
    </w:p>
    <w:p>
      <w:pPr>
        <w:jc w:val="center"/>
        <w:ind w:left="120"/>
        <w:spacing w:after="0"/>
        <w:rPr>
          <w:sz w:val="20"/>
          <w:szCs w:val="20"/>
          <w:color w:val="auto"/>
        </w:rPr>
      </w:pPr>
      <w:r>
        <w:rPr>
          <w:rFonts w:ascii="Arial" w:cs="Arial" w:eastAsia="Arial" w:hAnsi="Arial"/>
          <w:sz w:val="22"/>
          <w:szCs w:val="22"/>
          <w:b w:val="1"/>
          <w:bCs w:val="1"/>
          <w:color w:val="0071CE"/>
        </w:rPr>
        <w:t>Joseph Jimenez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54610</wp:posOffset>
            </wp:positionV>
            <wp:extent cx="330009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3300095" cy="8255"/>
                    </a:xfrm>
                    <a:prstGeom prst="rect">
                      <a:avLst/>
                    </a:prstGeom>
                    <a:noFill/>
                  </pic:spPr>
                </pic:pic>
              </a:graphicData>
            </a:graphic>
          </wp:anchor>
        </w:drawing>
      </w:r>
    </w:p>
    <w:p>
      <w:pPr>
        <w:spacing w:after="0" w:line="152" w:lineRule="exact"/>
        <w:rPr>
          <w:sz w:val="20"/>
          <w:szCs w:val="20"/>
          <w:color w:val="auto"/>
        </w:rPr>
      </w:pPr>
    </w:p>
    <w:p>
      <w:pPr>
        <w:ind w:left="2120"/>
        <w:spacing w:after="0"/>
        <w:rPr>
          <w:sz w:val="20"/>
          <w:szCs w:val="20"/>
          <w:color w:val="auto"/>
        </w:rPr>
      </w:pPr>
      <w:r>
        <w:rPr>
          <w:rFonts w:ascii="Arial" w:cs="Arial" w:eastAsia="Arial" w:hAnsi="Arial"/>
          <w:sz w:val="20"/>
          <w:szCs w:val="20"/>
          <w:i w:val="1"/>
          <w:iCs w:val="1"/>
          <w:color w:val="3E3935"/>
        </w:rPr>
        <w:t>Retired CEO,</w:t>
      </w:r>
    </w:p>
    <w:p>
      <w:pPr>
        <w:spacing w:after="0" w:line="4" w:lineRule="exact"/>
        <w:rPr>
          <w:sz w:val="20"/>
          <w:szCs w:val="20"/>
          <w:color w:val="auto"/>
        </w:rPr>
      </w:pPr>
    </w:p>
    <w:p>
      <w:pPr>
        <w:ind w:left="2180"/>
        <w:spacing w:after="0"/>
        <w:rPr>
          <w:sz w:val="20"/>
          <w:szCs w:val="20"/>
          <w:color w:val="auto"/>
        </w:rPr>
      </w:pPr>
      <w:r>
        <w:rPr>
          <w:rFonts w:ascii="Arial" w:cs="Arial" w:eastAsia="Arial" w:hAnsi="Arial"/>
          <w:sz w:val="20"/>
          <w:szCs w:val="20"/>
          <w:i w:val="1"/>
          <w:iCs w:val="1"/>
          <w:color w:val="3E3935"/>
        </w:rPr>
        <w:t>Novartis AG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45085</wp:posOffset>
            </wp:positionV>
            <wp:extent cx="3300095"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3300095" cy="8890"/>
                    </a:xfrm>
                    <a:prstGeom prst="rect">
                      <a:avLst/>
                    </a:prstGeom>
                    <a:noFill/>
                  </pic:spPr>
                </pic:pic>
              </a:graphicData>
            </a:graphic>
          </wp:anchor>
        </w:drawing>
      </w:r>
    </w:p>
    <w:p>
      <w:pPr>
        <w:spacing w:after="0" w:line="124" w:lineRule="exact"/>
        <w:rPr>
          <w:sz w:val="20"/>
          <w:szCs w:val="20"/>
          <w:color w:val="auto"/>
        </w:rPr>
      </w:pPr>
    </w:p>
    <w:p>
      <w:pPr>
        <w:jc w:val="both"/>
        <w:ind w:left="120" w:right="20"/>
        <w:spacing w:after="0" w:line="257" w:lineRule="auto"/>
        <w:rPr>
          <w:sz w:val="20"/>
          <w:szCs w:val="20"/>
          <w:color w:val="auto"/>
        </w:rPr>
      </w:pPr>
      <w:r>
        <w:rPr>
          <w:rFonts w:ascii="Arial" w:cs="Arial" w:eastAsia="Arial" w:hAnsi="Arial"/>
          <w:sz w:val="20"/>
          <w:szCs w:val="20"/>
          <w:b w:val="1"/>
          <w:bCs w:val="1"/>
          <w:i w:val="1"/>
          <w:iCs w:val="1"/>
          <w:color w:val="00C1DE"/>
        </w:rPr>
        <w:t xml:space="preserve">Committees: </w:t>
      </w:r>
      <w:r>
        <w:rPr>
          <w:rFonts w:ascii="Arial" w:cs="Arial" w:eastAsia="Arial" w:hAnsi="Arial"/>
          <w:sz w:val="20"/>
          <w:szCs w:val="20"/>
          <w:color w:val="3E3935"/>
        </w:rPr>
        <w:t>Compensation, Executive, Finance (Chair),</w:t>
      </w:r>
      <w:r>
        <w:rPr>
          <w:rFonts w:ascii="Arial" w:cs="Arial" w:eastAsia="Arial" w:hAnsi="Arial"/>
          <w:sz w:val="20"/>
          <w:szCs w:val="20"/>
          <w:b w:val="1"/>
          <w:bCs w:val="1"/>
          <w:i w:val="1"/>
          <w:iCs w:val="1"/>
          <w:color w:val="00C1DE"/>
        </w:rPr>
        <w:t xml:space="preserve"> </w:t>
      </w:r>
      <w:r>
        <w:rPr>
          <w:rFonts w:ascii="Arial" w:cs="Arial" w:eastAsia="Arial" w:hAnsi="Arial"/>
          <w:sz w:val="20"/>
          <w:szCs w:val="20"/>
          <w:color w:val="3E3935"/>
        </w:rPr>
        <w:t>Risk and Cybersecurity</w:t>
      </w:r>
    </w:p>
    <w:p>
      <w:pPr>
        <w:spacing w:after="0" w:line="101" w:lineRule="exact"/>
        <w:rPr>
          <w:sz w:val="20"/>
          <w:szCs w:val="20"/>
          <w:color w:val="auto"/>
        </w:rPr>
      </w:pPr>
    </w:p>
    <w:p>
      <w:pPr>
        <w:jc w:val="both"/>
        <w:ind w:left="120"/>
        <w:spacing w:after="0" w:line="241" w:lineRule="auto"/>
        <w:rPr>
          <w:sz w:val="20"/>
          <w:szCs w:val="20"/>
          <w:color w:val="auto"/>
        </w:rPr>
      </w:pPr>
      <w:r>
        <w:rPr>
          <w:rFonts w:ascii="Arial" w:cs="Arial" w:eastAsia="Arial" w:hAnsi="Arial"/>
          <w:sz w:val="20"/>
          <w:szCs w:val="20"/>
          <w:b w:val="1"/>
          <w:bCs w:val="1"/>
          <w:i w:val="1"/>
          <w:iCs w:val="1"/>
          <w:color w:val="00C1DE"/>
        </w:rPr>
        <w:t xml:space="preserve">Other Public Company Directorships: </w:t>
      </w:r>
      <w:r>
        <w:rPr>
          <w:rFonts w:ascii="Arial" w:cs="Arial" w:eastAsia="Arial" w:hAnsi="Arial"/>
          <w:sz w:val="20"/>
          <w:szCs w:val="20"/>
          <w:color w:val="3E3935"/>
        </w:rPr>
        <w:t>The Procter &amp;</w:t>
      </w:r>
      <w:r>
        <w:rPr>
          <w:rFonts w:ascii="Arial" w:cs="Arial" w:eastAsia="Arial" w:hAnsi="Arial"/>
          <w:sz w:val="20"/>
          <w:szCs w:val="20"/>
          <w:b w:val="1"/>
          <w:bCs w:val="1"/>
          <w:i w:val="1"/>
          <w:iCs w:val="1"/>
          <w:color w:val="00C1DE"/>
        </w:rPr>
        <w:t xml:space="preserve"> </w:t>
      </w:r>
      <w:r>
        <w:rPr>
          <w:rFonts w:ascii="Arial" w:cs="Arial" w:eastAsia="Arial" w:hAnsi="Arial"/>
          <w:sz w:val="20"/>
          <w:szCs w:val="20"/>
          <w:color w:val="3E3935"/>
        </w:rPr>
        <w:t>Gamble Co., Century Therapeutics, Inc., and Graphite Bio, Inc.</w:t>
      </w:r>
    </w:p>
    <w:p>
      <w:pPr>
        <w:spacing w:after="0" w:line="117" w:lineRule="exact"/>
        <w:rPr>
          <w:sz w:val="20"/>
          <w:szCs w:val="20"/>
          <w:color w:val="auto"/>
        </w:rPr>
      </w:pPr>
    </w:p>
    <w:p>
      <w:pPr>
        <w:jc w:val="both"/>
        <w:ind w:left="120" w:right="20"/>
        <w:spacing w:after="0" w:line="257" w:lineRule="auto"/>
        <w:rPr>
          <w:sz w:val="20"/>
          <w:szCs w:val="20"/>
          <w:color w:val="auto"/>
        </w:rPr>
      </w:pPr>
      <w:r>
        <w:rPr>
          <w:rFonts w:ascii="Arial" w:cs="Arial" w:eastAsia="Arial" w:hAnsi="Arial"/>
          <w:sz w:val="20"/>
          <w:szCs w:val="20"/>
          <w:b w:val="1"/>
          <w:bCs w:val="1"/>
          <w:i w:val="1"/>
          <w:iCs w:val="1"/>
          <w:color w:val="00C1DE"/>
        </w:rPr>
        <w:t xml:space="preserve">Prior Public Company Directorships: </w:t>
      </w:r>
      <w:r>
        <w:rPr>
          <w:rFonts w:ascii="Arial" w:cs="Arial" w:eastAsia="Arial" w:hAnsi="Arial"/>
          <w:sz w:val="20"/>
          <w:szCs w:val="20"/>
          <w:color w:val="3E3935"/>
        </w:rPr>
        <w:t>Colgate-Palmolive</w:t>
      </w:r>
      <w:r>
        <w:rPr>
          <w:rFonts w:ascii="Arial" w:cs="Arial" w:eastAsia="Arial" w:hAnsi="Arial"/>
          <w:sz w:val="20"/>
          <w:szCs w:val="20"/>
          <w:b w:val="1"/>
          <w:bCs w:val="1"/>
          <w:i w:val="1"/>
          <w:iCs w:val="1"/>
          <w:color w:val="00C1DE"/>
        </w:rPr>
        <w:t xml:space="preserve"> </w:t>
      </w:r>
      <w:r>
        <w:rPr>
          <w:rFonts w:ascii="Arial" w:cs="Arial" w:eastAsia="Arial" w:hAnsi="Arial"/>
          <w:sz w:val="20"/>
          <w:szCs w:val="20"/>
          <w:color w:val="3E3935"/>
        </w:rPr>
        <w:t>Company and AstraZeneca plc</w:t>
      </w:r>
    </w:p>
    <w:p>
      <w:pPr>
        <w:spacing w:after="0" w:line="101" w:lineRule="exact"/>
        <w:rPr>
          <w:sz w:val="20"/>
          <w:szCs w:val="20"/>
          <w:color w:val="auto"/>
        </w:rPr>
      </w:pPr>
    </w:p>
    <w:p>
      <w:pPr>
        <w:jc w:val="both"/>
        <w:ind w:left="120"/>
        <w:spacing w:after="0" w:line="229" w:lineRule="auto"/>
        <w:rPr>
          <w:sz w:val="20"/>
          <w:szCs w:val="20"/>
          <w:color w:val="auto"/>
        </w:rPr>
      </w:pPr>
      <w:r>
        <w:rPr>
          <w:rFonts w:ascii="Arial" w:cs="Arial" w:eastAsia="Arial" w:hAnsi="Arial"/>
          <w:sz w:val="20"/>
          <w:szCs w:val="20"/>
          <w:b w:val="1"/>
          <w:bCs w:val="1"/>
          <w:i w:val="1"/>
          <w:iCs w:val="1"/>
          <w:color w:val="00C1DE"/>
        </w:rPr>
        <w:t xml:space="preserve">Prior Experience: </w:t>
      </w:r>
      <w:r>
        <w:rPr>
          <w:rFonts w:ascii="Arial" w:cs="Arial" w:eastAsia="Arial" w:hAnsi="Arial"/>
          <w:sz w:val="20"/>
          <w:szCs w:val="20"/>
          <w:color w:val="3E3935"/>
        </w:rPr>
        <w:t>Since 2019, Mr. Jimenez served as Co-Founder and Managing Partner of Aditum Bio, a biotechnology-focused venture capital firm. Prior to that, he served as CEO of Novartis AG from 2010 until his retirement in 2018. Mr. Jimenez led Novartis’ Pharmaceuticals Division from October 2007 to 2010 and its Consumer Health Division in 2007. From 2006 to 2007, he served as Advisor to the Blackstone Group L.P. Mr. Jimenez was also Executive Vice President, President, and CEO of Heinz Europe from 2002 to 2006; and President and CEO of H.J. Heinz Company North America from 1999 to 2002.</w:t>
      </w:r>
    </w:p>
    <w:p>
      <w:pPr>
        <w:spacing w:after="0" w:line="121" w:lineRule="exact"/>
        <w:rPr>
          <w:sz w:val="20"/>
          <w:szCs w:val="20"/>
          <w:color w:val="auto"/>
        </w:rPr>
      </w:pPr>
    </w:p>
    <w:p>
      <w:pPr>
        <w:jc w:val="both"/>
        <w:ind w:left="120"/>
        <w:spacing w:after="0" w:line="248" w:lineRule="auto"/>
        <w:rPr>
          <w:sz w:val="20"/>
          <w:szCs w:val="20"/>
          <w:color w:val="auto"/>
        </w:rPr>
      </w:pPr>
      <w:r>
        <w:rPr>
          <w:rFonts w:ascii="Arial" w:cs="Arial" w:eastAsia="Arial" w:hAnsi="Arial"/>
          <w:sz w:val="19"/>
          <w:szCs w:val="19"/>
          <w:b w:val="1"/>
          <w:bCs w:val="1"/>
          <w:i w:val="1"/>
          <w:iCs w:val="1"/>
          <w:color w:val="00C1DE"/>
        </w:rPr>
        <w:t xml:space="preserve">Reasons for Nomination: </w:t>
      </w:r>
      <w:r>
        <w:rPr>
          <w:rFonts w:ascii="Arial" w:cs="Arial" w:eastAsia="Arial" w:hAnsi="Arial"/>
          <w:sz w:val="19"/>
          <w:szCs w:val="19"/>
          <w:color w:val="3E3935"/>
        </w:rPr>
        <w:t>Mr. Jimenez has served as the</w:t>
      </w:r>
      <w:r>
        <w:rPr>
          <w:rFonts w:ascii="Arial" w:cs="Arial" w:eastAsia="Arial" w:hAnsi="Arial"/>
          <w:sz w:val="19"/>
          <w:szCs w:val="19"/>
          <w:b w:val="1"/>
          <w:bCs w:val="1"/>
          <w:i w:val="1"/>
          <w:iCs w:val="1"/>
          <w:color w:val="00C1DE"/>
        </w:rPr>
        <w:t xml:space="preserve"> </w:t>
      </w:r>
      <w:r>
        <w:rPr>
          <w:rFonts w:ascii="Arial" w:cs="Arial" w:eastAsia="Arial" w:hAnsi="Arial"/>
          <w:sz w:val="19"/>
          <w:szCs w:val="19"/>
          <w:color w:val="3E3935"/>
        </w:rPr>
        <w:t>CEO of a global company with significant research and development and capital spending in a highly regulated environment. He also has significant experience in finance, strategic planning, and consumer branding and marketing.</w:t>
      </w:r>
    </w:p>
    <w:p>
      <w:pPr>
        <w:spacing w:after="0" w:line="113" w:lineRule="exact"/>
        <w:rPr>
          <w:sz w:val="20"/>
          <w:szCs w:val="20"/>
          <w:color w:val="auto"/>
        </w:rPr>
      </w:pPr>
    </w:p>
    <w:p>
      <w:pPr>
        <w:jc w:val="both"/>
        <w:ind w:left="120" w:right="20"/>
        <w:spacing w:after="0" w:line="232" w:lineRule="auto"/>
        <w:rPr>
          <w:sz w:val="20"/>
          <w:szCs w:val="20"/>
          <w:color w:val="auto"/>
        </w:rPr>
      </w:pPr>
      <w:r>
        <w:rPr>
          <w:rFonts w:ascii="Arial" w:cs="Arial" w:eastAsia="Arial" w:hAnsi="Arial"/>
          <w:sz w:val="20"/>
          <w:szCs w:val="20"/>
          <w:b w:val="1"/>
          <w:bCs w:val="1"/>
          <w:i w:val="1"/>
          <w:iCs w:val="1"/>
          <w:color w:val="00C1DE"/>
        </w:rPr>
        <w:t xml:space="preserve">Spotlight on ESG Expertise: </w:t>
      </w:r>
      <w:r>
        <w:rPr>
          <w:rFonts w:ascii="Arial" w:cs="Arial" w:eastAsia="Arial" w:hAnsi="Arial"/>
          <w:sz w:val="20"/>
          <w:szCs w:val="20"/>
          <w:color w:val="3E3935"/>
        </w:rPr>
        <w:t>Mr. Jimenez developed</w:t>
      </w:r>
      <w:r>
        <w:rPr>
          <w:rFonts w:ascii="Arial" w:cs="Arial" w:eastAsia="Arial" w:hAnsi="Arial"/>
          <w:sz w:val="20"/>
          <w:szCs w:val="20"/>
          <w:b w:val="1"/>
          <w:bCs w:val="1"/>
          <w:i w:val="1"/>
          <w:iCs w:val="1"/>
          <w:color w:val="00C1DE"/>
        </w:rPr>
        <w:t xml:space="preserve"> </w:t>
      </w:r>
      <w:r>
        <w:rPr>
          <w:rFonts w:ascii="Arial" w:cs="Arial" w:eastAsia="Arial" w:hAnsi="Arial"/>
          <w:sz w:val="20"/>
          <w:szCs w:val="20"/>
          <w:color w:val="3E3935"/>
        </w:rPr>
        <w:t>environmental expertise addressing reductions in greenhouse gases, waste, effluents, and consumption of natural resources for various manufacturing facilities during his career as a pharmaceutical executive. GM benefits from his experience in this area as it transitions its manufacturing capabilities for an EV future.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0071CE"/>
        </w:rPr>
        <w:t>Jonathan McNeill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-68580</wp:posOffset>
            </wp:positionH>
            <wp:positionV relativeFrom="paragraph">
              <wp:posOffset>54610</wp:posOffset>
            </wp:positionV>
            <wp:extent cx="348043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3480435" cy="8255"/>
                    </a:xfrm>
                    <a:prstGeom prst="rect">
                      <a:avLst/>
                    </a:prstGeom>
                    <a:noFill/>
                  </pic:spPr>
                </pic:pic>
              </a:graphicData>
            </a:graphic>
          </wp:anchor>
        </w:drawing>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20"/>
          <w:szCs w:val="20"/>
          <w:i w:val="1"/>
          <w:iCs w:val="1"/>
          <w:color w:val="3E3935"/>
        </w:rPr>
        <w:t>Co-Founder and CEO,</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0"/>
          <w:szCs w:val="20"/>
          <w:i w:val="1"/>
          <w:iCs w:val="1"/>
          <w:color w:val="3E3935"/>
        </w:rPr>
        <w:t>DVx Ventures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-68580</wp:posOffset>
            </wp:positionH>
            <wp:positionV relativeFrom="paragraph">
              <wp:posOffset>45085</wp:posOffset>
            </wp:positionV>
            <wp:extent cx="3480435"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3480435" cy="8890"/>
                    </a:xfrm>
                    <a:prstGeom prst="rect">
                      <a:avLst/>
                    </a:prstGeom>
                    <a:noFill/>
                  </pic:spPr>
                </pic:pic>
              </a:graphicData>
            </a:graphic>
          </wp:anchor>
        </w:drawing>
      </w:r>
    </w:p>
    <w:p>
      <w:pPr>
        <w:spacing w:after="0" w:line="12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00C1DE"/>
        </w:rPr>
        <w:t xml:space="preserve">Committees: </w:t>
      </w:r>
      <w:r>
        <w:rPr>
          <w:rFonts w:ascii="Arial" w:cs="Arial" w:eastAsia="Arial" w:hAnsi="Arial"/>
          <w:sz w:val="20"/>
          <w:szCs w:val="20"/>
          <w:color w:val="3E3935"/>
        </w:rPr>
        <w:t>None</w:t>
      </w:r>
    </w:p>
    <w:p>
      <w:pPr>
        <w:spacing w:after="0" w:line="14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00C1DE"/>
        </w:rPr>
        <w:t xml:space="preserve">Other Public Company Directorships: </w:t>
      </w:r>
      <w:r>
        <w:rPr>
          <w:rFonts w:ascii="Arial" w:cs="Arial" w:eastAsia="Arial" w:hAnsi="Arial"/>
          <w:sz w:val="20"/>
          <w:szCs w:val="20"/>
          <w:color w:val="3E3935"/>
        </w:rPr>
        <w:t>Lululemon Athletica</w:t>
      </w:r>
    </w:p>
    <w:p>
      <w:pPr>
        <w:spacing w:after="0" w:line="14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00C1DE"/>
        </w:rPr>
        <w:t xml:space="preserve">Prior Public Company Directorships: </w:t>
      </w:r>
      <w:r>
        <w:rPr>
          <w:rFonts w:ascii="Arial" w:cs="Arial" w:eastAsia="Arial" w:hAnsi="Arial"/>
          <w:sz w:val="20"/>
          <w:szCs w:val="20"/>
          <w:color w:val="3E3935"/>
        </w:rPr>
        <w:t>None</w:t>
      </w:r>
    </w:p>
    <w:p>
      <w:pPr>
        <w:spacing w:after="0" w:line="148" w:lineRule="exact"/>
        <w:rPr>
          <w:sz w:val="20"/>
          <w:szCs w:val="20"/>
          <w:color w:val="auto"/>
        </w:rPr>
      </w:pPr>
    </w:p>
    <w:p>
      <w:pPr>
        <w:jc w:val="both"/>
        <w:spacing w:after="0" w:line="231" w:lineRule="auto"/>
        <w:rPr>
          <w:sz w:val="20"/>
          <w:szCs w:val="20"/>
          <w:color w:val="auto"/>
        </w:rPr>
      </w:pPr>
      <w:r>
        <w:rPr>
          <w:rFonts w:ascii="Arial" w:cs="Arial" w:eastAsia="Arial" w:hAnsi="Arial"/>
          <w:sz w:val="20"/>
          <w:szCs w:val="20"/>
          <w:b w:val="1"/>
          <w:bCs w:val="1"/>
          <w:i w:val="1"/>
          <w:iCs w:val="1"/>
          <w:color w:val="00C1DE"/>
        </w:rPr>
        <w:t xml:space="preserve">Prior Experience: </w:t>
      </w:r>
      <w:r>
        <w:rPr>
          <w:rFonts w:ascii="Arial" w:cs="Arial" w:eastAsia="Arial" w:hAnsi="Arial"/>
          <w:sz w:val="20"/>
          <w:szCs w:val="20"/>
          <w:color w:val="3E3935"/>
        </w:rPr>
        <w:t>Since 2020, Mr. McNeill has served as</w:t>
      </w:r>
      <w:r>
        <w:rPr>
          <w:rFonts w:ascii="Arial" w:cs="Arial" w:eastAsia="Arial" w:hAnsi="Arial"/>
          <w:sz w:val="20"/>
          <w:szCs w:val="20"/>
          <w:b w:val="1"/>
          <w:bCs w:val="1"/>
          <w:i w:val="1"/>
          <w:iCs w:val="1"/>
          <w:color w:val="00C1DE"/>
        </w:rPr>
        <w:t xml:space="preserve"> </w:t>
      </w:r>
      <w:r>
        <w:rPr>
          <w:rFonts w:ascii="Arial" w:cs="Arial" w:eastAsia="Arial" w:hAnsi="Arial"/>
          <w:sz w:val="20"/>
          <w:szCs w:val="20"/>
          <w:color w:val="3E3935"/>
        </w:rPr>
        <w:t>CEO of DVx Ventures, a company focused on early-stage startups. Prior to founding DVx Ventures, he served as Chief Operating Officer of Lyft, Inc. from 2018 to 2019. From 2015 to 2018, he also served as President, global sales, delivery and service of Tesla, Inc., and led the team growing revenues from $2 billion to over $20 billion annually, across 33 countries.</w:t>
      </w:r>
    </w:p>
    <w:p>
      <w:pPr>
        <w:spacing w:after="0" w:line="119" w:lineRule="exact"/>
        <w:rPr>
          <w:sz w:val="20"/>
          <w:szCs w:val="20"/>
          <w:color w:val="auto"/>
        </w:rPr>
      </w:pPr>
    </w:p>
    <w:p>
      <w:pPr>
        <w:jc w:val="both"/>
        <w:spacing w:after="0" w:line="231" w:lineRule="auto"/>
        <w:rPr>
          <w:sz w:val="20"/>
          <w:szCs w:val="20"/>
          <w:color w:val="auto"/>
        </w:rPr>
      </w:pPr>
      <w:r>
        <w:rPr>
          <w:rFonts w:ascii="Arial" w:cs="Arial" w:eastAsia="Arial" w:hAnsi="Arial"/>
          <w:sz w:val="20"/>
          <w:szCs w:val="20"/>
          <w:b w:val="1"/>
          <w:bCs w:val="1"/>
          <w:i w:val="1"/>
          <w:iCs w:val="1"/>
          <w:color w:val="00C1DE"/>
        </w:rPr>
        <w:t xml:space="preserve">Reasons for Nomination: </w:t>
      </w:r>
      <w:r>
        <w:rPr>
          <w:rFonts w:ascii="Arial" w:cs="Arial" w:eastAsia="Arial" w:hAnsi="Arial"/>
          <w:sz w:val="20"/>
          <w:szCs w:val="20"/>
          <w:color w:val="3E3935"/>
        </w:rPr>
        <w:t>Mr. McNeill has deep experience</w:t>
      </w:r>
      <w:r>
        <w:rPr>
          <w:rFonts w:ascii="Arial" w:cs="Arial" w:eastAsia="Arial" w:hAnsi="Arial"/>
          <w:sz w:val="20"/>
          <w:szCs w:val="20"/>
          <w:b w:val="1"/>
          <w:bCs w:val="1"/>
          <w:i w:val="1"/>
          <w:iCs w:val="1"/>
          <w:color w:val="00C1DE"/>
        </w:rPr>
        <w:t xml:space="preserve"> </w:t>
      </w:r>
      <w:r>
        <w:rPr>
          <w:rFonts w:ascii="Arial" w:cs="Arial" w:eastAsia="Arial" w:hAnsi="Arial"/>
          <w:sz w:val="20"/>
          <w:szCs w:val="20"/>
          <w:color w:val="3E3935"/>
        </w:rPr>
        <w:t>as both an entrepreneur and as an executive at scale. He is a demonstrated leader in the EV space with expertise in business models, software architecture, and cyber. Through his experience as a senior leader, he has founded and scaled multiple technology and retail companies. His innovative and entrepreneurial experience provide critical insights for the Company’s various growth businesses.</w:t>
      </w:r>
    </w:p>
    <w:p>
      <w:pPr>
        <w:spacing w:after="0" w:line="119" w:lineRule="exact"/>
        <w:rPr>
          <w:sz w:val="20"/>
          <w:szCs w:val="20"/>
          <w:color w:val="auto"/>
        </w:rPr>
      </w:pPr>
    </w:p>
    <w:p>
      <w:pPr>
        <w:jc w:val="both"/>
        <w:ind w:right="20"/>
        <w:spacing w:after="0" w:line="232" w:lineRule="auto"/>
        <w:rPr>
          <w:sz w:val="20"/>
          <w:szCs w:val="20"/>
          <w:color w:val="auto"/>
        </w:rPr>
      </w:pPr>
      <w:r>
        <w:rPr>
          <w:rFonts w:ascii="Arial" w:cs="Arial" w:eastAsia="Arial" w:hAnsi="Arial"/>
          <w:sz w:val="20"/>
          <w:szCs w:val="20"/>
          <w:b w:val="1"/>
          <w:bCs w:val="1"/>
          <w:i w:val="1"/>
          <w:iCs w:val="1"/>
          <w:color w:val="00C1DE"/>
        </w:rPr>
        <w:t xml:space="preserve">Spotlight on ESG Expertise: </w:t>
      </w:r>
      <w:r>
        <w:rPr>
          <w:rFonts w:ascii="Arial" w:cs="Arial" w:eastAsia="Arial" w:hAnsi="Arial"/>
          <w:sz w:val="20"/>
          <w:szCs w:val="20"/>
          <w:color w:val="3E3935"/>
        </w:rPr>
        <w:t>Mr. McNeill developed</w:t>
      </w:r>
      <w:r>
        <w:rPr>
          <w:rFonts w:ascii="Arial" w:cs="Arial" w:eastAsia="Arial" w:hAnsi="Arial"/>
          <w:sz w:val="20"/>
          <w:szCs w:val="20"/>
          <w:b w:val="1"/>
          <w:bCs w:val="1"/>
          <w:i w:val="1"/>
          <w:iCs w:val="1"/>
          <w:color w:val="00C1DE"/>
        </w:rPr>
        <w:t xml:space="preserve"> </w:t>
      </w:r>
      <w:r>
        <w:rPr>
          <w:rFonts w:ascii="Arial" w:cs="Arial" w:eastAsia="Arial" w:hAnsi="Arial"/>
          <w:sz w:val="20"/>
          <w:szCs w:val="20"/>
          <w:color w:val="3E3935"/>
        </w:rPr>
        <w:t>environmental expertise – in particular, on greenhouse gas emissions, air quality, and product design and lifecycle management – through his industry experience while driving adoption of EVs. GM benefits from Mr. McNeill’s experience in this area as it seeks to disrupt and become the leader in the EV and AV markets.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4900"/>
        <w:spacing w:after="0"/>
        <w:rPr>
          <w:sz w:val="20"/>
          <w:szCs w:val="20"/>
          <w:color w:val="auto"/>
        </w:rPr>
      </w:pPr>
      <w:r>
        <w:rPr>
          <w:rFonts w:ascii="Arial" w:cs="Arial" w:eastAsia="Arial" w:hAnsi="Arial"/>
          <w:sz w:val="14"/>
          <w:szCs w:val="14"/>
          <w:color w:val="0071CE"/>
        </w:rPr>
        <w:t>17</w:t>
      </w:r>
    </w:p>
    <w:p>
      <w:pPr>
        <w:sectPr>
          <w:pgSz w:w="11900" w:h="16838" w:orient="portrait"/>
          <w:cols w:equalWidth="0" w:num="2">
            <w:col w:w="5320" w:space="440"/>
            <w:col w:w="5380"/>
          </w:cols>
          <w:pgMar w:left="320" w:top="482" w:right="439" w:bottom="1440" w:gutter="0" w:footer="0" w:header="0"/>
          <w:type w:val="continuous"/>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176530</wp:posOffset>
            </wp:positionH>
            <wp:positionV relativeFrom="paragraph">
              <wp:posOffset>208280</wp:posOffset>
            </wp:positionV>
            <wp:extent cx="1268730" cy="126873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268730" cy="1268730"/>
                    </a:xfrm>
                    <a:prstGeom prst="rect">
                      <a:avLst/>
                    </a:prstGeom>
                    <a:noFill/>
                  </pic:spPr>
                </pic:pic>
              </a:graphicData>
            </a:graphic>
          </wp:anchor>
        </w:drawing>
        <w:drawing>
          <wp:anchor simplePos="0" relativeHeight="251657728" behindDoc="1" locked="0" layoutInCell="0" allowOverlap="1">
            <wp:simplePos x="0" y="0"/>
            <wp:positionH relativeFrom="column">
              <wp:posOffset>3862705</wp:posOffset>
            </wp:positionH>
            <wp:positionV relativeFrom="paragraph">
              <wp:posOffset>208280</wp:posOffset>
            </wp:positionV>
            <wp:extent cx="1268730" cy="126873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268730" cy="12687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2660"/>
        <w:spacing w:after="0"/>
        <w:tabs>
          <w:tab w:leader="none" w:pos="8580" w:val="left"/>
        </w:tabs>
        <w:rPr>
          <w:sz w:val="20"/>
          <w:szCs w:val="20"/>
          <w:color w:val="auto"/>
        </w:rPr>
      </w:pPr>
      <w:r>
        <w:rPr>
          <w:rFonts w:ascii="Arial" w:cs="Arial" w:eastAsia="Arial" w:hAnsi="Arial"/>
          <w:sz w:val="20"/>
          <w:szCs w:val="20"/>
          <w:b w:val="1"/>
          <w:bCs w:val="1"/>
          <w:color w:val="3E3935"/>
        </w:rPr>
        <w:t>Director Since</w:t>
      </w:r>
      <w:r>
        <w:rPr>
          <w:rFonts w:ascii="Arial" w:cs="Arial" w:eastAsia="Arial" w:hAnsi="Arial"/>
          <w:sz w:val="20"/>
          <w:szCs w:val="20"/>
          <w:color w:val="3E3935"/>
        </w:rPr>
        <w:t>: 2018</w:t>
      </w:r>
      <w:r>
        <w:rPr>
          <w:sz w:val="20"/>
          <w:szCs w:val="20"/>
          <w:color w:val="auto"/>
        </w:rPr>
        <w:tab/>
      </w:r>
      <w:r>
        <w:rPr>
          <w:rFonts w:ascii="Arial" w:cs="Arial" w:eastAsia="Arial" w:hAnsi="Arial"/>
          <w:sz w:val="19"/>
          <w:szCs w:val="19"/>
          <w:b w:val="1"/>
          <w:bCs w:val="1"/>
          <w:color w:val="3E3935"/>
        </w:rPr>
        <w:t>Director Since</w:t>
      </w:r>
      <w:r>
        <w:rPr>
          <w:rFonts w:ascii="Arial" w:cs="Arial" w:eastAsia="Arial" w:hAnsi="Arial"/>
          <w:sz w:val="19"/>
          <w:szCs w:val="19"/>
          <w:color w:val="3E3935"/>
        </w:rPr>
        <w:t>: 2011</w:t>
      </w:r>
    </w:p>
    <w:p>
      <w:pPr>
        <w:ind w:left="2660"/>
        <w:spacing w:after="0" w:line="231" w:lineRule="auto"/>
        <w:tabs>
          <w:tab w:leader="none" w:pos="8580" w:val="left"/>
        </w:tabs>
        <w:rPr>
          <w:sz w:val="20"/>
          <w:szCs w:val="20"/>
          <w:color w:val="auto"/>
        </w:rPr>
      </w:pPr>
      <w:r>
        <w:rPr>
          <w:rFonts w:ascii="Arial" w:cs="Arial" w:eastAsia="Arial" w:hAnsi="Arial"/>
          <w:sz w:val="20"/>
          <w:szCs w:val="20"/>
          <w:b w:val="1"/>
          <w:bCs w:val="1"/>
          <w:color w:val="3E3935"/>
        </w:rPr>
        <w:t>Age</w:t>
      </w:r>
      <w:r>
        <w:rPr>
          <w:rFonts w:ascii="Arial" w:cs="Arial" w:eastAsia="Arial" w:hAnsi="Arial"/>
          <w:sz w:val="20"/>
          <w:szCs w:val="20"/>
          <w:color w:val="3E3935"/>
        </w:rPr>
        <w:t>: 64</w:t>
      </w:r>
      <w:r>
        <w:rPr>
          <w:sz w:val="20"/>
          <w:szCs w:val="20"/>
          <w:color w:val="auto"/>
        </w:rPr>
        <w:tab/>
      </w:r>
      <w:r>
        <w:rPr>
          <w:rFonts w:ascii="Arial" w:cs="Arial" w:eastAsia="Arial" w:hAnsi="Arial"/>
          <w:sz w:val="20"/>
          <w:szCs w:val="20"/>
          <w:b w:val="1"/>
          <w:bCs w:val="1"/>
          <w:color w:val="3E3935"/>
        </w:rPr>
        <w:t>Age</w:t>
      </w:r>
      <w:r>
        <w:rPr>
          <w:rFonts w:ascii="Arial" w:cs="Arial" w:eastAsia="Arial" w:hAnsi="Arial"/>
          <w:sz w:val="20"/>
          <w:szCs w:val="20"/>
          <w:color w:val="3E3935"/>
        </w:rPr>
        <w:t>: 70</w:t>
      </w:r>
    </w:p>
    <w:p>
      <w:pPr>
        <w:ind w:left="2660"/>
        <w:spacing w:after="0" w:line="238" w:lineRule="auto"/>
        <w:tabs>
          <w:tab w:leader="none" w:pos="8580" w:val="left"/>
        </w:tabs>
        <w:rPr>
          <w:sz w:val="20"/>
          <w:szCs w:val="20"/>
          <w:color w:val="auto"/>
        </w:rPr>
      </w:pPr>
      <w:r>
        <w:rPr>
          <w:rFonts w:ascii="Arial" w:cs="Arial" w:eastAsia="Arial" w:hAnsi="Arial"/>
          <w:sz w:val="20"/>
          <w:szCs w:val="20"/>
          <w:b w:val="1"/>
          <w:bCs w:val="1"/>
          <w:color w:val="3E3935"/>
        </w:rPr>
        <w:t>Independent</w:t>
      </w:r>
      <w:r>
        <w:rPr>
          <w:rFonts w:ascii="Arial" w:cs="Arial" w:eastAsia="Arial" w:hAnsi="Arial"/>
          <w:sz w:val="20"/>
          <w:szCs w:val="20"/>
          <w:color w:val="3E3935"/>
        </w:rPr>
        <w:t>: Yes</w:t>
      </w:r>
      <w:r>
        <w:rPr>
          <w:sz w:val="20"/>
          <w:szCs w:val="20"/>
          <w:color w:val="auto"/>
        </w:rPr>
        <w:tab/>
      </w:r>
      <w:r>
        <w:rPr>
          <w:rFonts w:ascii="Arial" w:cs="Arial" w:eastAsia="Arial" w:hAnsi="Arial"/>
          <w:sz w:val="19"/>
          <w:szCs w:val="19"/>
          <w:b w:val="1"/>
          <w:bCs w:val="1"/>
          <w:color w:val="3E3935"/>
        </w:rPr>
        <w:t>Independent</w:t>
      </w:r>
      <w:r>
        <w:rPr>
          <w:rFonts w:ascii="Arial" w:cs="Arial" w:eastAsia="Arial" w:hAnsi="Arial"/>
          <w:sz w:val="19"/>
          <w:szCs w:val="19"/>
          <w:color w:val="3E3935"/>
        </w:rPr>
        <w:t>: Yes</w:t>
      </w:r>
    </w:p>
    <w:p>
      <w:pPr>
        <w:ind w:left="2660"/>
        <w:spacing w:after="0" w:line="237" w:lineRule="auto"/>
        <w:tabs>
          <w:tab w:leader="none" w:pos="8580" w:val="left"/>
        </w:tabs>
        <w:rPr>
          <w:sz w:val="20"/>
          <w:szCs w:val="20"/>
          <w:color w:val="auto"/>
        </w:rPr>
      </w:pPr>
      <w:r>
        <w:rPr>
          <w:rFonts w:ascii="Arial" w:cs="Arial" w:eastAsia="Arial" w:hAnsi="Arial"/>
          <w:sz w:val="20"/>
          <w:szCs w:val="20"/>
          <w:b w:val="1"/>
          <w:bCs w:val="1"/>
          <w:color w:val="3E3935"/>
        </w:rPr>
        <w:t>Gender</w:t>
      </w:r>
      <w:r>
        <w:rPr>
          <w:rFonts w:ascii="Arial" w:cs="Arial" w:eastAsia="Arial" w:hAnsi="Arial"/>
          <w:sz w:val="20"/>
          <w:szCs w:val="20"/>
          <w:color w:val="3E3935"/>
        </w:rPr>
        <w:t>: Female</w:t>
      </w:r>
      <w:r>
        <w:rPr>
          <w:sz w:val="20"/>
          <w:szCs w:val="20"/>
          <w:color w:val="auto"/>
        </w:rPr>
        <w:tab/>
      </w:r>
      <w:r>
        <w:rPr>
          <w:rFonts w:ascii="Arial" w:cs="Arial" w:eastAsia="Arial" w:hAnsi="Arial"/>
          <w:sz w:val="19"/>
          <w:szCs w:val="19"/>
          <w:b w:val="1"/>
          <w:bCs w:val="1"/>
          <w:color w:val="3E3935"/>
        </w:rPr>
        <w:t>Gender</w:t>
      </w:r>
      <w:r>
        <w:rPr>
          <w:rFonts w:ascii="Arial" w:cs="Arial" w:eastAsia="Arial" w:hAnsi="Arial"/>
          <w:sz w:val="19"/>
          <w:szCs w:val="19"/>
          <w:color w:val="3E3935"/>
        </w:rPr>
        <w:t>: Male</w:t>
      </w:r>
    </w:p>
    <w:p>
      <w:pPr>
        <w:jc w:val="right"/>
        <w:ind w:right="560"/>
        <w:spacing w:after="0"/>
        <w:tabs>
          <w:tab w:leader="none" w:pos="1960" w:val="left"/>
        </w:tabs>
        <w:rPr>
          <w:sz w:val="20"/>
          <w:szCs w:val="20"/>
          <w:color w:val="auto"/>
        </w:rPr>
      </w:pPr>
      <w:r>
        <w:rPr>
          <w:rFonts w:ascii="Arial" w:cs="Arial" w:eastAsia="Arial" w:hAnsi="Arial"/>
          <w:sz w:val="20"/>
          <w:szCs w:val="20"/>
          <w:b w:val="1"/>
          <w:bCs w:val="1"/>
          <w:color w:val="3E3935"/>
        </w:rPr>
        <w:t>Race/Ethnicity</w:t>
      </w:r>
      <w:r>
        <w:rPr>
          <w:rFonts w:ascii="Arial" w:cs="Arial" w:eastAsia="Arial" w:hAnsi="Arial"/>
          <w:sz w:val="20"/>
          <w:szCs w:val="20"/>
          <w:color w:val="3E3935"/>
        </w:rPr>
        <w:t>: White</w:t>
      </w:r>
      <w:r>
        <w:rPr>
          <w:sz w:val="20"/>
          <w:szCs w:val="20"/>
          <w:color w:val="auto"/>
        </w:rPr>
        <w:tab/>
      </w:r>
      <w:r>
        <w:rPr>
          <w:rFonts w:ascii="Arial" w:cs="Arial" w:eastAsia="Arial" w:hAnsi="Arial"/>
          <w:sz w:val="19"/>
          <w:szCs w:val="19"/>
          <w:b w:val="1"/>
          <w:bCs w:val="1"/>
          <w:color w:val="3E3935"/>
        </w:rPr>
        <w:t>Race/Ethnicity</w:t>
      </w:r>
      <w:r>
        <w:rPr>
          <w:rFonts w:ascii="Arial" w:cs="Arial" w:eastAsia="Arial" w:hAnsi="Arial"/>
          <w:sz w:val="19"/>
          <w:szCs w:val="19"/>
          <w:color w:val="3E3935"/>
        </w:rPr>
        <w:t>: White</w:t>
      </w:r>
    </w:p>
    <w:p>
      <w:pPr>
        <w:sectPr>
          <w:pgSz w:w="11900" w:h="16838" w:orient="portrait"/>
          <w:cols w:equalWidth="0" w:num="1">
            <w:col w:w="11140"/>
          </w:cols>
          <w:pgMar w:left="320" w:top="482" w:right="439" w:bottom="1440" w:gutter="0" w:footer="0" w:header="0"/>
        </w:sectPr>
      </w:pPr>
    </w:p>
    <w:p>
      <w:pPr>
        <w:spacing w:after="0" w:line="200" w:lineRule="exact"/>
        <w:rPr>
          <w:sz w:val="20"/>
          <w:szCs w:val="20"/>
          <w:color w:val="auto"/>
        </w:rPr>
      </w:pPr>
    </w:p>
    <w:p>
      <w:pPr>
        <w:spacing w:after="0" w:line="342" w:lineRule="exact"/>
        <w:rPr>
          <w:sz w:val="20"/>
          <w:szCs w:val="20"/>
          <w:color w:val="auto"/>
        </w:rPr>
      </w:pPr>
    </w:p>
    <w:p>
      <w:pPr>
        <w:jc w:val="center"/>
        <w:ind w:left="120"/>
        <w:spacing w:after="0"/>
        <w:rPr>
          <w:sz w:val="20"/>
          <w:szCs w:val="20"/>
          <w:color w:val="auto"/>
        </w:rPr>
      </w:pPr>
      <w:r>
        <w:rPr>
          <w:rFonts w:ascii="Arial" w:cs="Arial" w:eastAsia="Arial" w:hAnsi="Arial"/>
          <w:sz w:val="22"/>
          <w:szCs w:val="22"/>
          <w:b w:val="1"/>
          <w:bCs w:val="1"/>
          <w:color w:val="0071CE"/>
        </w:rPr>
        <w:t>Judith A. Miscik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54610</wp:posOffset>
            </wp:positionV>
            <wp:extent cx="323151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3231515" cy="8255"/>
                    </a:xfrm>
                    <a:prstGeom prst="rect">
                      <a:avLst/>
                    </a:prstGeom>
                    <a:noFill/>
                  </pic:spPr>
                </pic:pic>
              </a:graphicData>
            </a:graphic>
          </wp:anchor>
        </w:drawing>
      </w:r>
    </w:p>
    <w:p>
      <w:pPr>
        <w:spacing w:after="0" w:line="152" w:lineRule="exact"/>
        <w:rPr>
          <w:sz w:val="20"/>
          <w:szCs w:val="20"/>
          <w:color w:val="auto"/>
        </w:rPr>
      </w:pPr>
    </w:p>
    <w:p>
      <w:pPr>
        <w:jc w:val="center"/>
        <w:ind w:left="120"/>
        <w:spacing w:after="0"/>
        <w:rPr>
          <w:sz w:val="20"/>
          <w:szCs w:val="20"/>
          <w:color w:val="auto"/>
        </w:rPr>
      </w:pPr>
      <w:r>
        <w:rPr>
          <w:rFonts w:ascii="Arial" w:cs="Arial" w:eastAsia="Arial" w:hAnsi="Arial"/>
          <w:sz w:val="20"/>
          <w:szCs w:val="20"/>
          <w:i w:val="1"/>
          <w:iCs w:val="1"/>
          <w:color w:val="3E3935"/>
        </w:rPr>
        <w:t>CEO,</w:t>
      </w:r>
    </w:p>
    <w:p>
      <w:pPr>
        <w:spacing w:after="0" w:line="4" w:lineRule="exact"/>
        <w:rPr>
          <w:sz w:val="20"/>
          <w:szCs w:val="20"/>
          <w:color w:val="auto"/>
        </w:rPr>
      </w:pPr>
    </w:p>
    <w:p>
      <w:pPr>
        <w:jc w:val="center"/>
        <w:ind w:left="120"/>
        <w:spacing w:after="0"/>
        <w:rPr>
          <w:sz w:val="20"/>
          <w:szCs w:val="20"/>
          <w:color w:val="auto"/>
        </w:rPr>
      </w:pPr>
      <w:r>
        <w:rPr>
          <w:rFonts w:ascii="Arial" w:cs="Arial" w:eastAsia="Arial" w:hAnsi="Arial"/>
          <w:sz w:val="20"/>
          <w:szCs w:val="20"/>
          <w:i w:val="1"/>
          <w:iCs w:val="1"/>
          <w:color w:val="3E3935"/>
        </w:rPr>
        <w:t>Global Strategic Insights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45085</wp:posOffset>
            </wp:positionV>
            <wp:extent cx="3231515"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3231515" cy="8890"/>
                    </a:xfrm>
                    <a:prstGeom prst="rect">
                      <a:avLst/>
                    </a:prstGeom>
                    <a:noFill/>
                  </pic:spPr>
                </pic:pic>
              </a:graphicData>
            </a:graphic>
          </wp:anchor>
        </w:drawing>
      </w:r>
    </w:p>
    <w:p>
      <w:pPr>
        <w:spacing w:after="0" w:line="124" w:lineRule="exact"/>
        <w:rPr>
          <w:sz w:val="20"/>
          <w:szCs w:val="20"/>
          <w:color w:val="auto"/>
        </w:rPr>
      </w:pPr>
    </w:p>
    <w:p>
      <w:pPr>
        <w:ind w:left="120"/>
        <w:spacing w:after="0"/>
        <w:rPr>
          <w:sz w:val="20"/>
          <w:szCs w:val="20"/>
          <w:color w:val="auto"/>
        </w:rPr>
      </w:pPr>
      <w:r>
        <w:rPr>
          <w:rFonts w:ascii="Arial" w:cs="Arial" w:eastAsia="Arial" w:hAnsi="Arial"/>
          <w:sz w:val="20"/>
          <w:szCs w:val="20"/>
          <w:b w:val="1"/>
          <w:bCs w:val="1"/>
          <w:i w:val="1"/>
          <w:iCs w:val="1"/>
          <w:color w:val="00C1DE"/>
        </w:rPr>
        <w:t xml:space="preserve">Committees: </w:t>
      </w:r>
      <w:r>
        <w:rPr>
          <w:rFonts w:ascii="Arial" w:cs="Arial" w:eastAsia="Arial" w:hAnsi="Arial"/>
          <w:sz w:val="20"/>
          <w:szCs w:val="20"/>
          <w:color w:val="3E3935"/>
        </w:rPr>
        <w:t>Finance, Risk and Cybersecurity</w:t>
      </w:r>
    </w:p>
    <w:p>
      <w:pPr>
        <w:spacing w:after="0" w:line="148" w:lineRule="exact"/>
        <w:rPr>
          <w:sz w:val="20"/>
          <w:szCs w:val="20"/>
          <w:color w:val="auto"/>
        </w:rPr>
      </w:pPr>
    </w:p>
    <w:p>
      <w:pPr>
        <w:ind w:left="120"/>
        <w:spacing w:after="0"/>
        <w:rPr>
          <w:sz w:val="20"/>
          <w:szCs w:val="20"/>
          <w:color w:val="auto"/>
        </w:rPr>
      </w:pPr>
      <w:r>
        <w:rPr>
          <w:rFonts w:ascii="Arial" w:cs="Arial" w:eastAsia="Arial" w:hAnsi="Arial"/>
          <w:sz w:val="20"/>
          <w:szCs w:val="20"/>
          <w:b w:val="1"/>
          <w:bCs w:val="1"/>
          <w:i w:val="1"/>
          <w:iCs w:val="1"/>
          <w:color w:val="00C1DE"/>
        </w:rPr>
        <w:t xml:space="preserve">Other Public Company Directorships: </w:t>
      </w:r>
      <w:r>
        <w:rPr>
          <w:rFonts w:ascii="Arial" w:cs="Arial" w:eastAsia="Arial" w:hAnsi="Arial"/>
          <w:sz w:val="20"/>
          <w:szCs w:val="20"/>
          <w:color w:val="3E3935"/>
        </w:rPr>
        <w:t>Morgan Stanley</w:t>
      </w:r>
    </w:p>
    <w:p>
      <w:pPr>
        <w:spacing w:after="0" w:line="4" w:lineRule="exact"/>
        <w:rPr>
          <w:sz w:val="20"/>
          <w:szCs w:val="20"/>
          <w:color w:val="auto"/>
        </w:rPr>
      </w:pPr>
    </w:p>
    <w:p>
      <w:pPr>
        <w:ind w:left="120"/>
        <w:spacing w:after="0"/>
        <w:rPr>
          <w:sz w:val="20"/>
          <w:szCs w:val="20"/>
          <w:color w:val="auto"/>
        </w:rPr>
      </w:pPr>
      <w:r>
        <w:rPr>
          <w:rFonts w:ascii="Arial" w:cs="Arial" w:eastAsia="Arial" w:hAnsi="Arial"/>
          <w:sz w:val="20"/>
          <w:szCs w:val="20"/>
          <w:color w:val="3E3935"/>
        </w:rPr>
        <w:t>and HP, Inc.</w:t>
      </w:r>
    </w:p>
    <w:p>
      <w:pPr>
        <w:spacing w:after="0" w:line="130" w:lineRule="exact"/>
        <w:rPr>
          <w:sz w:val="20"/>
          <w:szCs w:val="20"/>
          <w:color w:val="auto"/>
        </w:rPr>
      </w:pPr>
    </w:p>
    <w:p>
      <w:pPr>
        <w:ind w:left="120"/>
        <w:spacing w:after="0"/>
        <w:rPr>
          <w:sz w:val="20"/>
          <w:szCs w:val="20"/>
          <w:color w:val="auto"/>
        </w:rPr>
      </w:pPr>
      <w:r>
        <w:rPr>
          <w:rFonts w:ascii="Arial" w:cs="Arial" w:eastAsia="Arial" w:hAnsi="Arial"/>
          <w:sz w:val="19"/>
          <w:szCs w:val="19"/>
          <w:b w:val="1"/>
          <w:bCs w:val="1"/>
          <w:i w:val="1"/>
          <w:iCs w:val="1"/>
          <w:color w:val="00C1DE"/>
        </w:rPr>
        <w:t xml:space="preserve">Prior Public Company Directorships: </w:t>
      </w:r>
      <w:r>
        <w:rPr>
          <w:rFonts w:ascii="Arial" w:cs="Arial" w:eastAsia="Arial" w:hAnsi="Arial"/>
          <w:sz w:val="19"/>
          <w:szCs w:val="19"/>
          <w:color w:val="3E3935"/>
        </w:rPr>
        <w:t>EMC Corporation</w:t>
      </w:r>
    </w:p>
    <w:p>
      <w:pPr>
        <w:spacing w:after="0" w:line="16" w:lineRule="exact"/>
        <w:rPr>
          <w:sz w:val="20"/>
          <w:szCs w:val="20"/>
          <w:color w:val="auto"/>
        </w:rPr>
      </w:pPr>
    </w:p>
    <w:p>
      <w:pPr>
        <w:ind w:left="120"/>
        <w:spacing w:after="0"/>
        <w:rPr>
          <w:sz w:val="20"/>
          <w:szCs w:val="20"/>
          <w:color w:val="auto"/>
        </w:rPr>
      </w:pPr>
      <w:r>
        <w:rPr>
          <w:rFonts w:ascii="Arial" w:cs="Arial" w:eastAsia="Arial" w:hAnsi="Arial"/>
          <w:sz w:val="20"/>
          <w:szCs w:val="20"/>
          <w:color w:val="3E3935"/>
        </w:rPr>
        <w:t>and Pivotal Software, Inc.</w:t>
      </w:r>
    </w:p>
    <w:p>
      <w:pPr>
        <w:spacing w:after="0" w:line="130" w:lineRule="exact"/>
        <w:rPr>
          <w:sz w:val="20"/>
          <w:szCs w:val="20"/>
          <w:color w:val="auto"/>
        </w:rPr>
      </w:pPr>
    </w:p>
    <w:p>
      <w:pPr>
        <w:jc w:val="both"/>
        <w:ind w:left="120"/>
        <w:spacing w:after="0" w:line="229" w:lineRule="auto"/>
        <w:rPr>
          <w:sz w:val="20"/>
          <w:szCs w:val="20"/>
          <w:color w:val="auto"/>
        </w:rPr>
      </w:pPr>
      <w:r>
        <w:rPr>
          <w:rFonts w:ascii="Arial" w:cs="Arial" w:eastAsia="Arial" w:hAnsi="Arial"/>
          <w:sz w:val="20"/>
          <w:szCs w:val="20"/>
          <w:b w:val="1"/>
          <w:bCs w:val="1"/>
          <w:i w:val="1"/>
          <w:iCs w:val="1"/>
          <w:color w:val="00C1DE"/>
        </w:rPr>
        <w:t xml:space="preserve">Prior Experience: </w:t>
      </w:r>
      <w:r>
        <w:rPr>
          <w:rFonts w:ascii="Arial" w:cs="Arial" w:eastAsia="Arial" w:hAnsi="Arial"/>
          <w:sz w:val="20"/>
          <w:szCs w:val="20"/>
          <w:color w:val="3E3935"/>
        </w:rPr>
        <w:t>Ms. Miscik is the CEO of Global</w:t>
      </w:r>
      <w:r>
        <w:rPr>
          <w:rFonts w:ascii="Arial" w:cs="Arial" w:eastAsia="Arial" w:hAnsi="Arial"/>
          <w:sz w:val="20"/>
          <w:szCs w:val="20"/>
          <w:b w:val="1"/>
          <w:bCs w:val="1"/>
          <w:i w:val="1"/>
          <w:iCs w:val="1"/>
          <w:color w:val="00C1DE"/>
        </w:rPr>
        <w:t xml:space="preserve"> </w:t>
      </w:r>
      <w:r>
        <w:rPr>
          <w:rFonts w:ascii="Arial" w:cs="Arial" w:eastAsia="Arial" w:hAnsi="Arial"/>
          <w:sz w:val="20"/>
          <w:szCs w:val="20"/>
          <w:color w:val="3E3935"/>
        </w:rPr>
        <w:t>Strategic Insights and a Senior Advisor at Lazard Geopolitical Advisory. Previous to her current roles, she served as CEO and Vice Chairman of Kissinger Associates, Inc. from 2017 to 2022 and before that in other senior leadership positions. Prior to joining Kissinger Associates, Ms. Miscik was the Global Head of Sovereign Risk at Lehman Brothers from 2005 to 2008; and from 2002 to 2005, she served as Deputy Director for Intelligence at the U.S. Central Intelligence Agency, where she worked from 1983 to 2005.</w:t>
      </w:r>
    </w:p>
    <w:p>
      <w:pPr>
        <w:spacing w:after="0" w:line="124" w:lineRule="exact"/>
        <w:rPr>
          <w:sz w:val="20"/>
          <w:szCs w:val="20"/>
          <w:color w:val="auto"/>
        </w:rPr>
      </w:pPr>
    </w:p>
    <w:p>
      <w:pPr>
        <w:jc w:val="both"/>
        <w:ind w:left="120"/>
        <w:spacing w:after="0" w:line="233" w:lineRule="auto"/>
        <w:rPr>
          <w:sz w:val="20"/>
          <w:szCs w:val="20"/>
          <w:color w:val="auto"/>
        </w:rPr>
      </w:pPr>
      <w:r>
        <w:rPr>
          <w:rFonts w:ascii="Arial" w:cs="Arial" w:eastAsia="Arial" w:hAnsi="Arial"/>
          <w:sz w:val="20"/>
          <w:szCs w:val="20"/>
          <w:b w:val="1"/>
          <w:bCs w:val="1"/>
          <w:i w:val="1"/>
          <w:iCs w:val="1"/>
          <w:color w:val="00C1DE"/>
        </w:rPr>
        <w:t xml:space="preserve">Reasons for Nomination: </w:t>
      </w:r>
      <w:r>
        <w:rPr>
          <w:rFonts w:ascii="Arial" w:cs="Arial" w:eastAsia="Arial" w:hAnsi="Arial"/>
          <w:sz w:val="20"/>
          <w:szCs w:val="20"/>
          <w:color w:val="3E3935"/>
        </w:rPr>
        <w:t>Ms. Miscik has a unique and</w:t>
      </w:r>
      <w:r>
        <w:rPr>
          <w:rFonts w:ascii="Arial" w:cs="Arial" w:eastAsia="Arial" w:hAnsi="Arial"/>
          <w:sz w:val="20"/>
          <w:szCs w:val="20"/>
          <w:b w:val="1"/>
          <w:bCs w:val="1"/>
          <w:i w:val="1"/>
          <w:iCs w:val="1"/>
          <w:color w:val="00C1DE"/>
        </w:rPr>
        <w:t xml:space="preserve"> </w:t>
      </w:r>
      <w:r>
        <w:rPr>
          <w:rFonts w:ascii="Arial" w:cs="Arial" w:eastAsia="Arial" w:hAnsi="Arial"/>
          <w:sz w:val="20"/>
          <w:szCs w:val="20"/>
          <w:color w:val="3E3935"/>
        </w:rPr>
        <w:t>extensive background in intelligence, security, government affairs, and risk analysis, bringing valuable experience in assessing and mitigating geopolitical and macroeconomic risks in both the public and the private sectors.</w:t>
      </w:r>
    </w:p>
    <w:p>
      <w:pPr>
        <w:spacing w:after="0" w:line="118" w:lineRule="exact"/>
        <w:rPr>
          <w:sz w:val="20"/>
          <w:szCs w:val="20"/>
          <w:color w:val="auto"/>
        </w:rPr>
      </w:pPr>
    </w:p>
    <w:p>
      <w:pPr>
        <w:jc w:val="both"/>
        <w:ind w:left="120"/>
        <w:spacing w:after="0" w:line="230" w:lineRule="auto"/>
        <w:rPr>
          <w:sz w:val="20"/>
          <w:szCs w:val="20"/>
          <w:color w:val="auto"/>
        </w:rPr>
      </w:pPr>
      <w:r>
        <w:rPr>
          <w:rFonts w:ascii="Arial" w:cs="Arial" w:eastAsia="Arial" w:hAnsi="Arial"/>
          <w:sz w:val="20"/>
          <w:szCs w:val="20"/>
          <w:b w:val="1"/>
          <w:bCs w:val="1"/>
          <w:i w:val="1"/>
          <w:iCs w:val="1"/>
          <w:color w:val="00C1DE"/>
        </w:rPr>
        <w:t xml:space="preserve">Spotlight on ESG Expertise: </w:t>
      </w:r>
      <w:r>
        <w:rPr>
          <w:rFonts w:ascii="Arial" w:cs="Arial" w:eastAsia="Arial" w:hAnsi="Arial"/>
          <w:sz w:val="20"/>
          <w:szCs w:val="20"/>
          <w:color w:val="3E3935"/>
        </w:rPr>
        <w:t>Ms. Miscik has developed</w:t>
      </w:r>
      <w:r>
        <w:rPr>
          <w:rFonts w:ascii="Arial" w:cs="Arial" w:eastAsia="Arial" w:hAnsi="Arial"/>
          <w:sz w:val="20"/>
          <w:szCs w:val="20"/>
          <w:b w:val="1"/>
          <w:bCs w:val="1"/>
          <w:i w:val="1"/>
          <w:iCs w:val="1"/>
          <w:color w:val="00C1DE"/>
        </w:rPr>
        <w:t xml:space="preserve"> </w:t>
      </w:r>
      <w:r>
        <w:rPr>
          <w:rFonts w:ascii="Arial" w:cs="Arial" w:eastAsia="Arial" w:hAnsi="Arial"/>
          <w:sz w:val="20"/>
          <w:szCs w:val="20"/>
          <w:color w:val="3E3935"/>
        </w:rPr>
        <w:t>governance expertise – in particular, risk management – through years serving as a senior leader in the intelligence community, in various senior roles in the private sector, and through her role as Vice Chairman of the Council on Foreign Relations. GM benefits from Ms. Miscik’s experience in this area as it seeks to navigate various geopolitical risks and advocates for climate solutions.</w:t>
      </w:r>
    </w:p>
    <w:p>
      <w:pPr>
        <w:spacing w:after="0" w:line="135" w:lineRule="exact"/>
        <w:rPr>
          <w:sz w:val="20"/>
          <w:szCs w:val="20"/>
          <w:color w:val="auto"/>
        </w:rPr>
      </w:pPr>
    </w:p>
    <w:p>
      <w:pPr>
        <w:ind w:left="120"/>
        <w:spacing w:after="0"/>
        <w:rPr>
          <w:sz w:val="20"/>
          <w:szCs w:val="20"/>
          <w:color w:val="auto"/>
        </w:rPr>
      </w:pPr>
      <w:r>
        <w:rPr>
          <w:rFonts w:ascii="Arial" w:cs="Arial" w:eastAsia="Arial" w:hAnsi="Arial"/>
          <w:sz w:val="14"/>
          <w:szCs w:val="14"/>
          <w:color w:val="0071CE"/>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236220</wp:posOffset>
            </wp:positionH>
            <wp:positionV relativeFrom="paragraph">
              <wp:posOffset>-95885</wp:posOffset>
            </wp:positionV>
            <wp:extent cx="5983605" cy="10287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983605" cy="10287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0071CE"/>
        </w:rPr>
        <w:t>Thomas M. Schoewe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-68580</wp:posOffset>
            </wp:positionH>
            <wp:positionV relativeFrom="paragraph">
              <wp:posOffset>54610</wp:posOffset>
            </wp:positionV>
            <wp:extent cx="348043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3480435" cy="8255"/>
                    </a:xfrm>
                    <a:prstGeom prst="rect">
                      <a:avLst/>
                    </a:prstGeom>
                    <a:noFill/>
                  </pic:spPr>
                </pic:pic>
              </a:graphicData>
            </a:graphic>
          </wp:anchor>
        </w:drawing>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20"/>
          <w:szCs w:val="20"/>
          <w:i w:val="1"/>
          <w:iCs w:val="1"/>
          <w:color w:val="3E3935"/>
        </w:rPr>
        <w:t>Retired Executive Vice President &amp; CFO,</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0"/>
          <w:szCs w:val="20"/>
          <w:i w:val="1"/>
          <w:iCs w:val="1"/>
          <w:color w:val="3E3935"/>
        </w:rPr>
        <w:t>Wal-Mart Stores,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-68580</wp:posOffset>
            </wp:positionH>
            <wp:positionV relativeFrom="paragraph">
              <wp:posOffset>45085</wp:posOffset>
            </wp:positionV>
            <wp:extent cx="3480435"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3480435" cy="8890"/>
                    </a:xfrm>
                    <a:prstGeom prst="rect">
                      <a:avLst/>
                    </a:prstGeom>
                    <a:noFill/>
                  </pic:spPr>
                </pic:pic>
              </a:graphicData>
            </a:graphic>
          </wp:anchor>
        </w:drawing>
      </w:r>
    </w:p>
    <w:p>
      <w:pPr>
        <w:spacing w:after="0" w:line="124" w:lineRule="exact"/>
        <w:rPr>
          <w:sz w:val="20"/>
          <w:szCs w:val="20"/>
          <w:color w:val="auto"/>
        </w:rPr>
      </w:pPr>
    </w:p>
    <w:p>
      <w:pPr>
        <w:jc w:val="both"/>
        <w:ind w:right="20"/>
        <w:spacing w:after="0" w:line="257" w:lineRule="auto"/>
        <w:rPr>
          <w:sz w:val="20"/>
          <w:szCs w:val="20"/>
          <w:color w:val="auto"/>
        </w:rPr>
      </w:pPr>
      <w:r>
        <w:rPr>
          <w:rFonts w:ascii="Arial" w:cs="Arial" w:eastAsia="Arial" w:hAnsi="Arial"/>
          <w:sz w:val="20"/>
          <w:szCs w:val="20"/>
          <w:b w:val="1"/>
          <w:bCs w:val="1"/>
          <w:i w:val="1"/>
          <w:iCs w:val="1"/>
          <w:color w:val="00C1DE"/>
        </w:rPr>
        <w:t xml:space="preserve">Committees: </w:t>
      </w:r>
      <w:r>
        <w:rPr>
          <w:rFonts w:ascii="Arial" w:cs="Arial" w:eastAsia="Arial" w:hAnsi="Arial"/>
          <w:sz w:val="20"/>
          <w:szCs w:val="20"/>
          <w:color w:val="3E3935"/>
        </w:rPr>
        <w:t>Audit (Chair), Executive, Finance, Risk and</w:t>
      </w:r>
      <w:r>
        <w:rPr>
          <w:rFonts w:ascii="Arial" w:cs="Arial" w:eastAsia="Arial" w:hAnsi="Arial"/>
          <w:sz w:val="20"/>
          <w:szCs w:val="20"/>
          <w:b w:val="1"/>
          <w:bCs w:val="1"/>
          <w:i w:val="1"/>
          <w:iCs w:val="1"/>
          <w:color w:val="00C1DE"/>
        </w:rPr>
        <w:t xml:space="preserve"> </w:t>
      </w:r>
      <w:r>
        <w:rPr>
          <w:rFonts w:ascii="Arial" w:cs="Arial" w:eastAsia="Arial" w:hAnsi="Arial"/>
          <w:sz w:val="20"/>
          <w:szCs w:val="20"/>
          <w:color w:val="3E3935"/>
        </w:rPr>
        <w:t>Cybersecurity</w:t>
      </w:r>
    </w:p>
    <w:p>
      <w:pPr>
        <w:spacing w:after="0" w:line="10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00C1DE"/>
        </w:rPr>
        <w:t xml:space="preserve">Other Public Company Directorships: </w:t>
      </w:r>
      <w:r>
        <w:rPr>
          <w:rFonts w:ascii="Arial" w:cs="Arial" w:eastAsia="Arial" w:hAnsi="Arial"/>
          <w:sz w:val="20"/>
          <w:szCs w:val="20"/>
          <w:color w:val="3E3935"/>
        </w:rPr>
        <w:t>Northrop Grumman</w:t>
      </w:r>
    </w:p>
    <w:p>
      <w:pPr>
        <w:spacing w:after="0" w:line="4" w:lineRule="exact"/>
        <w:rPr>
          <w:sz w:val="20"/>
          <w:szCs w:val="20"/>
          <w:color w:val="auto"/>
        </w:rPr>
      </w:pPr>
    </w:p>
    <w:p>
      <w:pPr>
        <w:spacing w:after="0"/>
        <w:rPr>
          <w:sz w:val="20"/>
          <w:szCs w:val="20"/>
          <w:color w:val="auto"/>
        </w:rPr>
      </w:pPr>
      <w:r>
        <w:rPr>
          <w:rFonts w:ascii="Arial" w:cs="Arial" w:eastAsia="Arial" w:hAnsi="Arial"/>
          <w:sz w:val="20"/>
          <w:szCs w:val="20"/>
          <w:color w:val="3E3935"/>
        </w:rPr>
        <w:t>Corporation</w:t>
      </w:r>
    </w:p>
    <w:p>
      <w:pPr>
        <w:spacing w:after="0" w:line="13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00C1DE"/>
        </w:rPr>
        <w:t xml:space="preserve">Prior Public Company Directorships: </w:t>
      </w:r>
      <w:r>
        <w:rPr>
          <w:rFonts w:ascii="Arial" w:cs="Arial" w:eastAsia="Arial" w:hAnsi="Arial"/>
          <w:sz w:val="20"/>
          <w:szCs w:val="20"/>
          <w:color w:val="3E3935"/>
        </w:rPr>
        <w:t>KKR Management</w:t>
      </w:r>
    </w:p>
    <w:p>
      <w:pPr>
        <w:spacing w:after="0" w:line="4" w:lineRule="exact"/>
        <w:rPr>
          <w:sz w:val="20"/>
          <w:szCs w:val="20"/>
          <w:color w:val="auto"/>
        </w:rPr>
      </w:pPr>
    </w:p>
    <w:p>
      <w:pPr>
        <w:spacing w:after="0"/>
        <w:rPr>
          <w:sz w:val="20"/>
          <w:szCs w:val="20"/>
          <w:color w:val="auto"/>
        </w:rPr>
      </w:pPr>
      <w:r>
        <w:rPr>
          <w:rFonts w:ascii="Arial" w:cs="Arial" w:eastAsia="Arial" w:hAnsi="Arial"/>
          <w:sz w:val="20"/>
          <w:szCs w:val="20"/>
          <w:color w:val="3E3935"/>
        </w:rPr>
        <w:t>LLC and PulteGroup, Inc.</w:t>
      </w:r>
    </w:p>
    <w:p>
      <w:pPr>
        <w:spacing w:after="0" w:line="130" w:lineRule="exact"/>
        <w:rPr>
          <w:sz w:val="20"/>
          <w:szCs w:val="20"/>
          <w:color w:val="auto"/>
        </w:rPr>
      </w:pPr>
    </w:p>
    <w:p>
      <w:pPr>
        <w:jc w:val="both"/>
        <w:ind w:right="20"/>
        <w:spacing w:after="0" w:line="245" w:lineRule="auto"/>
        <w:rPr>
          <w:sz w:val="20"/>
          <w:szCs w:val="20"/>
          <w:color w:val="auto"/>
        </w:rPr>
      </w:pPr>
      <w:r>
        <w:rPr>
          <w:rFonts w:ascii="Arial" w:cs="Arial" w:eastAsia="Arial" w:hAnsi="Arial"/>
          <w:sz w:val="19"/>
          <w:szCs w:val="19"/>
          <w:b w:val="1"/>
          <w:bCs w:val="1"/>
          <w:i w:val="1"/>
          <w:iCs w:val="1"/>
          <w:color w:val="00C1DE"/>
        </w:rPr>
        <w:t xml:space="preserve">Prior Experience: </w:t>
      </w:r>
      <w:r>
        <w:rPr>
          <w:rFonts w:ascii="Arial" w:cs="Arial" w:eastAsia="Arial" w:hAnsi="Arial"/>
          <w:sz w:val="19"/>
          <w:szCs w:val="19"/>
          <w:color w:val="3E3935"/>
        </w:rPr>
        <w:t>Mr. Schoewe served as Executive Vice</w:t>
      </w:r>
      <w:r>
        <w:rPr>
          <w:rFonts w:ascii="Arial" w:cs="Arial" w:eastAsia="Arial" w:hAnsi="Arial"/>
          <w:sz w:val="19"/>
          <w:szCs w:val="19"/>
          <w:b w:val="1"/>
          <w:bCs w:val="1"/>
          <w:i w:val="1"/>
          <w:iCs w:val="1"/>
          <w:color w:val="00C1DE"/>
        </w:rPr>
        <w:t xml:space="preserve"> </w:t>
      </w:r>
      <w:r>
        <w:rPr>
          <w:rFonts w:ascii="Arial" w:cs="Arial" w:eastAsia="Arial" w:hAnsi="Arial"/>
          <w:sz w:val="19"/>
          <w:szCs w:val="19"/>
          <w:color w:val="3E3935"/>
        </w:rPr>
        <w:t>President and CFO of Wal-Mart Stores, Inc. from 2000 to 2011. Prior to joining Wal-Mart, he held several senior roles at the Black &amp; Decker Corporation, including CFO from 1993 to 1999. Before joining Black &amp; Decker, Mr. Schoewe worked for Beatrice Companies where he was CFO and Controller of one of its subsidiaries, Beatrice Consumer Durables Inc.</w:t>
      </w:r>
    </w:p>
    <w:p>
      <w:pPr>
        <w:spacing w:after="0" w:line="113" w:lineRule="exact"/>
        <w:rPr>
          <w:sz w:val="20"/>
          <w:szCs w:val="20"/>
          <w:color w:val="auto"/>
        </w:rPr>
      </w:pPr>
    </w:p>
    <w:p>
      <w:pPr>
        <w:jc w:val="both"/>
        <w:spacing w:after="0" w:line="230" w:lineRule="auto"/>
        <w:rPr>
          <w:sz w:val="20"/>
          <w:szCs w:val="20"/>
          <w:color w:val="auto"/>
        </w:rPr>
      </w:pPr>
      <w:r>
        <w:rPr>
          <w:rFonts w:ascii="Arial" w:cs="Arial" w:eastAsia="Arial" w:hAnsi="Arial"/>
          <w:sz w:val="20"/>
          <w:szCs w:val="20"/>
          <w:b w:val="1"/>
          <w:bCs w:val="1"/>
          <w:i w:val="1"/>
          <w:iCs w:val="1"/>
          <w:color w:val="00C1DE"/>
        </w:rPr>
        <w:t xml:space="preserve">Reasons for Nomination: </w:t>
      </w:r>
      <w:r>
        <w:rPr>
          <w:rFonts w:ascii="Arial" w:cs="Arial" w:eastAsia="Arial" w:hAnsi="Arial"/>
          <w:sz w:val="20"/>
          <w:szCs w:val="20"/>
          <w:color w:val="3E3935"/>
        </w:rPr>
        <w:t>Mr. Schoewe has extensive</w:t>
      </w:r>
      <w:r>
        <w:rPr>
          <w:rFonts w:ascii="Arial" w:cs="Arial" w:eastAsia="Arial" w:hAnsi="Arial"/>
          <w:sz w:val="20"/>
          <w:szCs w:val="20"/>
          <w:b w:val="1"/>
          <w:bCs w:val="1"/>
          <w:i w:val="1"/>
          <w:iCs w:val="1"/>
          <w:color w:val="00C1DE"/>
        </w:rPr>
        <w:t xml:space="preserve"> </w:t>
      </w:r>
      <w:r>
        <w:rPr>
          <w:rFonts w:ascii="Arial" w:cs="Arial" w:eastAsia="Arial" w:hAnsi="Arial"/>
          <w:sz w:val="20"/>
          <w:szCs w:val="20"/>
          <w:color w:val="3E3935"/>
        </w:rPr>
        <w:t>financial experience acquired through positions held as the CFO of large public companies, as well as expertise in internal controls, risk management, and mergers and acquisitions. He also has significant international experience through his service as an executive of large public companies with substantial international operations and large-scale transformational installations of global enterprise information technologies.</w:t>
      </w:r>
    </w:p>
    <w:p>
      <w:pPr>
        <w:spacing w:after="0" w:line="122" w:lineRule="exact"/>
        <w:rPr>
          <w:sz w:val="20"/>
          <w:szCs w:val="20"/>
          <w:color w:val="auto"/>
        </w:rPr>
      </w:pPr>
    </w:p>
    <w:p>
      <w:pPr>
        <w:jc w:val="both"/>
        <w:spacing w:after="0" w:line="243" w:lineRule="auto"/>
        <w:rPr>
          <w:sz w:val="20"/>
          <w:szCs w:val="20"/>
          <w:color w:val="auto"/>
        </w:rPr>
      </w:pPr>
      <w:r>
        <w:rPr>
          <w:rFonts w:ascii="Arial" w:cs="Arial" w:eastAsia="Arial" w:hAnsi="Arial"/>
          <w:sz w:val="19"/>
          <w:szCs w:val="19"/>
          <w:b w:val="1"/>
          <w:bCs w:val="1"/>
          <w:i w:val="1"/>
          <w:iCs w:val="1"/>
          <w:color w:val="00C1DE"/>
        </w:rPr>
        <w:t xml:space="preserve">Spotlight on ESG Expertise: </w:t>
      </w:r>
      <w:r>
        <w:rPr>
          <w:rFonts w:ascii="Arial" w:cs="Arial" w:eastAsia="Arial" w:hAnsi="Arial"/>
          <w:sz w:val="19"/>
          <w:szCs w:val="19"/>
          <w:color w:val="3E3935"/>
        </w:rPr>
        <w:t>Mr. Schoewe developed social</w:t>
      </w:r>
      <w:r>
        <w:rPr>
          <w:rFonts w:ascii="Arial" w:cs="Arial" w:eastAsia="Arial" w:hAnsi="Arial"/>
          <w:sz w:val="19"/>
          <w:szCs w:val="19"/>
          <w:b w:val="1"/>
          <w:bCs w:val="1"/>
          <w:i w:val="1"/>
          <w:iCs w:val="1"/>
          <w:color w:val="00C1DE"/>
        </w:rPr>
        <w:t xml:space="preserve"> </w:t>
      </w:r>
      <w:r>
        <w:rPr>
          <w:rFonts w:ascii="Arial" w:cs="Arial" w:eastAsia="Arial" w:hAnsi="Arial"/>
          <w:sz w:val="19"/>
          <w:szCs w:val="19"/>
          <w:color w:val="3E3935"/>
        </w:rPr>
        <w:t>expertise – in particular, supply chain management – during his tenure as CFO at Black &amp; Decker and Wal-Mart and currently as a member of the Audit Committee Leadership Network. In his current capacity, he leverages his training to advocate for improved performance of audit committees and more rigorous controls of ESG disclosures. GM benefits from Mr. Schoewe’s experience as we continue our efforts to provide comprehensive and meaningful ESG disclosures.</w:t>
      </w:r>
    </w:p>
    <w:p>
      <w:pPr>
        <w:sectPr>
          <w:pgSz w:w="11900" w:h="16838" w:orient="portrait"/>
          <w:cols w:equalWidth="0" w:num="2">
            <w:col w:w="5200" w:space="560"/>
            <w:col w:w="5380"/>
          </w:cols>
          <w:pgMar w:left="320" w:top="482" w:right="439" w:bottom="1440" w:gutter="0" w:footer="0" w:header="0"/>
          <w:type w:val="continuous"/>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176530</wp:posOffset>
            </wp:positionH>
            <wp:positionV relativeFrom="paragraph">
              <wp:posOffset>208280</wp:posOffset>
            </wp:positionV>
            <wp:extent cx="1268730" cy="126873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268730" cy="12687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2660"/>
        <w:spacing w:after="0"/>
        <w:rPr>
          <w:sz w:val="20"/>
          <w:szCs w:val="20"/>
          <w:color w:val="auto"/>
        </w:rPr>
      </w:pPr>
      <w:r>
        <w:rPr>
          <w:rFonts w:ascii="Arial" w:cs="Arial" w:eastAsia="Arial" w:hAnsi="Arial"/>
          <w:sz w:val="20"/>
          <w:szCs w:val="20"/>
          <w:b w:val="1"/>
          <w:bCs w:val="1"/>
          <w:color w:val="3E3935"/>
        </w:rPr>
        <w:t>Director Since</w:t>
      </w:r>
      <w:r>
        <w:rPr>
          <w:rFonts w:ascii="Arial" w:cs="Arial" w:eastAsia="Arial" w:hAnsi="Arial"/>
          <w:sz w:val="20"/>
          <w:szCs w:val="20"/>
          <w:color w:val="3E3935"/>
        </w:rPr>
        <w:t>: 2021</w:t>
      </w:r>
    </w:p>
    <w:p>
      <w:pPr>
        <w:ind w:left="2660"/>
        <w:spacing w:after="0" w:line="231" w:lineRule="auto"/>
        <w:rPr>
          <w:sz w:val="20"/>
          <w:szCs w:val="20"/>
          <w:color w:val="auto"/>
        </w:rPr>
      </w:pPr>
      <w:r>
        <w:rPr>
          <w:rFonts w:ascii="Arial" w:cs="Arial" w:eastAsia="Arial" w:hAnsi="Arial"/>
          <w:sz w:val="20"/>
          <w:szCs w:val="20"/>
          <w:b w:val="1"/>
          <w:bCs w:val="1"/>
          <w:color w:val="3E3935"/>
        </w:rPr>
        <w:t>Age</w:t>
      </w:r>
      <w:r>
        <w:rPr>
          <w:rFonts w:ascii="Arial" w:cs="Arial" w:eastAsia="Arial" w:hAnsi="Arial"/>
          <w:sz w:val="20"/>
          <w:szCs w:val="20"/>
          <w:color w:val="3E3935"/>
        </w:rPr>
        <w:t>: 53</w:t>
      </w:r>
    </w:p>
    <w:p>
      <w:pPr>
        <w:ind w:left="2660"/>
        <w:spacing w:after="0" w:line="226" w:lineRule="auto"/>
        <w:rPr>
          <w:sz w:val="20"/>
          <w:szCs w:val="20"/>
          <w:color w:val="auto"/>
        </w:rPr>
      </w:pPr>
      <w:r>
        <w:rPr>
          <w:rFonts w:ascii="Arial" w:cs="Arial" w:eastAsia="Arial" w:hAnsi="Arial"/>
          <w:sz w:val="20"/>
          <w:szCs w:val="20"/>
          <w:b w:val="1"/>
          <w:bCs w:val="1"/>
          <w:color w:val="3E3935"/>
        </w:rPr>
        <w:t>Independent</w:t>
      </w:r>
      <w:r>
        <w:rPr>
          <w:rFonts w:ascii="Arial" w:cs="Arial" w:eastAsia="Arial" w:hAnsi="Arial"/>
          <w:sz w:val="20"/>
          <w:szCs w:val="20"/>
          <w:color w:val="3E3935"/>
        </w:rPr>
        <w:t>: Yes</w:t>
      </w:r>
    </w:p>
    <w:p>
      <w:pPr>
        <w:ind w:left="2660"/>
        <w:spacing w:after="0" w:line="225" w:lineRule="auto"/>
        <w:rPr>
          <w:sz w:val="20"/>
          <w:szCs w:val="20"/>
          <w:color w:val="auto"/>
        </w:rPr>
      </w:pPr>
      <w:r>
        <w:rPr>
          <w:rFonts w:ascii="Arial" w:cs="Arial" w:eastAsia="Arial" w:hAnsi="Arial"/>
          <w:sz w:val="20"/>
          <w:szCs w:val="20"/>
          <w:b w:val="1"/>
          <w:bCs w:val="1"/>
          <w:color w:val="3E3935"/>
        </w:rPr>
        <w:t>Gender</w:t>
      </w:r>
      <w:r>
        <w:rPr>
          <w:rFonts w:ascii="Arial" w:cs="Arial" w:eastAsia="Arial" w:hAnsi="Arial"/>
          <w:sz w:val="20"/>
          <w:szCs w:val="20"/>
          <w:color w:val="3E3935"/>
        </w:rPr>
        <w:t>: Male</w:t>
      </w:r>
    </w:p>
    <w:p>
      <w:pPr>
        <w:ind w:left="2660"/>
        <w:spacing w:after="0" w:line="225" w:lineRule="auto"/>
        <w:rPr>
          <w:sz w:val="20"/>
          <w:szCs w:val="20"/>
          <w:color w:val="auto"/>
        </w:rPr>
      </w:pPr>
      <w:r>
        <w:rPr>
          <w:rFonts w:ascii="Arial" w:cs="Arial" w:eastAsia="Arial" w:hAnsi="Arial"/>
          <w:sz w:val="20"/>
          <w:szCs w:val="20"/>
          <w:b w:val="1"/>
          <w:bCs w:val="1"/>
          <w:color w:val="3E3935"/>
        </w:rPr>
        <w:t>Race/Ethnicity</w:t>
      </w:r>
      <w:r>
        <w:rPr>
          <w:rFonts w:ascii="Arial" w:cs="Arial" w:eastAsia="Arial" w:hAnsi="Arial"/>
          <w:sz w:val="20"/>
          <w:szCs w:val="20"/>
          <w:color w:val="3E3935"/>
        </w:rPr>
        <w:t>: Black,</w:t>
      </w:r>
    </w:p>
    <w:p>
      <w:pPr>
        <w:spacing w:after="0" w:line="1" w:lineRule="exact"/>
        <w:rPr>
          <w:sz w:val="20"/>
          <w:szCs w:val="20"/>
          <w:color w:val="auto"/>
        </w:rPr>
      </w:pPr>
    </w:p>
    <w:p>
      <w:pPr>
        <w:ind w:left="2660"/>
        <w:spacing w:after="0"/>
        <w:rPr>
          <w:sz w:val="20"/>
          <w:szCs w:val="20"/>
          <w:color w:val="auto"/>
        </w:rPr>
      </w:pPr>
      <w:r>
        <w:rPr>
          <w:rFonts w:ascii="Arial" w:cs="Arial" w:eastAsia="Arial" w:hAnsi="Arial"/>
          <w:sz w:val="20"/>
          <w:szCs w:val="20"/>
          <w:color w:val="3E3935"/>
        </w:rPr>
        <w:t>Asian</w:t>
      </w:r>
    </w:p>
    <w:p>
      <w:pPr>
        <w:spacing w:after="0" w:line="200" w:lineRule="exact"/>
        <w:rPr>
          <w:sz w:val="20"/>
          <w:szCs w:val="20"/>
          <w:color w:val="auto"/>
        </w:rPr>
      </w:pPr>
    </w:p>
    <w:p>
      <w:pPr>
        <w:spacing w:after="0" w:line="234" w:lineRule="exact"/>
        <w:rPr>
          <w:sz w:val="20"/>
          <w:szCs w:val="20"/>
          <w:color w:val="auto"/>
        </w:rPr>
      </w:pPr>
    </w:p>
    <w:p>
      <w:pPr>
        <w:jc w:val="center"/>
        <w:ind w:left="120"/>
        <w:spacing w:after="0"/>
        <w:rPr>
          <w:sz w:val="20"/>
          <w:szCs w:val="20"/>
          <w:color w:val="auto"/>
        </w:rPr>
      </w:pPr>
      <w:r>
        <w:rPr>
          <w:rFonts w:ascii="Arial" w:cs="Arial" w:eastAsia="Arial" w:hAnsi="Arial"/>
          <w:sz w:val="22"/>
          <w:szCs w:val="22"/>
          <w:b w:val="1"/>
          <w:bCs w:val="1"/>
          <w:color w:val="0071CE"/>
        </w:rPr>
        <w:t>Mark A. Tatum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54610</wp:posOffset>
            </wp:positionV>
            <wp:extent cx="3231515"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3231515" cy="8890"/>
                    </a:xfrm>
                    <a:prstGeom prst="rect">
                      <a:avLst/>
                    </a:prstGeom>
                    <a:noFill/>
                  </pic:spPr>
                </pic:pic>
              </a:graphicData>
            </a:graphic>
          </wp:anchor>
        </w:drawing>
      </w:r>
    </w:p>
    <w:p>
      <w:pPr>
        <w:spacing w:after="0" w:line="152" w:lineRule="exact"/>
        <w:rPr>
          <w:sz w:val="20"/>
          <w:szCs w:val="20"/>
          <w:color w:val="auto"/>
        </w:rPr>
      </w:pPr>
    </w:p>
    <w:p>
      <w:pPr>
        <w:jc w:val="center"/>
        <w:ind w:left="120"/>
        <w:spacing w:after="0"/>
        <w:rPr>
          <w:sz w:val="20"/>
          <w:szCs w:val="20"/>
          <w:color w:val="auto"/>
        </w:rPr>
      </w:pPr>
      <w:r>
        <w:rPr>
          <w:rFonts w:ascii="Arial" w:cs="Arial" w:eastAsia="Arial" w:hAnsi="Arial"/>
          <w:sz w:val="20"/>
          <w:szCs w:val="20"/>
          <w:i w:val="1"/>
          <w:iCs w:val="1"/>
          <w:color w:val="3E3935"/>
        </w:rPr>
        <w:t>Deputy Commissioner &amp; Chief Operating Officer,</w:t>
      </w:r>
    </w:p>
    <w:p>
      <w:pPr>
        <w:spacing w:after="0" w:line="4" w:lineRule="exact"/>
        <w:rPr>
          <w:sz w:val="20"/>
          <w:szCs w:val="20"/>
          <w:color w:val="auto"/>
        </w:rPr>
      </w:pPr>
    </w:p>
    <w:p>
      <w:pPr>
        <w:jc w:val="center"/>
        <w:ind w:left="120"/>
        <w:spacing w:after="0"/>
        <w:rPr>
          <w:sz w:val="20"/>
          <w:szCs w:val="20"/>
          <w:color w:val="auto"/>
        </w:rPr>
      </w:pPr>
      <w:r>
        <w:rPr>
          <w:rFonts w:ascii="Arial" w:cs="Arial" w:eastAsia="Arial" w:hAnsi="Arial"/>
          <w:sz w:val="20"/>
          <w:szCs w:val="20"/>
          <w:i w:val="1"/>
          <w:iCs w:val="1"/>
          <w:color w:val="3E3935"/>
        </w:rPr>
        <w:t>National Basketball Association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70485</wp:posOffset>
            </wp:positionV>
            <wp:extent cx="323151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3231515" cy="8255"/>
                    </a:xfrm>
                    <a:prstGeom prst="rect">
                      <a:avLst/>
                    </a:prstGeom>
                    <a:noFill/>
                  </pic:spPr>
                </pic:pic>
              </a:graphicData>
            </a:graphic>
          </wp:anchor>
        </w:drawing>
      </w:r>
    </w:p>
    <w:p>
      <w:pPr>
        <w:spacing w:after="0" w:line="164" w:lineRule="exact"/>
        <w:rPr>
          <w:sz w:val="20"/>
          <w:szCs w:val="20"/>
          <w:color w:val="auto"/>
        </w:rPr>
      </w:pPr>
    </w:p>
    <w:p>
      <w:pPr>
        <w:ind w:left="120"/>
        <w:spacing w:after="0"/>
        <w:rPr>
          <w:sz w:val="20"/>
          <w:szCs w:val="20"/>
          <w:color w:val="auto"/>
        </w:rPr>
      </w:pPr>
      <w:r>
        <w:rPr>
          <w:rFonts w:ascii="Arial" w:cs="Arial" w:eastAsia="Arial" w:hAnsi="Arial"/>
          <w:sz w:val="20"/>
          <w:szCs w:val="20"/>
          <w:b w:val="1"/>
          <w:bCs w:val="1"/>
          <w:i w:val="1"/>
          <w:iCs w:val="1"/>
          <w:color w:val="00C1DE"/>
        </w:rPr>
        <w:t xml:space="preserve">Committees: </w:t>
      </w:r>
      <w:r>
        <w:rPr>
          <w:rFonts w:ascii="Arial" w:cs="Arial" w:eastAsia="Arial" w:hAnsi="Arial"/>
          <w:sz w:val="20"/>
          <w:szCs w:val="20"/>
          <w:color w:val="3E3935"/>
        </w:rPr>
        <w:t>Audit, Governance</w:t>
      </w:r>
    </w:p>
    <w:p>
      <w:pPr>
        <w:spacing w:after="0" w:line="148" w:lineRule="exact"/>
        <w:rPr>
          <w:sz w:val="20"/>
          <w:szCs w:val="20"/>
          <w:color w:val="auto"/>
        </w:rPr>
      </w:pPr>
    </w:p>
    <w:p>
      <w:pPr>
        <w:ind w:left="120"/>
        <w:spacing w:after="0"/>
        <w:rPr>
          <w:sz w:val="20"/>
          <w:szCs w:val="20"/>
          <w:color w:val="auto"/>
        </w:rPr>
      </w:pPr>
      <w:r>
        <w:rPr>
          <w:rFonts w:ascii="Arial" w:cs="Arial" w:eastAsia="Arial" w:hAnsi="Arial"/>
          <w:sz w:val="20"/>
          <w:szCs w:val="20"/>
          <w:b w:val="1"/>
          <w:bCs w:val="1"/>
          <w:i w:val="1"/>
          <w:iCs w:val="1"/>
          <w:color w:val="00C1DE"/>
        </w:rPr>
        <w:t xml:space="preserve">Other Public Company Directorships: </w:t>
      </w:r>
      <w:r>
        <w:rPr>
          <w:rFonts w:ascii="Arial" w:cs="Arial" w:eastAsia="Arial" w:hAnsi="Arial"/>
          <w:sz w:val="20"/>
          <w:szCs w:val="20"/>
          <w:color w:val="3E3935"/>
        </w:rPr>
        <w:t>None</w:t>
      </w:r>
    </w:p>
    <w:p>
      <w:pPr>
        <w:spacing w:after="0" w:line="148" w:lineRule="exact"/>
        <w:rPr>
          <w:sz w:val="20"/>
          <w:szCs w:val="20"/>
          <w:color w:val="auto"/>
        </w:rPr>
      </w:pPr>
    </w:p>
    <w:p>
      <w:pPr>
        <w:ind w:left="120"/>
        <w:spacing w:after="0"/>
        <w:rPr>
          <w:sz w:val="20"/>
          <w:szCs w:val="20"/>
          <w:color w:val="auto"/>
        </w:rPr>
      </w:pPr>
      <w:r>
        <w:rPr>
          <w:rFonts w:ascii="Arial" w:cs="Arial" w:eastAsia="Arial" w:hAnsi="Arial"/>
          <w:sz w:val="20"/>
          <w:szCs w:val="20"/>
          <w:b w:val="1"/>
          <w:bCs w:val="1"/>
          <w:i w:val="1"/>
          <w:iCs w:val="1"/>
          <w:color w:val="00C1DE"/>
        </w:rPr>
        <w:t xml:space="preserve">Prior Public Company Directorships: </w:t>
      </w:r>
      <w:r>
        <w:rPr>
          <w:rFonts w:ascii="Arial" w:cs="Arial" w:eastAsia="Arial" w:hAnsi="Arial"/>
          <w:sz w:val="20"/>
          <w:szCs w:val="20"/>
          <w:color w:val="3E3935"/>
        </w:rPr>
        <w:t>None</w:t>
      </w:r>
    </w:p>
    <w:p>
      <w:pPr>
        <w:spacing w:after="0" w:line="148" w:lineRule="exact"/>
        <w:rPr>
          <w:sz w:val="20"/>
          <w:szCs w:val="20"/>
          <w:color w:val="auto"/>
        </w:rPr>
      </w:pPr>
    </w:p>
    <w:p>
      <w:pPr>
        <w:jc w:val="both"/>
        <w:ind w:left="120"/>
        <w:spacing w:after="0" w:line="230" w:lineRule="auto"/>
        <w:rPr>
          <w:sz w:val="20"/>
          <w:szCs w:val="20"/>
          <w:color w:val="auto"/>
        </w:rPr>
      </w:pPr>
      <w:r>
        <w:rPr>
          <w:rFonts w:ascii="Arial" w:cs="Arial" w:eastAsia="Arial" w:hAnsi="Arial"/>
          <w:sz w:val="20"/>
          <w:szCs w:val="20"/>
          <w:b w:val="1"/>
          <w:bCs w:val="1"/>
          <w:i w:val="1"/>
          <w:iCs w:val="1"/>
          <w:color w:val="00C1DE"/>
        </w:rPr>
        <w:t xml:space="preserve">Prior Experience: </w:t>
      </w:r>
      <w:r>
        <w:rPr>
          <w:rFonts w:ascii="Arial" w:cs="Arial" w:eastAsia="Arial" w:hAnsi="Arial"/>
          <w:sz w:val="20"/>
          <w:szCs w:val="20"/>
          <w:color w:val="3E3935"/>
        </w:rPr>
        <w:t>Mr. Tatum joined the National</w:t>
      </w:r>
      <w:r>
        <w:rPr>
          <w:rFonts w:ascii="Arial" w:cs="Arial" w:eastAsia="Arial" w:hAnsi="Arial"/>
          <w:sz w:val="20"/>
          <w:szCs w:val="20"/>
          <w:b w:val="1"/>
          <w:bCs w:val="1"/>
          <w:i w:val="1"/>
          <w:iCs w:val="1"/>
          <w:color w:val="00C1DE"/>
        </w:rPr>
        <w:t xml:space="preserve"> </w:t>
      </w:r>
      <w:r>
        <w:rPr>
          <w:rFonts w:ascii="Arial" w:cs="Arial" w:eastAsia="Arial" w:hAnsi="Arial"/>
          <w:sz w:val="20"/>
          <w:szCs w:val="20"/>
          <w:color w:val="3E3935"/>
        </w:rPr>
        <w:t>Basketball Association (NBA) in 1999 and was appointed NBA Deputy Commissioner and Chief Operating Officer in 2014. Prior to that, he served in numerous leadership roles at the NBA, including Executive Vice President of Global Marketing Partnerships, Senior Vice President and Vice President of Business Development, Senior Director and Group Manager of Marketing Properties, and Director of Marketing Partnerships.</w:t>
      </w:r>
    </w:p>
    <w:p>
      <w:pPr>
        <w:spacing w:after="0" w:line="122" w:lineRule="exact"/>
        <w:rPr>
          <w:sz w:val="20"/>
          <w:szCs w:val="20"/>
          <w:color w:val="auto"/>
        </w:rPr>
      </w:pPr>
    </w:p>
    <w:p>
      <w:pPr>
        <w:jc w:val="both"/>
        <w:ind w:left="120"/>
        <w:spacing w:after="0" w:line="233" w:lineRule="auto"/>
        <w:rPr>
          <w:sz w:val="20"/>
          <w:szCs w:val="20"/>
          <w:color w:val="auto"/>
        </w:rPr>
      </w:pPr>
      <w:r>
        <w:rPr>
          <w:rFonts w:ascii="Arial" w:cs="Arial" w:eastAsia="Arial" w:hAnsi="Arial"/>
          <w:sz w:val="20"/>
          <w:szCs w:val="20"/>
          <w:b w:val="1"/>
          <w:bCs w:val="1"/>
          <w:i w:val="1"/>
          <w:iCs w:val="1"/>
          <w:color w:val="00C1DE"/>
        </w:rPr>
        <w:t xml:space="preserve">Reasons for Nomination: </w:t>
      </w:r>
      <w:r>
        <w:rPr>
          <w:rFonts w:ascii="Arial" w:cs="Arial" w:eastAsia="Arial" w:hAnsi="Arial"/>
          <w:sz w:val="20"/>
          <w:szCs w:val="20"/>
          <w:color w:val="3E3935"/>
        </w:rPr>
        <w:t>Mr. Tatum has extensive</w:t>
      </w:r>
      <w:r>
        <w:rPr>
          <w:rFonts w:ascii="Arial" w:cs="Arial" w:eastAsia="Arial" w:hAnsi="Arial"/>
          <w:sz w:val="20"/>
          <w:szCs w:val="20"/>
          <w:b w:val="1"/>
          <w:bCs w:val="1"/>
          <w:i w:val="1"/>
          <w:iCs w:val="1"/>
          <w:color w:val="00C1DE"/>
        </w:rPr>
        <w:t xml:space="preserve"> </w:t>
      </w:r>
      <w:r>
        <w:rPr>
          <w:rFonts w:ascii="Arial" w:cs="Arial" w:eastAsia="Arial" w:hAnsi="Arial"/>
          <w:sz w:val="20"/>
          <w:szCs w:val="20"/>
          <w:color w:val="3E3935"/>
        </w:rPr>
        <w:t>senior leadership experience in marketing and sales strategy, managing media relationships, and global business operations. He also has significant expertise driving customer engagement and operations globally through his leadership roles in the NBA.</w:t>
      </w:r>
    </w:p>
    <w:p>
      <w:pPr>
        <w:spacing w:after="0" w:line="118" w:lineRule="exact"/>
        <w:rPr>
          <w:sz w:val="20"/>
          <w:szCs w:val="20"/>
          <w:color w:val="auto"/>
        </w:rPr>
      </w:pPr>
    </w:p>
    <w:p>
      <w:pPr>
        <w:jc w:val="both"/>
        <w:ind w:left="120"/>
        <w:spacing w:after="0" w:line="230" w:lineRule="auto"/>
        <w:rPr>
          <w:sz w:val="20"/>
          <w:szCs w:val="20"/>
          <w:color w:val="auto"/>
        </w:rPr>
      </w:pPr>
      <w:r>
        <w:rPr>
          <w:rFonts w:ascii="Arial" w:cs="Arial" w:eastAsia="Arial" w:hAnsi="Arial"/>
          <w:sz w:val="20"/>
          <w:szCs w:val="20"/>
          <w:b w:val="1"/>
          <w:bCs w:val="1"/>
          <w:i w:val="1"/>
          <w:iCs w:val="1"/>
          <w:color w:val="00C1DE"/>
        </w:rPr>
        <w:t xml:space="preserve">Spotlight on ESG Expertise: </w:t>
      </w:r>
      <w:r>
        <w:rPr>
          <w:rFonts w:ascii="Arial" w:cs="Arial" w:eastAsia="Arial" w:hAnsi="Arial"/>
          <w:sz w:val="20"/>
          <w:szCs w:val="20"/>
          <w:color w:val="3E3935"/>
        </w:rPr>
        <w:t>Mr. Tatum has developed</w:t>
      </w:r>
      <w:r>
        <w:rPr>
          <w:rFonts w:ascii="Arial" w:cs="Arial" w:eastAsia="Arial" w:hAnsi="Arial"/>
          <w:sz w:val="20"/>
          <w:szCs w:val="20"/>
          <w:b w:val="1"/>
          <w:bCs w:val="1"/>
          <w:i w:val="1"/>
          <w:iCs w:val="1"/>
          <w:color w:val="00C1DE"/>
        </w:rPr>
        <w:t xml:space="preserve"> </w:t>
      </w:r>
      <w:r>
        <w:rPr>
          <w:rFonts w:ascii="Arial" w:cs="Arial" w:eastAsia="Arial" w:hAnsi="Arial"/>
          <w:sz w:val="20"/>
          <w:szCs w:val="20"/>
          <w:color w:val="3E3935"/>
        </w:rPr>
        <w:t>social expertise – in particular, in DE&amp;I issues – as President of the NBA’s Social Justice Coalition as well as President of the NBA Foundation. In these roles, he advocates for social and racial justice and is working to drive economic opportunity and empowerment in the Black community. GM benefits from his experience in this area as it evolves its culture and seeks to become the most inclusive company in the world.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2840"/>
        <w:spacing w:after="0"/>
        <w:rPr>
          <w:sz w:val="20"/>
          <w:szCs w:val="20"/>
          <w:color w:val="auto"/>
        </w:rPr>
      </w:pPr>
      <w:r>
        <w:rPr>
          <w:rFonts w:ascii="Arial" w:cs="Arial" w:eastAsia="Arial" w:hAnsi="Arial"/>
          <w:sz w:val="20"/>
          <w:szCs w:val="20"/>
          <w:b w:val="1"/>
          <w:bCs w:val="1"/>
          <w:color w:val="3E3935"/>
        </w:rPr>
        <w:t>Director Since</w:t>
      </w:r>
      <w:r>
        <w:rPr>
          <w:rFonts w:ascii="Arial" w:cs="Arial" w:eastAsia="Arial" w:hAnsi="Arial"/>
          <w:sz w:val="20"/>
          <w:szCs w:val="20"/>
          <w:color w:val="3E3935"/>
        </w:rPr>
        <w:t>: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-3664585</wp:posOffset>
            </wp:positionH>
            <wp:positionV relativeFrom="paragraph">
              <wp:posOffset>-970280</wp:posOffset>
            </wp:positionV>
            <wp:extent cx="7174865" cy="552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74865" cy="55245"/>
                    </a:xfrm>
                    <a:prstGeom prst="rect">
                      <a:avLst/>
                    </a:prstGeom>
                    <a:noFill/>
                  </pic:spPr>
                </pic:pic>
              </a:graphicData>
            </a:graphic>
          </wp:anchor>
        </w:drawing>
        <w:drawing>
          <wp:anchor simplePos="0" relativeHeight="251657728" behindDoc="1" locked="0" layoutInCell="0" allowOverlap="1">
            <wp:simplePos x="0" y="0"/>
            <wp:positionH relativeFrom="column">
              <wp:posOffset>205105</wp:posOffset>
            </wp:positionH>
            <wp:positionV relativeFrom="paragraph">
              <wp:posOffset>-413385</wp:posOffset>
            </wp:positionV>
            <wp:extent cx="1268730" cy="126873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268730" cy="1268730"/>
                    </a:xfrm>
                    <a:prstGeom prst="rect">
                      <a:avLst/>
                    </a:prstGeom>
                    <a:noFill/>
                  </pic:spPr>
                </pic:pic>
              </a:graphicData>
            </a:graphic>
          </wp:anchor>
        </w:drawing>
      </w:r>
    </w:p>
    <w:p>
      <w:pPr>
        <w:ind w:left="2840"/>
        <w:spacing w:after="0" w:line="231" w:lineRule="auto"/>
        <w:rPr>
          <w:sz w:val="20"/>
          <w:szCs w:val="20"/>
          <w:color w:val="auto"/>
        </w:rPr>
      </w:pPr>
      <w:r>
        <w:rPr>
          <w:rFonts w:ascii="Arial" w:cs="Arial" w:eastAsia="Arial" w:hAnsi="Arial"/>
          <w:sz w:val="20"/>
          <w:szCs w:val="20"/>
          <w:b w:val="1"/>
          <w:bCs w:val="1"/>
          <w:color w:val="3E3935"/>
        </w:rPr>
        <w:t>Age</w:t>
      </w:r>
      <w:r>
        <w:rPr>
          <w:rFonts w:ascii="Arial" w:cs="Arial" w:eastAsia="Arial" w:hAnsi="Arial"/>
          <w:sz w:val="20"/>
          <w:szCs w:val="20"/>
          <w:color w:val="3E3935"/>
        </w:rPr>
        <w:t>: 60</w:t>
      </w:r>
    </w:p>
    <w:p>
      <w:pPr>
        <w:ind w:left="2840"/>
        <w:spacing w:after="0" w:line="226" w:lineRule="auto"/>
        <w:rPr>
          <w:sz w:val="20"/>
          <w:szCs w:val="20"/>
          <w:color w:val="auto"/>
        </w:rPr>
      </w:pPr>
      <w:r>
        <w:rPr>
          <w:rFonts w:ascii="Arial" w:cs="Arial" w:eastAsia="Arial" w:hAnsi="Arial"/>
          <w:sz w:val="20"/>
          <w:szCs w:val="20"/>
          <w:b w:val="1"/>
          <w:bCs w:val="1"/>
          <w:color w:val="3E3935"/>
        </w:rPr>
        <w:t>Independent</w:t>
      </w:r>
      <w:r>
        <w:rPr>
          <w:rFonts w:ascii="Arial" w:cs="Arial" w:eastAsia="Arial" w:hAnsi="Arial"/>
          <w:sz w:val="20"/>
          <w:szCs w:val="20"/>
          <w:color w:val="3E3935"/>
        </w:rPr>
        <w:t>: Yes</w:t>
      </w:r>
    </w:p>
    <w:p>
      <w:pPr>
        <w:ind w:left="2840"/>
        <w:spacing w:after="0" w:line="225" w:lineRule="auto"/>
        <w:rPr>
          <w:sz w:val="20"/>
          <w:szCs w:val="20"/>
          <w:color w:val="auto"/>
        </w:rPr>
      </w:pPr>
      <w:r>
        <w:rPr>
          <w:rFonts w:ascii="Arial" w:cs="Arial" w:eastAsia="Arial" w:hAnsi="Arial"/>
          <w:sz w:val="20"/>
          <w:szCs w:val="20"/>
          <w:b w:val="1"/>
          <w:bCs w:val="1"/>
          <w:color w:val="3E3935"/>
        </w:rPr>
        <w:t>Gender</w:t>
      </w:r>
      <w:r>
        <w:rPr>
          <w:rFonts w:ascii="Arial" w:cs="Arial" w:eastAsia="Arial" w:hAnsi="Arial"/>
          <w:sz w:val="20"/>
          <w:szCs w:val="20"/>
          <w:color w:val="3E3935"/>
        </w:rPr>
        <w:t>: Female</w:t>
      </w:r>
    </w:p>
    <w:p>
      <w:pPr>
        <w:spacing w:after="0" w:line="1" w:lineRule="exact"/>
        <w:rPr>
          <w:sz w:val="20"/>
          <w:szCs w:val="20"/>
          <w:color w:val="auto"/>
        </w:rPr>
      </w:pPr>
    </w:p>
    <w:p>
      <w:pPr>
        <w:ind w:left="2840"/>
        <w:spacing w:after="0"/>
        <w:rPr>
          <w:sz w:val="20"/>
          <w:szCs w:val="20"/>
          <w:color w:val="auto"/>
        </w:rPr>
      </w:pPr>
      <w:r>
        <w:rPr>
          <w:rFonts w:ascii="Arial" w:cs="Arial" w:eastAsia="Arial" w:hAnsi="Arial"/>
          <w:sz w:val="20"/>
          <w:szCs w:val="20"/>
          <w:b w:val="1"/>
          <w:bCs w:val="1"/>
          <w:color w:val="3E3935"/>
        </w:rPr>
        <w:t>Race/Ethnicity</w:t>
      </w:r>
      <w:r>
        <w:rPr>
          <w:rFonts w:ascii="Arial" w:cs="Arial" w:eastAsia="Arial" w:hAnsi="Arial"/>
          <w:sz w:val="20"/>
          <w:szCs w:val="20"/>
          <w:color w:val="3E3935"/>
        </w:rPr>
        <w:t>: White</w:t>
      </w: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0071CE"/>
        </w:rPr>
        <w:t>Jan E. Tighe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-68580</wp:posOffset>
            </wp:positionH>
            <wp:positionV relativeFrom="paragraph">
              <wp:posOffset>54610</wp:posOffset>
            </wp:positionV>
            <wp:extent cx="3480435"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3480435" cy="8890"/>
                    </a:xfrm>
                    <a:prstGeom prst="rect">
                      <a:avLst/>
                    </a:prstGeom>
                    <a:noFill/>
                  </pic:spPr>
                </pic:pic>
              </a:graphicData>
            </a:graphic>
          </wp:anchor>
        </w:drawing>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20"/>
          <w:szCs w:val="20"/>
          <w:i w:val="1"/>
          <w:iCs w:val="1"/>
          <w:color w:val="3E3935"/>
        </w:rPr>
        <w:t>Retired Vice Admiral</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0"/>
          <w:szCs w:val="20"/>
          <w:i w:val="1"/>
          <w:iCs w:val="1"/>
          <w:color w:val="3E3935"/>
        </w:rPr>
        <w:t>U.S. Navy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-68580</wp:posOffset>
            </wp:positionH>
            <wp:positionV relativeFrom="paragraph">
              <wp:posOffset>62230</wp:posOffset>
            </wp:positionV>
            <wp:extent cx="348043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3480435" cy="8255"/>
                    </a:xfrm>
                    <a:prstGeom prst="rect">
                      <a:avLst/>
                    </a:prstGeom>
                    <a:noFill/>
                  </pic:spPr>
                </pic:pic>
              </a:graphicData>
            </a:graphic>
          </wp:anchor>
        </w:drawing>
      </w:r>
    </w:p>
    <w:p>
      <w:pPr>
        <w:spacing w:after="0" w:line="15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00C1DE"/>
        </w:rPr>
        <w:t xml:space="preserve">Committees: </w:t>
      </w:r>
      <w:r>
        <w:rPr>
          <w:rFonts w:ascii="Arial" w:cs="Arial" w:eastAsia="Arial" w:hAnsi="Arial"/>
          <w:sz w:val="20"/>
          <w:szCs w:val="20"/>
          <w:color w:val="3E3935"/>
        </w:rPr>
        <w:t>None</w:t>
      </w:r>
    </w:p>
    <w:p>
      <w:pPr>
        <w:spacing w:after="0" w:line="148" w:lineRule="exact"/>
        <w:rPr>
          <w:sz w:val="20"/>
          <w:szCs w:val="20"/>
          <w:color w:val="auto"/>
        </w:rPr>
      </w:pPr>
    </w:p>
    <w:p>
      <w:pPr>
        <w:jc w:val="both"/>
        <w:ind w:right="20"/>
        <w:spacing w:after="0" w:line="257" w:lineRule="auto"/>
        <w:rPr>
          <w:sz w:val="20"/>
          <w:szCs w:val="20"/>
          <w:color w:val="auto"/>
        </w:rPr>
      </w:pPr>
      <w:r>
        <w:rPr>
          <w:rFonts w:ascii="Arial" w:cs="Arial" w:eastAsia="Arial" w:hAnsi="Arial"/>
          <w:sz w:val="20"/>
          <w:szCs w:val="20"/>
          <w:b w:val="1"/>
          <w:bCs w:val="1"/>
          <w:i w:val="1"/>
          <w:iCs w:val="1"/>
          <w:color w:val="00C1DE"/>
        </w:rPr>
        <w:t xml:space="preserve">Other Public Company Directorships: </w:t>
      </w:r>
      <w:r>
        <w:rPr>
          <w:rFonts w:ascii="Arial" w:cs="Arial" w:eastAsia="Arial" w:hAnsi="Arial"/>
          <w:sz w:val="20"/>
          <w:szCs w:val="20"/>
          <w:color w:val="3E3935"/>
        </w:rPr>
        <w:t>The Goldman</w:t>
      </w:r>
      <w:r>
        <w:rPr>
          <w:rFonts w:ascii="Arial" w:cs="Arial" w:eastAsia="Arial" w:hAnsi="Arial"/>
          <w:sz w:val="20"/>
          <w:szCs w:val="20"/>
          <w:b w:val="1"/>
          <w:bCs w:val="1"/>
          <w:i w:val="1"/>
          <w:iCs w:val="1"/>
          <w:color w:val="00C1DE"/>
        </w:rPr>
        <w:t xml:space="preserve"> </w:t>
      </w:r>
      <w:r>
        <w:rPr>
          <w:rFonts w:ascii="Arial" w:cs="Arial" w:eastAsia="Arial" w:hAnsi="Arial"/>
          <w:sz w:val="20"/>
          <w:szCs w:val="20"/>
          <w:color w:val="3E3935"/>
        </w:rPr>
        <w:t>Sachs Group, Inc., Huntsman Corporation, and IronNet Inc.</w:t>
      </w:r>
    </w:p>
    <w:p>
      <w:pPr>
        <w:spacing w:after="0" w:line="101" w:lineRule="exact"/>
        <w:rPr>
          <w:sz w:val="20"/>
          <w:szCs w:val="20"/>
          <w:color w:val="auto"/>
        </w:rPr>
      </w:pPr>
    </w:p>
    <w:p>
      <w:pPr>
        <w:jc w:val="both"/>
        <w:ind w:right="20"/>
        <w:spacing w:after="0" w:line="241" w:lineRule="auto"/>
        <w:rPr>
          <w:sz w:val="20"/>
          <w:szCs w:val="20"/>
          <w:color w:val="auto"/>
        </w:rPr>
      </w:pPr>
      <w:r>
        <w:rPr>
          <w:rFonts w:ascii="Arial" w:cs="Arial" w:eastAsia="Arial" w:hAnsi="Arial"/>
          <w:sz w:val="20"/>
          <w:szCs w:val="20"/>
          <w:b w:val="1"/>
          <w:bCs w:val="1"/>
          <w:i w:val="1"/>
          <w:iCs w:val="1"/>
          <w:color w:val="00C1DE"/>
        </w:rPr>
        <w:t xml:space="preserve">Prior Public Company Directorships: </w:t>
      </w:r>
      <w:r>
        <w:rPr>
          <w:rFonts w:ascii="Arial" w:cs="Arial" w:eastAsia="Arial" w:hAnsi="Arial"/>
          <w:sz w:val="20"/>
          <w:szCs w:val="20"/>
          <w:color w:val="3E3935"/>
        </w:rPr>
        <w:t>The Progressive</w:t>
      </w:r>
      <w:r>
        <w:rPr>
          <w:rFonts w:ascii="Arial" w:cs="Arial" w:eastAsia="Arial" w:hAnsi="Arial"/>
          <w:sz w:val="20"/>
          <w:szCs w:val="20"/>
          <w:b w:val="1"/>
          <w:bCs w:val="1"/>
          <w:i w:val="1"/>
          <w:iCs w:val="1"/>
          <w:color w:val="00C1DE"/>
        </w:rPr>
        <w:t xml:space="preserve"> </w:t>
      </w:r>
      <w:r>
        <w:rPr>
          <w:rFonts w:ascii="Arial" w:cs="Arial" w:eastAsia="Arial" w:hAnsi="Arial"/>
          <w:sz w:val="20"/>
          <w:szCs w:val="20"/>
          <w:color w:val="3E3935"/>
        </w:rPr>
        <w:t>Corporation (not standing for re-election at Progressive’s annual meeting on May 12, 2023)</w:t>
      </w:r>
    </w:p>
    <w:p>
      <w:pPr>
        <w:spacing w:after="0" w:line="117" w:lineRule="exact"/>
        <w:rPr>
          <w:sz w:val="20"/>
          <w:szCs w:val="20"/>
          <w:color w:val="auto"/>
        </w:rPr>
      </w:pPr>
    </w:p>
    <w:p>
      <w:pPr>
        <w:jc w:val="both"/>
        <w:ind w:right="20"/>
        <w:spacing w:after="0" w:line="232" w:lineRule="auto"/>
        <w:rPr>
          <w:sz w:val="20"/>
          <w:szCs w:val="20"/>
          <w:color w:val="auto"/>
        </w:rPr>
      </w:pPr>
      <w:r>
        <w:rPr>
          <w:rFonts w:ascii="Arial" w:cs="Arial" w:eastAsia="Arial" w:hAnsi="Arial"/>
          <w:sz w:val="20"/>
          <w:szCs w:val="20"/>
          <w:b w:val="1"/>
          <w:bCs w:val="1"/>
          <w:i w:val="1"/>
          <w:iCs w:val="1"/>
          <w:color w:val="00C1DE"/>
        </w:rPr>
        <w:t xml:space="preserve">Prior Experience: </w:t>
      </w:r>
      <w:r>
        <w:rPr>
          <w:rFonts w:ascii="Arial" w:cs="Arial" w:eastAsia="Arial" w:hAnsi="Arial"/>
          <w:sz w:val="20"/>
          <w:szCs w:val="20"/>
          <w:color w:val="3E3935"/>
        </w:rPr>
        <w:t>Vice Admiral Tighe retired from the U.S.</w:t>
      </w:r>
      <w:r>
        <w:rPr>
          <w:rFonts w:ascii="Arial" w:cs="Arial" w:eastAsia="Arial" w:hAnsi="Arial"/>
          <w:sz w:val="20"/>
          <w:szCs w:val="20"/>
          <w:b w:val="1"/>
          <w:bCs w:val="1"/>
          <w:i w:val="1"/>
          <w:iCs w:val="1"/>
          <w:color w:val="00C1DE"/>
        </w:rPr>
        <w:t xml:space="preserve"> </w:t>
      </w:r>
      <w:r>
        <w:rPr>
          <w:rFonts w:ascii="Arial" w:cs="Arial" w:eastAsia="Arial" w:hAnsi="Arial"/>
          <w:sz w:val="20"/>
          <w:szCs w:val="20"/>
          <w:color w:val="3E3935"/>
        </w:rPr>
        <w:t>Navy in 2018, having served as the Deputy Chief of Naval Operations for Information Warfare and Director of Naval Intelligence. Her prior Flag Officer assignments include command of the Navy’s Fleet Cyber Command, President of the Naval Postgraduate School, and Deputy Director of Operations at U.S. Cyber Command.</w:t>
      </w:r>
    </w:p>
    <w:p>
      <w:pPr>
        <w:spacing w:after="0" w:line="118" w:lineRule="exact"/>
        <w:rPr>
          <w:sz w:val="20"/>
          <w:szCs w:val="20"/>
          <w:color w:val="auto"/>
        </w:rPr>
      </w:pPr>
    </w:p>
    <w:p>
      <w:pPr>
        <w:jc w:val="both"/>
        <w:spacing w:after="0" w:line="233" w:lineRule="auto"/>
        <w:rPr>
          <w:sz w:val="20"/>
          <w:szCs w:val="20"/>
          <w:color w:val="auto"/>
        </w:rPr>
      </w:pPr>
      <w:r>
        <w:rPr>
          <w:rFonts w:ascii="Arial" w:cs="Arial" w:eastAsia="Arial" w:hAnsi="Arial"/>
          <w:sz w:val="20"/>
          <w:szCs w:val="20"/>
          <w:b w:val="1"/>
          <w:bCs w:val="1"/>
          <w:i w:val="1"/>
          <w:iCs w:val="1"/>
          <w:color w:val="00C1DE"/>
        </w:rPr>
        <w:t xml:space="preserve">Reasons for Nomination: </w:t>
      </w:r>
      <w:r>
        <w:rPr>
          <w:rFonts w:ascii="Arial" w:cs="Arial" w:eastAsia="Arial" w:hAnsi="Arial"/>
          <w:sz w:val="20"/>
          <w:szCs w:val="20"/>
          <w:color w:val="3E3935"/>
        </w:rPr>
        <w:t>Vice Admiral Tighe cultivated her</w:t>
      </w:r>
      <w:r>
        <w:rPr>
          <w:rFonts w:ascii="Arial" w:cs="Arial" w:eastAsia="Arial" w:hAnsi="Arial"/>
          <w:sz w:val="20"/>
          <w:szCs w:val="20"/>
          <w:b w:val="1"/>
          <w:bCs w:val="1"/>
          <w:i w:val="1"/>
          <w:iCs w:val="1"/>
          <w:color w:val="00C1DE"/>
        </w:rPr>
        <w:t xml:space="preserve"> </w:t>
      </w:r>
      <w:r>
        <w:rPr>
          <w:rFonts w:ascii="Arial" w:cs="Arial" w:eastAsia="Arial" w:hAnsi="Arial"/>
          <w:sz w:val="20"/>
          <w:szCs w:val="20"/>
          <w:color w:val="3E3935"/>
        </w:rPr>
        <w:t>unique operational experience in complex cybersecurity matters, including operational technologies, information systems technology, technology risk management, and strategic assessments while serving in global operations roles for the U.S. Navy and the National Security Agency.</w:t>
      </w:r>
    </w:p>
    <w:p>
      <w:pPr>
        <w:spacing w:after="0" w:line="118" w:lineRule="exact"/>
        <w:rPr>
          <w:sz w:val="20"/>
          <w:szCs w:val="20"/>
          <w:color w:val="auto"/>
        </w:rPr>
      </w:pPr>
    </w:p>
    <w:p>
      <w:pPr>
        <w:jc w:val="both"/>
        <w:spacing w:after="0" w:line="243" w:lineRule="auto"/>
        <w:rPr>
          <w:sz w:val="20"/>
          <w:szCs w:val="20"/>
          <w:color w:val="auto"/>
        </w:rPr>
      </w:pPr>
      <w:r>
        <w:rPr>
          <w:rFonts w:ascii="Arial" w:cs="Arial" w:eastAsia="Arial" w:hAnsi="Arial"/>
          <w:sz w:val="19"/>
          <w:szCs w:val="19"/>
          <w:b w:val="1"/>
          <w:bCs w:val="1"/>
          <w:i w:val="1"/>
          <w:iCs w:val="1"/>
          <w:color w:val="00C1DE"/>
        </w:rPr>
        <w:t xml:space="preserve">Spotlight on ESG Expertise: </w:t>
      </w:r>
      <w:r>
        <w:rPr>
          <w:rFonts w:ascii="Arial" w:cs="Arial" w:eastAsia="Arial" w:hAnsi="Arial"/>
          <w:sz w:val="19"/>
          <w:szCs w:val="19"/>
          <w:color w:val="3E3935"/>
        </w:rPr>
        <w:t>Vice Admiral Tighe has</w:t>
      </w:r>
      <w:r>
        <w:rPr>
          <w:rFonts w:ascii="Arial" w:cs="Arial" w:eastAsia="Arial" w:hAnsi="Arial"/>
          <w:sz w:val="19"/>
          <w:szCs w:val="19"/>
          <w:b w:val="1"/>
          <w:bCs w:val="1"/>
          <w:i w:val="1"/>
          <w:iCs w:val="1"/>
          <w:color w:val="00C1DE"/>
        </w:rPr>
        <w:t xml:space="preserve"> </w:t>
      </w:r>
      <w:r>
        <w:rPr>
          <w:rFonts w:ascii="Arial" w:cs="Arial" w:eastAsia="Arial" w:hAnsi="Arial"/>
          <w:sz w:val="19"/>
          <w:szCs w:val="19"/>
          <w:color w:val="3E3935"/>
        </w:rPr>
        <w:t>developed social expertise – in particular, in cybersecurity and data privacy – during her service as Commander of Fleet Cyber Command and Deputy Chief of Naval Operations for Information Warfare, where she managed key cybersecurity policies for both operational and information technology. GM will benefit from her experience in this area as it deploys more advanced EV and AV technologies and deals with enhanced regulatory expectations.</w:t>
      </w:r>
    </w:p>
    <w:p>
      <w:pPr>
        <w:spacing w:after="0" w:line="127" w:lineRule="exact"/>
        <w:rPr>
          <w:sz w:val="20"/>
          <w:szCs w:val="20"/>
          <w:color w:val="auto"/>
        </w:rPr>
      </w:pPr>
    </w:p>
    <w:p>
      <w:pPr>
        <w:ind w:left="4900"/>
        <w:spacing w:after="0"/>
        <w:rPr>
          <w:sz w:val="20"/>
          <w:szCs w:val="20"/>
          <w:color w:val="auto"/>
        </w:rPr>
      </w:pPr>
      <w:r>
        <w:rPr>
          <w:rFonts w:ascii="Arial" w:cs="Arial" w:eastAsia="Arial" w:hAnsi="Arial"/>
          <w:sz w:val="14"/>
          <w:szCs w:val="14"/>
          <w:color w:val="0071CE"/>
        </w:rPr>
        <w:t>19</w:t>
      </w:r>
    </w:p>
    <w:p>
      <w:pPr>
        <w:sectPr>
          <w:pgSz w:w="11900" w:h="16838" w:orient="portrait"/>
          <w:cols w:equalWidth="0" w:num="2">
            <w:col w:w="5200" w:space="560"/>
            <w:col w:w="5380"/>
          </w:cols>
          <w:pgMar w:left="320" w:top="482" w:right="4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176530</wp:posOffset>
            </wp:positionH>
            <wp:positionV relativeFrom="paragraph">
              <wp:posOffset>208280</wp:posOffset>
            </wp:positionV>
            <wp:extent cx="1268730" cy="126873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268730" cy="12687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2660"/>
        <w:spacing w:after="0"/>
        <w:rPr>
          <w:sz w:val="20"/>
          <w:szCs w:val="20"/>
          <w:color w:val="auto"/>
        </w:rPr>
      </w:pPr>
      <w:r>
        <w:rPr>
          <w:rFonts w:ascii="Arial" w:cs="Arial" w:eastAsia="Arial" w:hAnsi="Arial"/>
          <w:sz w:val="20"/>
          <w:szCs w:val="20"/>
          <w:b w:val="1"/>
          <w:bCs w:val="1"/>
          <w:color w:val="3E3935"/>
        </w:rPr>
        <w:t>Director Since</w:t>
      </w:r>
      <w:r>
        <w:rPr>
          <w:rFonts w:ascii="Arial" w:cs="Arial" w:eastAsia="Arial" w:hAnsi="Arial"/>
          <w:sz w:val="20"/>
          <w:szCs w:val="20"/>
          <w:color w:val="3E3935"/>
        </w:rPr>
        <w:t>: 2018</w:t>
      </w:r>
    </w:p>
    <w:p>
      <w:pPr>
        <w:ind w:left="2660"/>
        <w:spacing w:after="0" w:line="231" w:lineRule="auto"/>
        <w:rPr>
          <w:sz w:val="20"/>
          <w:szCs w:val="20"/>
          <w:color w:val="auto"/>
        </w:rPr>
      </w:pPr>
      <w:r>
        <w:rPr>
          <w:rFonts w:ascii="Arial" w:cs="Arial" w:eastAsia="Arial" w:hAnsi="Arial"/>
          <w:sz w:val="20"/>
          <w:szCs w:val="20"/>
          <w:b w:val="1"/>
          <w:bCs w:val="1"/>
          <w:color w:val="3E3935"/>
        </w:rPr>
        <w:t>Age</w:t>
      </w:r>
      <w:r>
        <w:rPr>
          <w:rFonts w:ascii="Arial" w:cs="Arial" w:eastAsia="Arial" w:hAnsi="Arial"/>
          <w:sz w:val="20"/>
          <w:szCs w:val="20"/>
          <w:color w:val="3E3935"/>
        </w:rPr>
        <w:t>: 56</w:t>
      </w:r>
    </w:p>
    <w:p>
      <w:pPr>
        <w:ind w:left="2660"/>
        <w:spacing w:after="0" w:line="226" w:lineRule="auto"/>
        <w:rPr>
          <w:sz w:val="20"/>
          <w:szCs w:val="20"/>
          <w:color w:val="auto"/>
        </w:rPr>
      </w:pPr>
      <w:r>
        <w:rPr>
          <w:rFonts w:ascii="Arial" w:cs="Arial" w:eastAsia="Arial" w:hAnsi="Arial"/>
          <w:sz w:val="20"/>
          <w:szCs w:val="20"/>
          <w:b w:val="1"/>
          <w:bCs w:val="1"/>
          <w:color w:val="3E3935"/>
        </w:rPr>
        <w:t>Independent</w:t>
      </w:r>
      <w:r>
        <w:rPr>
          <w:rFonts w:ascii="Arial" w:cs="Arial" w:eastAsia="Arial" w:hAnsi="Arial"/>
          <w:sz w:val="20"/>
          <w:szCs w:val="20"/>
          <w:color w:val="3E3935"/>
        </w:rPr>
        <w:t>: Yes</w:t>
      </w:r>
    </w:p>
    <w:p>
      <w:pPr>
        <w:ind w:left="2660"/>
        <w:spacing w:after="0" w:line="225" w:lineRule="auto"/>
        <w:rPr>
          <w:sz w:val="20"/>
          <w:szCs w:val="20"/>
          <w:color w:val="auto"/>
        </w:rPr>
      </w:pPr>
      <w:r>
        <w:rPr>
          <w:rFonts w:ascii="Arial" w:cs="Arial" w:eastAsia="Arial" w:hAnsi="Arial"/>
          <w:sz w:val="20"/>
          <w:szCs w:val="20"/>
          <w:b w:val="1"/>
          <w:bCs w:val="1"/>
          <w:color w:val="3E3935"/>
        </w:rPr>
        <w:t>Gender</w:t>
      </w:r>
      <w:r>
        <w:rPr>
          <w:rFonts w:ascii="Arial" w:cs="Arial" w:eastAsia="Arial" w:hAnsi="Arial"/>
          <w:sz w:val="20"/>
          <w:szCs w:val="20"/>
          <w:color w:val="3E3935"/>
        </w:rPr>
        <w:t>: Male</w:t>
      </w:r>
    </w:p>
    <w:p>
      <w:pPr>
        <w:spacing w:after="0" w:line="1" w:lineRule="exact"/>
        <w:rPr>
          <w:sz w:val="20"/>
          <w:szCs w:val="20"/>
          <w:color w:val="auto"/>
        </w:rPr>
      </w:pPr>
    </w:p>
    <w:p>
      <w:pPr>
        <w:ind w:left="2660"/>
        <w:spacing w:after="0"/>
        <w:rPr>
          <w:sz w:val="20"/>
          <w:szCs w:val="20"/>
          <w:color w:val="auto"/>
        </w:rPr>
      </w:pPr>
      <w:r>
        <w:rPr>
          <w:rFonts w:ascii="Arial" w:cs="Arial" w:eastAsia="Arial" w:hAnsi="Arial"/>
          <w:sz w:val="20"/>
          <w:szCs w:val="20"/>
          <w:b w:val="1"/>
          <w:bCs w:val="1"/>
          <w:color w:val="3E3935"/>
        </w:rPr>
        <w:t>Race/Ethnicity</w:t>
      </w:r>
      <w:r>
        <w:rPr>
          <w:rFonts w:ascii="Arial" w:cs="Arial" w:eastAsia="Arial" w:hAnsi="Arial"/>
          <w:sz w:val="20"/>
          <w:szCs w:val="20"/>
          <w:color w:val="3E3935"/>
        </w:rPr>
        <w:t>: White</w:t>
      </w:r>
    </w:p>
    <w:p>
      <w:pPr>
        <w:spacing w:after="0" w:line="200" w:lineRule="exact"/>
        <w:rPr>
          <w:sz w:val="20"/>
          <w:szCs w:val="20"/>
          <w:color w:val="auto"/>
        </w:rPr>
      </w:pPr>
    </w:p>
    <w:p>
      <w:pPr>
        <w:spacing w:after="0" w:line="342" w:lineRule="exact"/>
        <w:rPr>
          <w:sz w:val="20"/>
          <w:szCs w:val="20"/>
          <w:color w:val="auto"/>
        </w:rPr>
      </w:pPr>
    </w:p>
    <w:p>
      <w:pPr>
        <w:jc w:val="center"/>
        <w:ind w:right="4819"/>
        <w:spacing w:after="0"/>
        <w:rPr>
          <w:sz w:val="20"/>
          <w:szCs w:val="20"/>
          <w:color w:val="auto"/>
        </w:rPr>
      </w:pPr>
      <w:r>
        <w:rPr>
          <w:rFonts w:ascii="Arial" w:cs="Arial" w:eastAsia="Arial" w:hAnsi="Arial"/>
          <w:sz w:val="22"/>
          <w:szCs w:val="22"/>
          <w:b w:val="1"/>
          <w:bCs w:val="1"/>
          <w:color w:val="0071CE"/>
        </w:rPr>
        <w:t>Devin N. Wenig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54610</wp:posOffset>
            </wp:positionV>
            <wp:extent cx="3231515"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3231515" cy="8890"/>
                    </a:xfrm>
                    <a:prstGeom prst="rect">
                      <a:avLst/>
                    </a:prstGeom>
                    <a:noFill/>
                  </pic:spPr>
                </pic:pic>
              </a:graphicData>
            </a:graphic>
          </wp:anchor>
        </w:drawing>
      </w:r>
    </w:p>
    <w:p>
      <w:pPr>
        <w:spacing w:after="0" w:line="152" w:lineRule="exact"/>
        <w:rPr>
          <w:sz w:val="20"/>
          <w:szCs w:val="20"/>
          <w:color w:val="auto"/>
        </w:rPr>
      </w:pPr>
    </w:p>
    <w:p>
      <w:pPr>
        <w:jc w:val="center"/>
        <w:ind w:right="4819"/>
        <w:spacing w:after="0"/>
        <w:rPr>
          <w:sz w:val="20"/>
          <w:szCs w:val="20"/>
          <w:color w:val="auto"/>
        </w:rPr>
      </w:pPr>
      <w:r>
        <w:rPr>
          <w:rFonts w:ascii="Arial" w:cs="Arial" w:eastAsia="Arial" w:hAnsi="Arial"/>
          <w:sz w:val="20"/>
          <w:szCs w:val="20"/>
          <w:i w:val="1"/>
          <w:iCs w:val="1"/>
          <w:color w:val="3E3935"/>
        </w:rPr>
        <w:t>Retired President &amp; CEO,</w:t>
      </w:r>
    </w:p>
    <w:p>
      <w:pPr>
        <w:spacing w:after="0" w:line="4" w:lineRule="exact"/>
        <w:rPr>
          <w:sz w:val="20"/>
          <w:szCs w:val="20"/>
          <w:color w:val="auto"/>
        </w:rPr>
      </w:pPr>
    </w:p>
    <w:p>
      <w:pPr>
        <w:jc w:val="center"/>
        <w:ind w:right="4819"/>
        <w:spacing w:after="0"/>
        <w:rPr>
          <w:sz w:val="20"/>
          <w:szCs w:val="20"/>
          <w:color w:val="auto"/>
        </w:rPr>
      </w:pPr>
      <w:r>
        <w:rPr>
          <w:rFonts w:ascii="Arial" w:cs="Arial" w:eastAsia="Arial" w:hAnsi="Arial"/>
          <w:sz w:val="20"/>
          <w:szCs w:val="20"/>
          <w:i w:val="1"/>
          <w:iCs w:val="1"/>
          <w:color w:val="3E3935"/>
        </w:rPr>
        <w:t>eBay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45085</wp:posOffset>
            </wp:positionV>
            <wp:extent cx="323151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3231515" cy="8255"/>
                    </a:xfrm>
                    <a:prstGeom prst="rect">
                      <a:avLst/>
                    </a:prstGeom>
                    <a:noFill/>
                  </pic:spPr>
                </pic:pic>
              </a:graphicData>
            </a:graphic>
          </wp:anchor>
        </w:drawing>
      </w:r>
    </w:p>
    <w:p>
      <w:pPr>
        <w:spacing w:after="0" w:line="124" w:lineRule="exact"/>
        <w:rPr>
          <w:sz w:val="20"/>
          <w:szCs w:val="20"/>
          <w:color w:val="auto"/>
        </w:rPr>
      </w:pPr>
    </w:p>
    <w:p>
      <w:pPr>
        <w:ind w:left="120"/>
        <w:spacing w:after="0"/>
        <w:rPr>
          <w:sz w:val="20"/>
          <w:szCs w:val="20"/>
          <w:color w:val="auto"/>
        </w:rPr>
      </w:pPr>
      <w:r>
        <w:rPr>
          <w:rFonts w:ascii="Arial" w:cs="Arial" w:eastAsia="Arial" w:hAnsi="Arial"/>
          <w:sz w:val="20"/>
          <w:szCs w:val="20"/>
          <w:b w:val="1"/>
          <w:bCs w:val="1"/>
          <w:i w:val="1"/>
          <w:iCs w:val="1"/>
          <w:color w:val="00C1DE"/>
        </w:rPr>
        <w:t xml:space="preserve">Committees: </w:t>
      </w:r>
      <w:r>
        <w:rPr>
          <w:rFonts w:ascii="Arial" w:cs="Arial" w:eastAsia="Arial" w:hAnsi="Arial"/>
          <w:sz w:val="20"/>
          <w:szCs w:val="20"/>
          <w:color w:val="3E3935"/>
        </w:rPr>
        <w:t>Risk and Cybersecurity</w:t>
      </w:r>
    </w:p>
    <w:p>
      <w:pPr>
        <w:spacing w:after="0" w:line="148" w:lineRule="exact"/>
        <w:rPr>
          <w:sz w:val="20"/>
          <w:szCs w:val="20"/>
          <w:color w:val="auto"/>
        </w:rPr>
      </w:pPr>
    </w:p>
    <w:p>
      <w:pPr>
        <w:ind w:left="120"/>
        <w:spacing w:after="0"/>
        <w:rPr>
          <w:sz w:val="20"/>
          <w:szCs w:val="20"/>
          <w:color w:val="auto"/>
        </w:rPr>
      </w:pPr>
      <w:r>
        <w:rPr>
          <w:rFonts w:ascii="Arial" w:cs="Arial" w:eastAsia="Arial" w:hAnsi="Arial"/>
          <w:sz w:val="20"/>
          <w:szCs w:val="20"/>
          <w:b w:val="1"/>
          <w:bCs w:val="1"/>
          <w:i w:val="1"/>
          <w:iCs w:val="1"/>
          <w:color w:val="00C1DE"/>
        </w:rPr>
        <w:t xml:space="preserve">Other Public Company Directorships: </w:t>
      </w:r>
      <w:r>
        <w:rPr>
          <w:rFonts w:ascii="Arial" w:cs="Arial" w:eastAsia="Arial" w:hAnsi="Arial"/>
          <w:sz w:val="20"/>
          <w:szCs w:val="20"/>
          <w:color w:val="3E3935"/>
        </w:rPr>
        <w:t>None</w:t>
      </w:r>
    </w:p>
    <w:p>
      <w:pPr>
        <w:spacing w:after="0" w:line="148" w:lineRule="exact"/>
        <w:rPr>
          <w:sz w:val="20"/>
          <w:szCs w:val="20"/>
          <w:color w:val="auto"/>
        </w:rPr>
      </w:pPr>
    </w:p>
    <w:p>
      <w:pPr>
        <w:ind w:left="120"/>
        <w:spacing w:after="0"/>
        <w:rPr>
          <w:sz w:val="20"/>
          <w:szCs w:val="20"/>
          <w:color w:val="auto"/>
        </w:rPr>
      </w:pPr>
      <w:r>
        <w:rPr>
          <w:rFonts w:ascii="Arial" w:cs="Arial" w:eastAsia="Arial" w:hAnsi="Arial"/>
          <w:sz w:val="20"/>
          <w:szCs w:val="20"/>
          <w:b w:val="1"/>
          <w:bCs w:val="1"/>
          <w:i w:val="1"/>
          <w:iCs w:val="1"/>
          <w:color w:val="00C1DE"/>
        </w:rPr>
        <w:t xml:space="preserve">Prior Public Company Directorships: </w:t>
      </w:r>
      <w:r>
        <w:rPr>
          <w:rFonts w:ascii="Arial" w:cs="Arial" w:eastAsia="Arial" w:hAnsi="Arial"/>
          <w:sz w:val="20"/>
          <w:szCs w:val="20"/>
          <w:color w:val="3E3935"/>
        </w:rPr>
        <w:t>eBay Inc.</w:t>
      </w:r>
    </w:p>
    <w:p>
      <w:pPr>
        <w:spacing w:after="0" w:line="148" w:lineRule="exact"/>
        <w:rPr>
          <w:sz w:val="20"/>
          <w:szCs w:val="20"/>
          <w:color w:val="auto"/>
        </w:rPr>
      </w:pPr>
    </w:p>
    <w:p>
      <w:pPr>
        <w:jc w:val="both"/>
        <w:ind w:left="120" w:right="4939"/>
        <w:spacing w:after="0" w:line="230" w:lineRule="auto"/>
        <w:rPr>
          <w:sz w:val="20"/>
          <w:szCs w:val="20"/>
          <w:color w:val="auto"/>
        </w:rPr>
      </w:pPr>
      <w:r>
        <w:rPr>
          <w:rFonts w:ascii="Arial" w:cs="Arial" w:eastAsia="Arial" w:hAnsi="Arial"/>
          <w:sz w:val="20"/>
          <w:szCs w:val="20"/>
          <w:b w:val="1"/>
          <w:bCs w:val="1"/>
          <w:i w:val="1"/>
          <w:iCs w:val="1"/>
          <w:color w:val="00C1DE"/>
        </w:rPr>
        <w:t xml:space="preserve">Prior Experience: </w:t>
      </w:r>
      <w:r>
        <w:rPr>
          <w:rFonts w:ascii="Arial" w:cs="Arial" w:eastAsia="Arial" w:hAnsi="Arial"/>
          <w:sz w:val="20"/>
          <w:szCs w:val="20"/>
          <w:color w:val="3E3935"/>
        </w:rPr>
        <w:t>Mr. Wenig served as President and</w:t>
      </w:r>
      <w:r>
        <w:rPr>
          <w:rFonts w:ascii="Arial" w:cs="Arial" w:eastAsia="Arial" w:hAnsi="Arial"/>
          <w:sz w:val="20"/>
          <w:szCs w:val="20"/>
          <w:b w:val="1"/>
          <w:bCs w:val="1"/>
          <w:i w:val="1"/>
          <w:iCs w:val="1"/>
          <w:color w:val="00C1DE"/>
        </w:rPr>
        <w:t xml:space="preserve"> </w:t>
      </w:r>
      <w:r>
        <w:rPr>
          <w:rFonts w:ascii="Arial" w:cs="Arial" w:eastAsia="Arial" w:hAnsi="Arial"/>
          <w:sz w:val="20"/>
          <w:szCs w:val="20"/>
          <w:color w:val="3E3935"/>
        </w:rPr>
        <w:t>CEO of eBay Inc. and as a member of its board of directors from July 2015 to August 2019. Prior to that time, he served as President of eBay’s Marketplaces business from September 2011 to July 2015. Prior to joining eBay, Mr. Wenig was CEO of Thomson Reuters Corporation’s largest division, Thomson Reuters Markets, from 2008 to 2011; Chief Operating Officer of Reuters Group plc from 2006 to 2008; and President of Reuters’ business divisions from 2003 to 2006.</w:t>
      </w:r>
    </w:p>
    <w:p>
      <w:pPr>
        <w:spacing w:after="0" w:line="118" w:lineRule="exact"/>
        <w:rPr>
          <w:sz w:val="20"/>
          <w:szCs w:val="20"/>
          <w:color w:val="auto"/>
        </w:rPr>
      </w:pPr>
    </w:p>
    <w:p>
      <w:pPr>
        <w:jc w:val="both"/>
        <w:ind w:left="120" w:right="4939"/>
        <w:spacing w:after="0" w:line="248" w:lineRule="auto"/>
        <w:rPr>
          <w:sz w:val="20"/>
          <w:szCs w:val="20"/>
          <w:color w:val="auto"/>
        </w:rPr>
      </w:pPr>
      <w:r>
        <w:rPr>
          <w:rFonts w:ascii="Arial" w:cs="Arial" w:eastAsia="Arial" w:hAnsi="Arial"/>
          <w:sz w:val="19"/>
          <w:szCs w:val="19"/>
          <w:b w:val="1"/>
          <w:bCs w:val="1"/>
          <w:i w:val="1"/>
          <w:iCs w:val="1"/>
          <w:color w:val="00C1DE"/>
        </w:rPr>
        <w:t xml:space="preserve">Reasons for Nomination: </w:t>
      </w:r>
      <w:r>
        <w:rPr>
          <w:rFonts w:ascii="Arial" w:cs="Arial" w:eastAsia="Arial" w:hAnsi="Arial"/>
          <w:sz w:val="19"/>
          <w:szCs w:val="19"/>
          <w:color w:val="3E3935"/>
        </w:rPr>
        <w:t>Mr. Wenig has extensive</w:t>
      </w:r>
      <w:r>
        <w:rPr>
          <w:rFonts w:ascii="Arial" w:cs="Arial" w:eastAsia="Arial" w:hAnsi="Arial"/>
          <w:sz w:val="19"/>
          <w:szCs w:val="19"/>
          <w:b w:val="1"/>
          <w:bCs w:val="1"/>
          <w:i w:val="1"/>
          <w:iCs w:val="1"/>
          <w:color w:val="00C1DE"/>
        </w:rPr>
        <w:t xml:space="preserve"> </w:t>
      </w:r>
      <w:r>
        <w:rPr>
          <w:rFonts w:ascii="Arial" w:cs="Arial" w:eastAsia="Arial" w:hAnsi="Arial"/>
          <w:sz w:val="19"/>
          <w:szCs w:val="19"/>
          <w:color w:val="3E3935"/>
        </w:rPr>
        <w:t>senior leadership experience in software and technology, global operations, and strategic planning. He also has significant expertise leading both high-growth companies from the start-up phase and large, complex organizations.</w:t>
      </w:r>
    </w:p>
    <w:p>
      <w:pPr>
        <w:spacing w:after="0" w:line="113" w:lineRule="exact"/>
        <w:rPr>
          <w:sz w:val="20"/>
          <w:szCs w:val="20"/>
          <w:color w:val="auto"/>
        </w:rPr>
      </w:pPr>
    </w:p>
    <w:p>
      <w:pPr>
        <w:jc w:val="both"/>
        <w:ind w:left="120" w:right="4939"/>
        <w:spacing w:after="0" w:line="243" w:lineRule="auto"/>
        <w:rPr>
          <w:sz w:val="20"/>
          <w:szCs w:val="20"/>
          <w:color w:val="auto"/>
        </w:rPr>
      </w:pPr>
      <w:r>
        <w:rPr>
          <w:rFonts w:ascii="Arial" w:cs="Arial" w:eastAsia="Arial" w:hAnsi="Arial"/>
          <w:sz w:val="19"/>
          <w:szCs w:val="19"/>
          <w:b w:val="1"/>
          <w:bCs w:val="1"/>
          <w:i w:val="1"/>
          <w:iCs w:val="1"/>
          <w:color w:val="00C1DE"/>
        </w:rPr>
        <w:t xml:space="preserve">Spotlight on ESG Expertise: </w:t>
      </w:r>
      <w:r>
        <w:rPr>
          <w:rFonts w:ascii="Arial" w:cs="Arial" w:eastAsia="Arial" w:hAnsi="Arial"/>
          <w:sz w:val="19"/>
          <w:szCs w:val="19"/>
          <w:color w:val="3E3935"/>
        </w:rPr>
        <w:t>Mr. Wenig has developed</w:t>
      </w:r>
      <w:r>
        <w:rPr>
          <w:rFonts w:ascii="Arial" w:cs="Arial" w:eastAsia="Arial" w:hAnsi="Arial"/>
          <w:sz w:val="19"/>
          <w:szCs w:val="19"/>
          <w:b w:val="1"/>
          <w:bCs w:val="1"/>
          <w:i w:val="1"/>
          <w:iCs w:val="1"/>
          <w:color w:val="00C1DE"/>
        </w:rPr>
        <w:t xml:space="preserve"> </w:t>
      </w:r>
      <w:r>
        <w:rPr>
          <w:rFonts w:ascii="Arial" w:cs="Arial" w:eastAsia="Arial" w:hAnsi="Arial"/>
          <w:sz w:val="19"/>
          <w:szCs w:val="19"/>
          <w:color w:val="3E3935"/>
        </w:rPr>
        <w:t>social expertise as founder of the Wenig Family Charitable Trust. In that capacity, he helps facilitate technology and data-led solutions to issues of inequality and access in the United States. GM benefits from his experience in this area as it expands its philanthropic efforts, such as our commitment to climate justice through our Climate Fund, dedicated to helping close equity gaps in the transition to EVs and other sustainable technology.</w:t>
      </w:r>
    </w:p>
    <w:p>
      <w:pPr>
        <w:spacing w:after="0" w:line="127" w:lineRule="exact"/>
        <w:rPr>
          <w:sz w:val="20"/>
          <w:szCs w:val="20"/>
          <w:color w:val="auto"/>
        </w:rPr>
      </w:pPr>
    </w:p>
    <w:p>
      <w:pPr>
        <w:ind w:left="120"/>
        <w:spacing w:after="0"/>
        <w:rPr>
          <w:sz w:val="20"/>
          <w:szCs w:val="20"/>
          <w:color w:val="auto"/>
        </w:rPr>
      </w:pPr>
      <w:r>
        <w:rPr>
          <w:rFonts w:ascii="Arial" w:cs="Arial" w:eastAsia="Arial" w:hAnsi="Arial"/>
          <w:sz w:val="14"/>
          <w:szCs w:val="14"/>
          <w:color w:val="0071CE"/>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wp:posOffset>
            </wp:positionH>
            <wp:positionV relativeFrom="paragraph">
              <wp:posOffset>-95885</wp:posOffset>
            </wp:positionV>
            <wp:extent cx="5983605" cy="10287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5983605" cy="102870"/>
                    </a:xfrm>
                    <a:prstGeom prst="rect">
                      <a:avLst/>
                    </a:prstGeom>
                    <a:noFill/>
                  </pic:spPr>
                </pic:pic>
              </a:graphicData>
            </a:graphic>
          </wp:anchor>
        </w:drawing>
      </w:r>
    </w:p>
    <w:p>
      <w:pPr>
        <w:sectPr>
          <w:pgSz w:w="11900" w:h="16838" w:orient="portrait"/>
          <w:cols w:equalWidth="0" w:num="1">
            <w:col w:w="10139"/>
          </w:cols>
          <w:pgMar w:left="320" w:top="482" w:right="1440"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28"/>
          <w:szCs w:val="28"/>
          <w:color w:val="3E3935"/>
        </w:rPr>
        <w:t>Board Membership Criteria, Refreshment, and Succession Planning</w:t>
      </w:r>
    </w:p>
    <w:p>
      <w:pPr>
        <w:sectPr>
          <w:pgSz w:w="11900" w:h="16838" w:orient="portrait"/>
          <w:cols w:equalWidth="0" w:num="1">
            <w:col w:w="11140"/>
          </w:cols>
          <w:pgMar w:left="320" w:top="482" w:right="439" w:bottom="1440" w:gutter="0" w:footer="0" w:header="0"/>
        </w:sectPr>
      </w:pPr>
    </w:p>
    <w:p>
      <w:pPr>
        <w:spacing w:after="0" w:line="323" w:lineRule="exact"/>
        <w:rPr>
          <w:sz w:val="20"/>
          <w:szCs w:val="20"/>
          <w:color w:val="auto"/>
        </w:rPr>
      </w:pPr>
    </w:p>
    <w:p>
      <w:pPr>
        <w:jc w:val="both"/>
        <w:ind w:left="120"/>
        <w:spacing w:after="0" w:line="241" w:lineRule="auto"/>
        <w:rPr>
          <w:sz w:val="20"/>
          <w:szCs w:val="20"/>
          <w:color w:val="auto"/>
        </w:rPr>
      </w:pPr>
      <w:r>
        <w:rPr>
          <w:rFonts w:ascii="Arial" w:cs="Arial" w:eastAsia="Arial" w:hAnsi="Arial"/>
          <w:sz w:val="19"/>
          <w:szCs w:val="19"/>
          <w:color w:val="3E3935"/>
        </w:rPr>
        <w:t>The selection of qualified directors is fundamental to the Board’s successful oversight of GM’s strategy and enterprise risks. We seek directors who bring diverse viewpoints and perspectives, possess a variety of skills, professional experiences, and backgrounds, and effectively represent the long-term interests of shareholders. The priorities for recruiting new directors are continually evolving based on the Company’s strategic needs. It is important that the Board remains a strategic asset capable of overseeing and helping management address the risks, trends, and opportunities GM is facing now and in the future.</w:t>
      </w:r>
    </w:p>
    <w:p>
      <w:pPr>
        <w:spacing w:after="0" w:line="111" w:lineRule="exact"/>
        <w:rPr>
          <w:sz w:val="20"/>
          <w:szCs w:val="20"/>
          <w:color w:val="auto"/>
        </w:rPr>
      </w:pPr>
    </w:p>
    <w:p>
      <w:pPr>
        <w:jc w:val="both"/>
        <w:ind w:left="120"/>
        <w:spacing w:after="0" w:line="229" w:lineRule="auto"/>
        <w:rPr>
          <w:sz w:val="20"/>
          <w:szCs w:val="20"/>
          <w:color w:val="auto"/>
        </w:rPr>
      </w:pPr>
      <w:r>
        <w:rPr>
          <w:rFonts w:ascii="Arial" w:cs="Arial" w:eastAsia="Arial" w:hAnsi="Arial"/>
          <w:sz w:val="20"/>
          <w:szCs w:val="20"/>
          <w:color w:val="3E3935"/>
        </w:rPr>
        <w:t>In evaluating potential director candidates, the Governance Committee considers, among other factors, the criteria included on the skills matrix on page 13, the skills and experience of our current directors, and certain additional characteristics that it believes one or more directors of the Board should possess based on an assessment of the needs of the Board at that time. In every case, director candidates must be able to contribute significantly to the Board’s discussion and decision-making on the broad array of complex issues facing GM. The Governance Committee also engages a reputable, qualified search firm to help identify and evaluate potential candidates. In addition, GM’s Corporate Governance Guidelines</w:t>
      </w:r>
    </w:p>
    <w:p>
      <w:pPr>
        <w:spacing w:after="0" w:line="20" w:lineRule="exact"/>
        <w:rPr>
          <w:sz w:val="20"/>
          <w:szCs w:val="20"/>
          <w:color w:val="auto"/>
        </w:rPr>
      </w:pPr>
      <w:r>
        <w:rPr>
          <w:sz w:val="20"/>
          <w:szCs w:val="20"/>
          <w:color w:val="auto"/>
        </w:rPr>
        <w:br w:type="column"/>
      </w:r>
    </w:p>
    <w:p>
      <w:pPr>
        <w:spacing w:after="0" w:line="303" w:lineRule="exact"/>
        <w:rPr>
          <w:sz w:val="20"/>
          <w:szCs w:val="20"/>
          <w:color w:val="auto"/>
        </w:rPr>
      </w:pPr>
    </w:p>
    <w:p>
      <w:pPr>
        <w:jc w:val="both"/>
        <w:ind w:right="20"/>
        <w:spacing w:after="0" w:line="237" w:lineRule="auto"/>
        <w:rPr>
          <w:sz w:val="20"/>
          <w:szCs w:val="20"/>
          <w:color w:val="auto"/>
        </w:rPr>
      </w:pPr>
      <w:r>
        <w:rPr>
          <w:rFonts w:ascii="Arial" w:cs="Arial" w:eastAsia="Arial" w:hAnsi="Arial"/>
          <w:sz w:val="20"/>
          <w:szCs w:val="20"/>
          <w:color w:val="3E3935"/>
        </w:rPr>
        <w:t>include the general policy that non-employee directors will not stand for election after reaching age 72, with any exceptions requiring approval by the Board (there are currently no exceptions)</w:t>
      </w:r>
      <w:r>
        <w:rPr>
          <w:rFonts w:ascii="Arial" w:cs="Arial" w:eastAsia="Arial" w:hAnsi="Arial"/>
          <w:sz w:val="20"/>
          <w:szCs w:val="20"/>
          <w:i w:val="1"/>
          <w:iCs w:val="1"/>
          <w:color w:val="3E3935"/>
        </w:rPr>
        <w:t>.</w:t>
      </w:r>
    </w:p>
    <w:p>
      <w:pPr>
        <w:spacing w:after="0" w:line="104" w:lineRule="exact"/>
        <w:rPr>
          <w:sz w:val="20"/>
          <w:szCs w:val="20"/>
          <w:color w:val="auto"/>
        </w:rPr>
      </w:pPr>
    </w:p>
    <w:p>
      <w:pPr>
        <w:jc w:val="both"/>
        <w:spacing w:after="0"/>
        <w:rPr>
          <w:sz w:val="20"/>
          <w:szCs w:val="20"/>
          <w:color w:val="auto"/>
        </w:rPr>
      </w:pPr>
      <w:r>
        <w:rPr>
          <w:rFonts w:ascii="Arial" w:cs="Arial" w:eastAsia="Arial" w:hAnsi="Arial"/>
          <w:sz w:val="19"/>
          <w:szCs w:val="19"/>
          <w:color w:val="3E3935"/>
        </w:rPr>
        <w:t>In 2022, the Governance Committee reviewed its Board succession plan and five-year roadmap on a quarterly basis to ensure the Board holds the relevant and necessary talent to serve the Company and its shareholders. The Governance Committee believes its succession planning and assessment will allow it to continue important recruitment efforts and identify new skill sets required as the Company’s strategy evolves. As a result of this work, the Board elected Ms. Crevoiserat and Mr. McNeill in 2022 and nominated Vice Admiral Tighe in 2023. The Governance Committee made these nominations by employing the process described below in the “Director Recruitment Process” section on page 22 and considering, among other factors, shareholders’ interest in board refreshment, preserving the Board’s diversity, and adding directors with experience in technology, industry, marketing, and cybersecurity. The Board believes its new directors will help ensure a seamless transition over the next several years as some directors retire in due course, as well as bolster its expertise as GM continues to execute its EV and growth strategy.</w:t>
      </w:r>
    </w:p>
    <w:p>
      <w:pPr>
        <w:spacing w:after="0" w:line="413" w:lineRule="exact"/>
        <w:rPr>
          <w:sz w:val="20"/>
          <w:szCs w:val="20"/>
          <w:color w:val="auto"/>
        </w:rPr>
      </w:pPr>
    </w:p>
    <w:p>
      <w:pPr>
        <w:sectPr>
          <w:pgSz w:w="11900" w:h="16838" w:orient="portrait"/>
          <w:cols w:equalWidth="0" w:num="2">
            <w:col w:w="5400" w:space="340"/>
            <w:col w:w="5400"/>
          </w:cols>
          <w:pgMar w:left="320" w:top="482" w:right="439" w:bottom="1440" w:gutter="0" w:footer="0" w:header="0"/>
          <w:type w:val="continuous"/>
        </w:sectPr>
      </w:pPr>
    </w:p>
    <w:p>
      <w:pPr>
        <w:spacing w:after="0" w:line="240" w:lineRule="exact"/>
        <w:rPr>
          <w:sz w:val="20"/>
          <w:szCs w:val="20"/>
          <w:color w:val="auto"/>
        </w:rPr>
      </w:pPr>
    </w:p>
    <w:p>
      <w:pPr>
        <w:ind w:left="660" w:hanging="544"/>
        <w:spacing w:after="0"/>
        <w:tabs>
          <w:tab w:leader="none" w:pos="660" w:val="left"/>
        </w:tabs>
        <w:numPr>
          <w:ilvl w:val="0"/>
          <w:numId w:val="20"/>
        </w:numPr>
        <w:rPr>
          <w:rFonts w:ascii="Times New Roman" w:cs="Times New Roman" w:eastAsia="Times New Roman" w:hAnsi="Times New Roman"/>
          <w:sz w:val="19"/>
          <w:szCs w:val="19"/>
          <w:color w:val="0071CE"/>
        </w:rPr>
      </w:pPr>
      <w:r>
        <w:rPr>
          <w:rFonts w:ascii="Arial" w:cs="Arial" w:eastAsia="Arial" w:hAnsi="Arial"/>
          <w:sz w:val="25"/>
          <w:szCs w:val="25"/>
          <w:color w:val="3E3935"/>
        </w:rPr>
        <w:t>Board Diversity</w:t>
      </w:r>
    </w:p>
    <w:p>
      <w:pPr>
        <w:spacing w:after="0" w:line="213" w:lineRule="exact"/>
        <w:rPr>
          <w:sz w:val="20"/>
          <w:szCs w:val="20"/>
          <w:color w:val="auto"/>
        </w:rPr>
      </w:pPr>
    </w:p>
    <w:p>
      <w:pPr>
        <w:jc w:val="both"/>
        <w:ind w:left="120"/>
        <w:spacing w:after="0" w:line="230" w:lineRule="auto"/>
        <w:rPr>
          <w:sz w:val="20"/>
          <w:szCs w:val="20"/>
          <w:color w:val="auto"/>
        </w:rPr>
      </w:pPr>
      <w:r>
        <w:rPr>
          <w:rFonts w:ascii="Arial" w:cs="Arial" w:eastAsia="Arial" w:hAnsi="Arial"/>
          <w:sz w:val="20"/>
          <w:szCs w:val="20"/>
          <w:color w:val="3E3935"/>
        </w:rPr>
        <w:t>Aligned with GM’s aspiration to be the most inclusive company in the world, our Board believes that candidates should reflect the diverse backgrounds of GM’s global workforce and customer base. In 2022, the Board amended the Company’s Corporate Governance Guidelines to clarify the Company’s commitment to actively seeking highly qualified women and individuals from minority groups to include in the pool from which Board nominees are selected. Our Board recognizes the value of overall diversity and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both"/>
        <w:ind w:right="20"/>
        <w:spacing w:after="0" w:line="230" w:lineRule="auto"/>
        <w:rPr>
          <w:sz w:val="20"/>
          <w:szCs w:val="20"/>
          <w:color w:val="auto"/>
        </w:rPr>
      </w:pPr>
      <w:r>
        <w:rPr>
          <w:rFonts w:ascii="Arial" w:cs="Arial" w:eastAsia="Arial" w:hAnsi="Arial"/>
          <w:sz w:val="20"/>
          <w:szCs w:val="20"/>
          <w:color w:val="3E3935"/>
        </w:rPr>
        <w:t>considers members’ and candidates’ opinions, perspectives, personal and professional experiences, and backgrounds, including gender, race, ethnicity, nationality, and sexual orientation. We believe the judgment and perspectives offered by a diverse Board improves the quality of decision-making and enhances the Company’s business performance. Such diversity can help the Board respond more effectively to the needs of customers, shareholders, employees, suppliers, and other stakeholders.</w:t>
      </w:r>
    </w:p>
    <w:p>
      <w:pPr>
        <w:spacing w:after="0" w:line="200" w:lineRule="exact"/>
        <w:rPr>
          <w:sz w:val="20"/>
          <w:szCs w:val="20"/>
          <w:color w:val="auto"/>
        </w:rPr>
      </w:pPr>
    </w:p>
    <w:p>
      <w:pPr>
        <w:spacing w:after="0" w:line="272" w:lineRule="exact"/>
        <w:rPr>
          <w:sz w:val="20"/>
          <w:szCs w:val="20"/>
          <w:color w:val="auto"/>
        </w:rPr>
      </w:pPr>
    </w:p>
    <w:p>
      <w:pPr>
        <w:ind w:left="4920"/>
        <w:spacing w:after="0"/>
        <w:rPr>
          <w:sz w:val="20"/>
          <w:szCs w:val="20"/>
          <w:color w:val="auto"/>
        </w:rPr>
      </w:pPr>
      <w:r>
        <w:rPr>
          <w:rFonts w:ascii="Arial" w:cs="Arial" w:eastAsia="Arial" w:hAnsi="Arial"/>
          <w:sz w:val="14"/>
          <w:szCs w:val="14"/>
          <w:color w:val="0071CE"/>
        </w:rPr>
        <w:t>21</w:t>
      </w:r>
    </w:p>
    <w:p>
      <w:pPr>
        <w:sectPr>
          <w:pgSz w:w="11900" w:h="16838" w:orient="portrait"/>
          <w:cols w:equalWidth="0" w:num="2">
            <w:col w:w="5400" w:space="340"/>
            <w:col w:w="5400"/>
          </w:cols>
          <w:pgMar w:left="320" w:top="482" w:right="439" w:bottom="1440" w:gutter="0" w:footer="0" w:header="0"/>
          <w:type w:val="continuous"/>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305" w:lineRule="exact"/>
        <w:rPr>
          <w:sz w:val="20"/>
          <w:szCs w:val="20"/>
          <w:color w:val="auto"/>
        </w:rPr>
      </w:pPr>
    </w:p>
    <w:p>
      <w:pPr>
        <w:ind w:left="660" w:hanging="544"/>
        <w:spacing w:after="0"/>
        <w:tabs>
          <w:tab w:leader="none" w:pos="660" w:val="left"/>
        </w:tabs>
        <w:numPr>
          <w:ilvl w:val="0"/>
          <w:numId w:val="21"/>
        </w:numPr>
        <w:rPr>
          <w:rFonts w:ascii="Times New Roman" w:cs="Times New Roman" w:eastAsia="Times New Roman" w:hAnsi="Times New Roman"/>
          <w:sz w:val="19"/>
          <w:szCs w:val="19"/>
          <w:color w:val="0071CE"/>
        </w:rPr>
      </w:pPr>
      <w:r>
        <w:rPr>
          <w:rFonts w:ascii="Arial" w:cs="Arial" w:eastAsia="Arial" w:hAnsi="Arial"/>
          <w:sz w:val="25"/>
          <w:szCs w:val="25"/>
          <w:color w:val="3E3935"/>
        </w:rPr>
        <w:t>Candidate Recommendations</w:t>
      </w:r>
    </w:p>
    <w:p>
      <w:pPr>
        <w:spacing w:after="0" w:line="307" w:lineRule="exact"/>
        <w:rPr>
          <w:sz w:val="20"/>
          <w:szCs w:val="20"/>
          <w:color w:val="auto"/>
        </w:rPr>
      </w:pPr>
    </w:p>
    <w:p>
      <w:pPr>
        <w:jc w:val="both"/>
        <w:ind w:left="120"/>
        <w:spacing w:after="0" w:line="234" w:lineRule="auto"/>
        <w:rPr>
          <w:sz w:val="20"/>
          <w:szCs w:val="20"/>
          <w:color w:val="auto"/>
        </w:rPr>
      </w:pPr>
      <w:r>
        <w:rPr>
          <w:rFonts w:ascii="Arial" w:cs="Arial" w:eastAsia="Arial" w:hAnsi="Arial"/>
          <w:sz w:val="20"/>
          <w:szCs w:val="20"/>
          <w:color w:val="3E3935"/>
        </w:rPr>
        <w:t>The Governance Committee will consider director candidates recommended by shareholders. The Governance Committee will review the qualifications and experience of each recommended candidate using the same criteria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660" w:hanging="544"/>
        <w:spacing w:after="0"/>
        <w:tabs>
          <w:tab w:leader="none" w:pos="660" w:val="left"/>
        </w:tabs>
        <w:numPr>
          <w:ilvl w:val="0"/>
          <w:numId w:val="22"/>
        </w:numPr>
        <w:rPr>
          <w:rFonts w:ascii="Times New Roman" w:cs="Times New Roman" w:eastAsia="Times New Roman" w:hAnsi="Times New Roman"/>
          <w:sz w:val="19"/>
          <w:szCs w:val="19"/>
          <w:color w:val="0071CE"/>
        </w:rPr>
      </w:pPr>
      <w:r>
        <w:rPr>
          <w:rFonts w:ascii="Arial" w:cs="Arial" w:eastAsia="Arial" w:hAnsi="Arial"/>
          <w:sz w:val="25"/>
          <w:szCs w:val="25"/>
          <w:color w:val="3E3935"/>
        </w:rPr>
        <w:t>Director Recruitment Process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both"/>
        <w:spacing w:after="0" w:line="234" w:lineRule="auto"/>
        <w:rPr>
          <w:sz w:val="20"/>
          <w:szCs w:val="20"/>
          <w:color w:val="auto"/>
        </w:rPr>
      </w:pPr>
      <w:r>
        <w:rPr>
          <w:rFonts w:ascii="Arial" w:cs="Arial" w:eastAsia="Arial" w:hAnsi="Arial"/>
          <w:sz w:val="20"/>
          <w:szCs w:val="20"/>
          <w:color w:val="3E3935"/>
        </w:rPr>
        <w:t>for candidates proposed by Board members and communicate its decision to the candidate or the shareholder who made the recommendation. Shareholder nominations must be submitted to the Company by the deadlines found on page 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-3651885</wp:posOffset>
            </wp:positionH>
            <wp:positionV relativeFrom="paragraph">
              <wp:posOffset>-1631950</wp:posOffset>
            </wp:positionV>
            <wp:extent cx="7174865" cy="552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74865" cy="55245"/>
                    </a:xfrm>
                    <a:prstGeom prst="rect">
                      <a:avLst/>
                    </a:prstGeom>
                    <a:noFill/>
                  </pic:spPr>
                </pic:pic>
              </a:graphicData>
            </a:graphic>
          </wp:anchor>
        </w:drawing>
        <w:drawing>
          <wp:anchor simplePos="0" relativeHeight="251657728" behindDoc="1" locked="0" layoutInCell="0" allowOverlap="1">
            <wp:simplePos x="0" y="0"/>
            <wp:positionH relativeFrom="column">
              <wp:posOffset>-3013710</wp:posOffset>
            </wp:positionH>
            <wp:positionV relativeFrom="paragraph">
              <wp:posOffset>236220</wp:posOffset>
            </wp:positionV>
            <wp:extent cx="5880735" cy="6604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5880735" cy="660400"/>
                    </a:xfrm>
                    <a:prstGeom prst="rect">
                      <a:avLst/>
                    </a:prstGeom>
                    <a:noFill/>
                  </pic:spPr>
                </pic:pic>
              </a:graphicData>
            </a:graphic>
          </wp:anchor>
        </w:drawing>
        <w:drawing>
          <wp:anchor simplePos="0" relativeHeight="251657728" behindDoc="1" locked="0" layoutInCell="0" allowOverlap="1">
            <wp:simplePos x="0" y="0"/>
            <wp:positionH relativeFrom="column">
              <wp:posOffset>-3013710</wp:posOffset>
            </wp:positionH>
            <wp:positionV relativeFrom="paragraph">
              <wp:posOffset>1453515</wp:posOffset>
            </wp:positionV>
            <wp:extent cx="5880735" cy="195453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5880735" cy="1954530"/>
                    </a:xfrm>
                    <a:prstGeom prst="rect">
                      <a:avLst/>
                    </a:prstGeom>
                    <a:noFill/>
                  </pic:spPr>
                </pic:pic>
              </a:graphicData>
            </a:graphic>
          </wp:anchor>
        </w:drawing>
      </w:r>
    </w:p>
    <w:p>
      <w:pPr>
        <w:spacing w:after="0" w:line="2213" w:lineRule="exact"/>
        <w:rPr>
          <w:sz w:val="20"/>
          <w:szCs w:val="20"/>
          <w:color w:val="auto"/>
        </w:rPr>
      </w:pPr>
    </w:p>
    <w:p>
      <w:pPr>
        <w:sectPr>
          <w:pgSz w:w="11900" w:h="16838" w:orient="portrait"/>
          <w:cols w:equalWidth="0" w:num="2">
            <w:col w:w="5400" w:space="340"/>
            <w:col w:w="5380"/>
          </w:cols>
          <w:pgMar w:left="320" w:top="482" w:right="4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120"/>
        <w:spacing w:after="0"/>
        <w:rPr>
          <w:sz w:val="20"/>
          <w:szCs w:val="20"/>
          <w:color w:val="auto"/>
        </w:rPr>
      </w:pPr>
      <w:r>
        <w:rPr>
          <w:rFonts w:ascii="Arial" w:cs="Arial" w:eastAsia="Arial" w:hAnsi="Arial"/>
          <w:sz w:val="14"/>
          <w:szCs w:val="14"/>
          <w:color w:val="0071CE"/>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wp:posOffset>
            </wp:positionH>
            <wp:positionV relativeFrom="paragraph">
              <wp:posOffset>-95885</wp:posOffset>
            </wp:positionV>
            <wp:extent cx="5983605" cy="10287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5983605" cy="102870"/>
                    </a:xfrm>
                    <a:prstGeom prst="rect">
                      <a:avLst/>
                    </a:prstGeom>
                    <a:noFill/>
                  </pic:spPr>
                </pic:pic>
              </a:graphicData>
            </a:graphic>
          </wp:anchor>
        </w:drawing>
      </w:r>
    </w:p>
    <w:p>
      <w:pPr>
        <w:sectPr>
          <w:pgSz w:w="11900" w:h="16838" w:orient="portrait"/>
          <w:cols w:equalWidth="0" w:num="1">
            <w:col w:w="11120"/>
          </w:cols>
          <w:pgMar w:left="320" w:top="482" w:right="459" w:bottom="1440" w:gutter="0" w:footer="0" w:header="0"/>
          <w:type w:val="continuous"/>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29"/>
          <w:szCs w:val="29"/>
          <w:color w:val="3E3935"/>
        </w:rPr>
        <w:t>Non-Employee Director Compensation</w:t>
      </w:r>
    </w:p>
    <w:p>
      <w:pPr>
        <w:spacing w:after="0" w:line="312" w:lineRule="exact"/>
        <w:rPr>
          <w:sz w:val="20"/>
          <w:szCs w:val="20"/>
          <w:color w:val="auto"/>
        </w:rPr>
      </w:pPr>
    </w:p>
    <w:p>
      <w:pPr>
        <w:jc w:val="both"/>
        <w:ind w:left="120"/>
        <w:spacing w:after="0" w:line="237" w:lineRule="auto"/>
        <w:rPr>
          <w:sz w:val="20"/>
          <w:szCs w:val="20"/>
          <w:color w:val="auto"/>
        </w:rPr>
      </w:pPr>
      <w:r>
        <w:rPr>
          <w:rFonts w:ascii="Arial" w:cs="Arial" w:eastAsia="Arial" w:hAnsi="Arial"/>
          <w:sz w:val="20"/>
          <w:szCs w:val="20"/>
          <w:color w:val="3E3935"/>
        </w:rPr>
        <w:t>Our non-employee directors receive cash compensation as well as equity compensation in the form of GM Deferred Share Units for their Board service under the Company’s Director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3E3935"/>
        </w:rPr>
        <w:t>Compensation Plan. Compensation for our non-employee directors is set by the Board at the recommendation of the Governance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-3651885</wp:posOffset>
            </wp:positionH>
            <wp:positionV relativeFrom="paragraph">
              <wp:posOffset>-1385570</wp:posOffset>
            </wp:positionV>
            <wp:extent cx="7174865" cy="552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p>
    <w:p>
      <w:pPr>
        <w:spacing w:after="0" w:line="415" w:lineRule="exact"/>
        <w:rPr>
          <w:sz w:val="20"/>
          <w:szCs w:val="20"/>
          <w:color w:val="auto"/>
        </w:rPr>
      </w:pPr>
    </w:p>
    <w:p>
      <w:pPr>
        <w:sectPr>
          <w:pgSz w:w="11900" w:h="16838" w:orient="portrait"/>
          <w:cols w:equalWidth="0" w:num="2">
            <w:col w:w="5400" w:space="340"/>
            <w:col w:w="5380"/>
          </w:cols>
          <w:pgMar w:left="320" w:top="482" w:right="459" w:bottom="1440" w:gutter="0" w:footer="0" w:header="0"/>
        </w:sectPr>
      </w:pPr>
    </w:p>
    <w:p>
      <w:pPr>
        <w:spacing w:after="0" w:line="268" w:lineRule="exact"/>
        <w:rPr>
          <w:sz w:val="20"/>
          <w:szCs w:val="20"/>
          <w:color w:val="auto"/>
        </w:rPr>
      </w:pPr>
    </w:p>
    <w:p>
      <w:pPr>
        <w:ind w:left="660" w:hanging="544"/>
        <w:spacing w:after="0"/>
        <w:tabs>
          <w:tab w:leader="none" w:pos="660" w:val="left"/>
        </w:tabs>
        <w:numPr>
          <w:ilvl w:val="0"/>
          <w:numId w:val="23"/>
        </w:numPr>
        <w:rPr>
          <w:rFonts w:ascii="Times New Roman" w:cs="Times New Roman" w:eastAsia="Times New Roman" w:hAnsi="Times New Roman"/>
          <w:sz w:val="19"/>
          <w:szCs w:val="19"/>
          <w:color w:val="0071CE"/>
        </w:rPr>
      </w:pPr>
      <w:r>
        <w:rPr>
          <w:rFonts w:ascii="Arial" w:cs="Arial" w:eastAsia="Arial" w:hAnsi="Arial"/>
          <w:sz w:val="25"/>
          <w:szCs w:val="25"/>
          <w:color w:val="3E3935"/>
        </w:rPr>
        <w:t>Guiding Principles</w:t>
      </w:r>
    </w:p>
    <w:p>
      <w:pPr>
        <w:spacing w:after="0" w:line="166" w:lineRule="exact"/>
        <w:rPr>
          <w:sz w:val="20"/>
          <w:szCs w:val="20"/>
          <w:color w:val="auto"/>
        </w:rPr>
      </w:pPr>
    </w:p>
    <w:p>
      <w:pPr>
        <w:ind w:left="320"/>
        <w:spacing w:after="0"/>
        <w:rPr>
          <w:sz w:val="20"/>
          <w:szCs w:val="20"/>
          <w:color w:val="auto"/>
        </w:rPr>
      </w:pPr>
      <w:r>
        <w:rPr>
          <w:rFonts w:ascii="Arial" w:cs="Arial" w:eastAsia="Arial" w:hAnsi="Arial"/>
          <w:sz w:val="20"/>
          <w:szCs w:val="20"/>
          <w:color w:val="00C1DE"/>
        </w:rPr>
        <w:t>•</w:t>
      </w:r>
      <w:r>
        <w:rPr>
          <w:rFonts w:ascii="Arial" w:cs="Arial" w:eastAsia="Arial" w:hAnsi="Arial"/>
          <w:sz w:val="19"/>
          <w:szCs w:val="19"/>
          <w:color w:val="3E3935"/>
        </w:rPr>
        <w:t xml:space="preserve">  Fairly compensate directors for their responsibilities and time commitments.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-136525</wp:posOffset>
            </wp:positionV>
            <wp:extent cx="6995160" cy="123444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995160" cy="1234440"/>
                    </a:xfrm>
                    <a:prstGeom prst="rect">
                      <a:avLst/>
                    </a:prstGeom>
                    <a:noFill/>
                  </pic:spPr>
                </pic:pic>
              </a:graphicData>
            </a:graphic>
          </wp:anchor>
        </w:drawing>
      </w:r>
    </w:p>
    <w:p>
      <w:pPr>
        <w:spacing w:after="0" w:line="61" w:lineRule="exact"/>
        <w:rPr>
          <w:sz w:val="20"/>
          <w:szCs w:val="20"/>
          <w:color w:val="auto"/>
        </w:rPr>
      </w:pPr>
    </w:p>
    <w:p>
      <w:pPr>
        <w:jc w:val="both"/>
        <w:ind w:left="620" w:right="380" w:hanging="296"/>
        <w:spacing w:after="0" w:line="278" w:lineRule="auto"/>
        <w:rPr>
          <w:sz w:val="20"/>
          <w:szCs w:val="20"/>
          <w:color w:val="auto"/>
        </w:rPr>
      </w:pPr>
      <w:r>
        <w:rPr>
          <w:rFonts w:ascii="Arial" w:cs="Arial" w:eastAsia="Arial" w:hAnsi="Arial"/>
          <w:sz w:val="20"/>
          <w:szCs w:val="20"/>
          <w:color w:val="00C1DE"/>
        </w:rPr>
        <w:t>•</w:t>
      </w:r>
      <w:r>
        <w:rPr>
          <w:rFonts w:ascii="Arial" w:cs="Arial" w:eastAsia="Arial" w:hAnsi="Arial"/>
          <w:sz w:val="19"/>
          <w:szCs w:val="19"/>
          <w:color w:val="3E3935"/>
        </w:rPr>
        <w:t xml:space="preserve">  Attract and retain highly qualified directors by offering a compensation program consistent with those at companies</w:t>
      </w:r>
      <w:r>
        <w:rPr>
          <w:rFonts w:ascii="Arial" w:cs="Arial" w:eastAsia="Arial" w:hAnsi="Arial"/>
          <w:sz w:val="20"/>
          <w:szCs w:val="20"/>
          <w:color w:val="00C1DE"/>
        </w:rPr>
        <w:t xml:space="preserve"> </w:t>
      </w:r>
      <w:r>
        <w:rPr>
          <w:rFonts w:ascii="Arial" w:cs="Arial" w:eastAsia="Arial" w:hAnsi="Arial"/>
          <w:sz w:val="19"/>
          <w:szCs w:val="19"/>
          <w:color w:val="3E3935"/>
        </w:rPr>
        <w:t>of similar size, scope, and complexity.</w:t>
      </w:r>
    </w:p>
    <w:p>
      <w:pPr>
        <w:spacing w:after="0" w:line="7" w:lineRule="exact"/>
        <w:rPr>
          <w:sz w:val="20"/>
          <w:szCs w:val="20"/>
          <w:color w:val="auto"/>
        </w:rPr>
      </w:pPr>
    </w:p>
    <w:p>
      <w:pPr>
        <w:jc w:val="both"/>
        <w:ind w:left="620" w:right="380" w:hanging="296"/>
        <w:spacing w:after="0" w:line="251" w:lineRule="auto"/>
        <w:rPr>
          <w:sz w:val="20"/>
          <w:szCs w:val="20"/>
          <w:color w:val="auto"/>
        </w:rPr>
      </w:pPr>
      <w:r>
        <w:rPr>
          <w:rFonts w:ascii="Arial" w:cs="Arial" w:eastAsia="Arial" w:hAnsi="Arial"/>
          <w:sz w:val="20"/>
          <w:szCs w:val="20"/>
          <w:color w:val="00C1DE"/>
        </w:rPr>
        <w:t>•</w:t>
      </w:r>
      <w:r>
        <w:rPr>
          <w:rFonts w:ascii="Arial" w:cs="Arial" w:eastAsia="Arial" w:hAnsi="Arial"/>
          <w:sz w:val="19"/>
          <w:szCs w:val="19"/>
          <w:color w:val="3E3935"/>
        </w:rPr>
        <w:t xml:space="preserve">  Align the interests of directors with our shareholders by providing a significant portion of compensation in equity and</w:t>
      </w:r>
      <w:r>
        <w:rPr>
          <w:rFonts w:ascii="Arial" w:cs="Arial" w:eastAsia="Arial" w:hAnsi="Arial"/>
          <w:sz w:val="20"/>
          <w:szCs w:val="20"/>
          <w:color w:val="00C1DE"/>
        </w:rPr>
        <w:t xml:space="preserve"> </w:t>
      </w:r>
      <w:r>
        <w:rPr>
          <w:rFonts w:ascii="Arial" w:cs="Arial" w:eastAsia="Arial" w:hAnsi="Arial"/>
          <w:sz w:val="19"/>
          <w:szCs w:val="19"/>
          <w:color w:val="3E3935"/>
        </w:rPr>
        <w:t>requiring directors to continue to own our common stock (or common stock equivalents) throughout their tenure on the Board.</w:t>
      </w:r>
    </w:p>
    <w:p>
      <w:pPr>
        <w:spacing w:after="0" w:line="33" w:lineRule="exact"/>
        <w:rPr>
          <w:sz w:val="20"/>
          <w:szCs w:val="20"/>
          <w:color w:val="auto"/>
        </w:rPr>
      </w:pPr>
    </w:p>
    <w:p>
      <w:pPr>
        <w:ind w:left="320"/>
        <w:spacing w:after="0"/>
        <w:rPr>
          <w:sz w:val="20"/>
          <w:szCs w:val="20"/>
          <w:color w:val="auto"/>
        </w:rPr>
      </w:pPr>
      <w:r>
        <w:rPr>
          <w:rFonts w:ascii="Arial" w:cs="Arial" w:eastAsia="Arial" w:hAnsi="Arial"/>
          <w:sz w:val="20"/>
          <w:szCs w:val="20"/>
          <w:color w:val="00C1DE"/>
        </w:rPr>
        <w:t>•</w:t>
      </w:r>
      <w:r>
        <w:rPr>
          <w:rFonts w:ascii="Arial" w:cs="Arial" w:eastAsia="Arial" w:hAnsi="Arial"/>
          <w:sz w:val="19"/>
          <w:szCs w:val="19"/>
          <w:color w:val="3E3935"/>
        </w:rPr>
        <w:t xml:space="preserve">  Provide compensation that is simple and transparent to shareholders.</w:t>
      </w:r>
    </w:p>
    <w:p>
      <w:pPr>
        <w:sectPr>
          <w:pgSz w:w="11900" w:h="16838" w:orient="portrait"/>
          <w:cols w:equalWidth="0" w:num="1">
            <w:col w:w="11120"/>
          </w:cols>
          <w:pgMar w:left="320" w:top="482" w:right="459" w:bottom="1440" w:gutter="0" w:footer="0" w:header="0"/>
          <w:type w:val="continuous"/>
        </w:sectPr>
      </w:pPr>
    </w:p>
    <w:p>
      <w:pPr>
        <w:spacing w:after="0" w:line="200" w:lineRule="exact"/>
        <w:rPr>
          <w:sz w:val="20"/>
          <w:szCs w:val="20"/>
          <w:color w:val="auto"/>
        </w:rPr>
      </w:pPr>
    </w:p>
    <w:p>
      <w:pPr>
        <w:spacing w:after="0" w:line="291" w:lineRule="exact"/>
        <w:rPr>
          <w:sz w:val="20"/>
          <w:szCs w:val="20"/>
          <w:color w:val="auto"/>
        </w:rPr>
      </w:pPr>
    </w:p>
    <w:p>
      <w:pPr>
        <w:ind w:left="660" w:hanging="544"/>
        <w:spacing w:after="0"/>
        <w:tabs>
          <w:tab w:leader="none" w:pos="660" w:val="left"/>
        </w:tabs>
        <w:numPr>
          <w:ilvl w:val="0"/>
          <w:numId w:val="24"/>
        </w:numPr>
        <w:rPr>
          <w:rFonts w:ascii="Times New Roman" w:cs="Times New Roman" w:eastAsia="Times New Roman" w:hAnsi="Times New Roman"/>
          <w:sz w:val="19"/>
          <w:szCs w:val="19"/>
          <w:color w:val="0071CE"/>
        </w:rPr>
      </w:pPr>
      <w:r>
        <w:rPr>
          <w:rFonts w:ascii="Arial" w:cs="Arial" w:eastAsia="Arial" w:hAnsi="Arial"/>
          <w:sz w:val="25"/>
          <w:szCs w:val="25"/>
          <w:color w:val="3E3935"/>
        </w:rPr>
        <w:t>Annual Review Process</w:t>
      </w:r>
    </w:p>
    <w:p>
      <w:pPr>
        <w:spacing w:after="0" w:line="307" w:lineRule="exact"/>
        <w:rPr>
          <w:sz w:val="20"/>
          <w:szCs w:val="20"/>
          <w:color w:val="auto"/>
        </w:rPr>
      </w:pPr>
    </w:p>
    <w:p>
      <w:pPr>
        <w:jc w:val="both"/>
        <w:ind w:left="120"/>
        <w:spacing w:after="0" w:line="229" w:lineRule="auto"/>
        <w:rPr>
          <w:sz w:val="20"/>
          <w:szCs w:val="20"/>
          <w:color w:val="auto"/>
        </w:rPr>
      </w:pPr>
      <w:r>
        <w:rPr>
          <w:rFonts w:ascii="Arial" w:cs="Arial" w:eastAsia="Arial" w:hAnsi="Arial"/>
          <w:sz w:val="20"/>
          <w:szCs w:val="20"/>
          <w:color w:val="3E3935"/>
        </w:rPr>
        <w:t>The Governance Committee annually assesses the form and amount of non-employee director compensation and recommends changes, if appropriate, to the Board. As part of its annual review in 2022, the Governance Committee retained a compensation consultant and outside legal counsel to assist in its review of director compensation data and practices. For purposes of this exercise, the Governance Committee primarily benchmarked against the executive compensation peer group described in the “Peer Group for Compensation Benchmarking” section on page 57.</w:t>
      </w:r>
    </w:p>
    <w:p>
      <w:pPr>
        <w:spacing w:after="0" w:line="178" w:lineRule="exact"/>
        <w:rPr>
          <w:sz w:val="20"/>
          <w:szCs w:val="20"/>
          <w:color w:val="auto"/>
        </w:rPr>
      </w:pPr>
    </w:p>
    <w:p>
      <w:pPr>
        <w:jc w:val="both"/>
        <w:ind w:left="120"/>
        <w:spacing w:after="0" w:line="257" w:lineRule="auto"/>
        <w:rPr>
          <w:sz w:val="20"/>
          <w:szCs w:val="20"/>
          <w:color w:val="auto"/>
        </w:rPr>
      </w:pPr>
      <w:r>
        <w:rPr>
          <w:rFonts w:ascii="Arial" w:cs="Arial" w:eastAsia="Arial" w:hAnsi="Arial"/>
          <w:sz w:val="20"/>
          <w:szCs w:val="20"/>
          <w:color w:val="3E3935"/>
        </w:rPr>
        <w:t>In December 2022, following its review of GM’s non-employee director compensation structure,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both"/>
        <w:spacing w:after="0" w:line="229" w:lineRule="auto"/>
        <w:rPr>
          <w:sz w:val="20"/>
          <w:szCs w:val="20"/>
          <w:color w:val="auto"/>
        </w:rPr>
      </w:pPr>
      <w:r>
        <w:rPr>
          <w:rFonts w:ascii="Arial" w:cs="Arial" w:eastAsia="Arial" w:hAnsi="Arial"/>
          <w:sz w:val="20"/>
          <w:szCs w:val="20"/>
          <w:color w:val="3E3935"/>
        </w:rPr>
        <w:t>the Governance Committee recommended, and the Board approved, the following program updates: (i) an increase in non-employee director compensation in recognition of the inflationary environment, (ii) an increase in the mandatory DSU deferral from 50 percent to 60 percent, and (iii) an increase in the stock ownership requirement from $500,000 to $650,000 within five years. Non-employee director compensation for 2023 is set forth in detail below. The Board believes these changes further align the non-employee director compensation program with shareholder interests through increased stock ownership.</w:t>
      </w:r>
    </w:p>
    <w:p>
      <w:pPr>
        <w:spacing w:after="0" w:line="870" w:lineRule="exact"/>
        <w:rPr>
          <w:sz w:val="20"/>
          <w:szCs w:val="20"/>
          <w:color w:val="auto"/>
        </w:rPr>
      </w:pPr>
    </w:p>
    <w:p>
      <w:pPr>
        <w:sectPr>
          <w:pgSz w:w="11900" w:h="16838" w:orient="portrait"/>
          <w:cols w:equalWidth="0" w:num="2">
            <w:col w:w="5400" w:space="340"/>
            <w:col w:w="5380"/>
          </w:cols>
          <w:pgMar w:left="320" w:top="482" w:right="459" w:bottom="1440" w:gutter="0" w:footer="0" w:header="0"/>
          <w:type w:val="continuous"/>
        </w:sectPr>
      </w:pPr>
    </w:p>
    <w:p>
      <w:pPr>
        <w:spacing w:after="0" w:line="252" w:lineRule="exact"/>
        <w:rPr>
          <w:sz w:val="20"/>
          <w:szCs w:val="20"/>
          <w:color w:val="auto"/>
        </w:rPr>
      </w:pPr>
    </w:p>
    <w:p>
      <w:pPr>
        <w:ind w:left="660" w:hanging="544"/>
        <w:spacing w:after="0"/>
        <w:tabs>
          <w:tab w:leader="none" w:pos="660" w:val="left"/>
        </w:tabs>
        <w:numPr>
          <w:ilvl w:val="0"/>
          <w:numId w:val="25"/>
        </w:numPr>
        <w:rPr>
          <w:rFonts w:ascii="Times New Roman" w:cs="Times New Roman" w:eastAsia="Times New Roman" w:hAnsi="Times New Roman"/>
          <w:sz w:val="19"/>
          <w:szCs w:val="19"/>
          <w:color w:val="0071CE"/>
        </w:rPr>
      </w:pPr>
      <w:r>
        <w:rPr>
          <w:rFonts w:ascii="Arial" w:cs="Arial" w:eastAsia="Arial" w:hAnsi="Arial"/>
          <w:sz w:val="25"/>
          <w:szCs w:val="25"/>
          <w:color w:val="3E3935"/>
        </w:rPr>
        <w:t>Director Stock Ownership and Holding Requirements</w:t>
      </w:r>
    </w:p>
    <w:p>
      <w:pPr>
        <w:spacing w:after="0" w:line="139" w:lineRule="exact"/>
        <w:rPr>
          <w:sz w:val="20"/>
          <w:szCs w:val="20"/>
          <w:color w:val="auto"/>
        </w:rPr>
      </w:pPr>
    </w:p>
    <w:p>
      <w:pPr>
        <w:ind w:left="640" w:right="440" w:hanging="296"/>
        <w:spacing w:after="0" w:line="252" w:lineRule="auto"/>
        <w:rPr>
          <w:sz w:val="20"/>
          <w:szCs w:val="20"/>
          <w:color w:val="auto"/>
        </w:rPr>
      </w:pPr>
      <w:r>
        <w:rPr>
          <w:rFonts w:ascii="Arial" w:cs="Arial" w:eastAsia="Arial" w:hAnsi="Arial"/>
          <w:sz w:val="20"/>
          <w:szCs w:val="20"/>
          <w:color w:val="00C1DE"/>
        </w:rPr>
        <w:t>•</w:t>
      </w:r>
      <w:r>
        <w:rPr>
          <w:rFonts w:ascii="Arial" w:cs="Arial" w:eastAsia="Arial" w:hAnsi="Arial"/>
          <w:sz w:val="19"/>
          <w:szCs w:val="19"/>
          <w:color w:val="3E3935"/>
        </w:rPr>
        <w:t xml:space="preserve">   Each non-employee director is required to own our common stock or DSUs with a market value of at least</w:t>
      </w:r>
      <w:r>
        <w:rPr>
          <w:rFonts w:ascii="Arial" w:cs="Arial" w:eastAsia="Arial" w:hAnsi="Arial"/>
          <w:sz w:val="20"/>
          <w:szCs w:val="20"/>
          <w:color w:val="00C1DE"/>
        </w:rPr>
        <w:t xml:space="preserve"> </w:t>
      </w:r>
      <w:r>
        <w:rPr>
          <w:rFonts w:ascii="Arial" w:cs="Arial" w:eastAsia="Arial" w:hAnsi="Arial"/>
          <w:sz w:val="19"/>
          <w:szCs w:val="19"/>
          <w:color w:val="3E3935"/>
        </w:rPr>
        <w:t>$650,000.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99060</wp:posOffset>
            </wp:positionH>
            <wp:positionV relativeFrom="paragraph">
              <wp:posOffset>-143510</wp:posOffset>
            </wp:positionV>
            <wp:extent cx="6951980" cy="13716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951980" cy="1371600"/>
                    </a:xfrm>
                    <a:prstGeom prst="rect">
                      <a:avLst/>
                    </a:prstGeom>
                    <a:noFill/>
                  </pic:spPr>
                </pic:pic>
              </a:graphicData>
            </a:graphic>
          </wp:anchor>
        </w:drawing>
      </w:r>
    </w:p>
    <w:p>
      <w:pPr>
        <w:spacing w:after="0" w:line="265" w:lineRule="exact"/>
        <w:rPr>
          <w:sz w:val="20"/>
          <w:szCs w:val="20"/>
          <w:color w:val="auto"/>
        </w:rPr>
      </w:pPr>
    </w:p>
    <w:p>
      <w:pPr>
        <w:ind w:left="640" w:right="420" w:hanging="296"/>
        <w:spacing w:after="0" w:line="278" w:lineRule="auto"/>
        <w:rPr>
          <w:sz w:val="20"/>
          <w:szCs w:val="20"/>
          <w:color w:val="auto"/>
        </w:rPr>
      </w:pPr>
      <w:r>
        <w:rPr>
          <w:rFonts w:ascii="Arial" w:cs="Arial" w:eastAsia="Arial" w:hAnsi="Arial"/>
          <w:sz w:val="20"/>
          <w:szCs w:val="20"/>
          <w:color w:val="00C1DE"/>
        </w:rPr>
        <w:t>•</w:t>
      </w:r>
      <w:r>
        <w:rPr>
          <w:rFonts w:ascii="Arial" w:cs="Arial" w:eastAsia="Arial" w:hAnsi="Arial"/>
          <w:sz w:val="19"/>
          <w:szCs w:val="19"/>
          <w:color w:val="3E3935"/>
        </w:rPr>
        <w:t xml:space="preserve">   Each non-employee director has up to five years from the date they are first elected to the Board to meet this</w:t>
      </w:r>
      <w:r>
        <w:rPr>
          <w:rFonts w:ascii="Arial" w:cs="Arial" w:eastAsia="Arial" w:hAnsi="Arial"/>
          <w:sz w:val="20"/>
          <w:szCs w:val="20"/>
          <w:color w:val="00C1DE"/>
        </w:rPr>
        <w:t xml:space="preserve"> </w:t>
      </w:r>
      <w:r>
        <w:rPr>
          <w:rFonts w:ascii="Arial" w:cs="Arial" w:eastAsia="Arial" w:hAnsi="Arial"/>
          <w:sz w:val="19"/>
          <w:szCs w:val="19"/>
          <w:color w:val="3E3935"/>
        </w:rPr>
        <w:t>ownership requirement.</w:t>
      </w:r>
    </w:p>
    <w:p>
      <w:pPr>
        <w:spacing w:after="0" w:line="7" w:lineRule="exact"/>
        <w:rPr>
          <w:sz w:val="20"/>
          <w:szCs w:val="20"/>
          <w:color w:val="auto"/>
        </w:rPr>
      </w:pPr>
    </w:p>
    <w:p>
      <w:pPr>
        <w:ind w:left="640" w:right="420" w:hanging="296"/>
        <w:spacing w:after="0" w:line="278" w:lineRule="auto"/>
        <w:rPr>
          <w:sz w:val="20"/>
          <w:szCs w:val="20"/>
          <w:color w:val="auto"/>
        </w:rPr>
      </w:pPr>
      <w:r>
        <w:rPr>
          <w:rFonts w:ascii="Arial" w:cs="Arial" w:eastAsia="Arial" w:hAnsi="Arial"/>
          <w:sz w:val="20"/>
          <w:szCs w:val="20"/>
          <w:color w:val="00C1DE"/>
        </w:rPr>
        <w:t>•</w:t>
      </w:r>
      <w:r>
        <w:rPr>
          <w:rFonts w:ascii="Arial" w:cs="Arial" w:eastAsia="Arial" w:hAnsi="Arial"/>
          <w:sz w:val="19"/>
          <w:szCs w:val="19"/>
          <w:color w:val="3E3935"/>
        </w:rPr>
        <w:t xml:space="preserve">   Non-employee directors are prohibited from selling any GM securities or derivatives of GM securities, such as</w:t>
      </w:r>
      <w:r>
        <w:rPr>
          <w:rFonts w:ascii="Arial" w:cs="Arial" w:eastAsia="Arial" w:hAnsi="Arial"/>
          <w:sz w:val="20"/>
          <w:szCs w:val="20"/>
          <w:color w:val="00C1DE"/>
        </w:rPr>
        <w:t xml:space="preserve"> </w:t>
      </w:r>
      <w:r>
        <w:rPr>
          <w:rFonts w:ascii="Arial" w:cs="Arial" w:eastAsia="Arial" w:hAnsi="Arial"/>
          <w:sz w:val="19"/>
          <w:szCs w:val="19"/>
          <w:color w:val="3E3935"/>
        </w:rPr>
        <w:t>DSUs, while they are members of the Board.</w:t>
      </w:r>
    </w:p>
    <w:p>
      <w:pPr>
        <w:spacing w:after="0" w:line="7" w:lineRule="exact"/>
        <w:rPr>
          <w:sz w:val="20"/>
          <w:szCs w:val="20"/>
          <w:color w:val="auto"/>
        </w:rPr>
      </w:pPr>
    </w:p>
    <w:p>
      <w:pPr>
        <w:ind w:left="640" w:right="420" w:hanging="296"/>
        <w:spacing w:after="0" w:line="264" w:lineRule="auto"/>
        <w:rPr>
          <w:sz w:val="20"/>
          <w:szCs w:val="20"/>
          <w:color w:val="auto"/>
        </w:rPr>
      </w:pPr>
      <w:r>
        <w:rPr>
          <w:rFonts w:ascii="Arial" w:cs="Arial" w:eastAsia="Arial" w:hAnsi="Arial"/>
          <w:sz w:val="20"/>
          <w:szCs w:val="20"/>
          <w:color w:val="00C1DE"/>
        </w:rPr>
        <w:t>•</w:t>
      </w:r>
      <w:r>
        <w:rPr>
          <w:rFonts w:ascii="Arial" w:cs="Arial" w:eastAsia="Arial" w:hAnsi="Arial"/>
          <w:sz w:val="19"/>
          <w:szCs w:val="19"/>
          <w:color w:val="3E3935"/>
        </w:rPr>
        <w:t xml:space="preserve">   Ownership guidelines are reviewed each year to confirm they continue to be effective in aligning the interests of the</w:t>
      </w:r>
      <w:r>
        <w:rPr>
          <w:rFonts w:ascii="Arial" w:cs="Arial" w:eastAsia="Arial" w:hAnsi="Arial"/>
          <w:sz w:val="20"/>
          <w:szCs w:val="20"/>
          <w:color w:val="00C1DE"/>
        </w:rPr>
        <w:t xml:space="preserve"> </w:t>
      </w:r>
      <w:r>
        <w:rPr>
          <w:rFonts w:ascii="Arial" w:cs="Arial" w:eastAsia="Arial" w:hAnsi="Arial"/>
          <w:sz w:val="19"/>
          <w:szCs w:val="19"/>
          <w:color w:val="3E3935"/>
        </w:rPr>
        <w:t>Board and our shareholders.</w:t>
      </w:r>
    </w:p>
    <w:p>
      <w:pPr>
        <w:spacing w:after="0" w:line="202" w:lineRule="exact"/>
        <w:rPr>
          <w:sz w:val="20"/>
          <w:szCs w:val="20"/>
          <w:color w:val="auto"/>
        </w:rPr>
      </w:pPr>
    </w:p>
    <w:p>
      <w:pPr>
        <w:ind w:left="120"/>
        <w:spacing w:after="0"/>
        <w:rPr>
          <w:sz w:val="20"/>
          <w:szCs w:val="20"/>
          <w:color w:val="auto"/>
        </w:rPr>
      </w:pPr>
      <w:r>
        <w:rPr>
          <w:rFonts w:ascii="Arial" w:cs="Arial" w:eastAsia="Arial" w:hAnsi="Arial"/>
          <w:sz w:val="20"/>
          <w:szCs w:val="20"/>
          <w:color w:val="3E3935"/>
        </w:rPr>
        <w:t>All of our non-employee directors are in compliance with our stock retention requirements.</w:t>
      </w:r>
    </w:p>
    <w:p>
      <w:pPr>
        <w:spacing w:after="0" w:line="147" w:lineRule="exact"/>
        <w:rPr>
          <w:sz w:val="20"/>
          <w:szCs w:val="20"/>
          <w:color w:val="auto"/>
        </w:rPr>
      </w:pPr>
    </w:p>
    <w:p>
      <w:pPr>
        <w:jc w:val="right"/>
        <w:ind w:right="300"/>
        <w:spacing w:after="0"/>
        <w:rPr>
          <w:sz w:val="20"/>
          <w:szCs w:val="20"/>
          <w:color w:val="auto"/>
        </w:rPr>
      </w:pPr>
      <w:r>
        <w:rPr>
          <w:rFonts w:ascii="Arial" w:cs="Arial" w:eastAsia="Arial" w:hAnsi="Arial"/>
          <w:sz w:val="14"/>
          <w:szCs w:val="14"/>
          <w:color w:val="0071CE"/>
        </w:rPr>
        <w:t>23</w:t>
      </w:r>
    </w:p>
    <w:p>
      <w:pPr>
        <w:sectPr>
          <w:pgSz w:w="11900" w:h="16838" w:orient="portrait"/>
          <w:cols w:equalWidth="0" w:num="1">
            <w:col w:w="11120"/>
          </w:cols>
          <w:pgMar w:left="320" w:top="482" w:right="459" w:bottom="1440" w:gutter="0" w:footer="0" w:header="0"/>
          <w:type w:val="continuous"/>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305" w:lineRule="exact"/>
        <w:rPr>
          <w:sz w:val="20"/>
          <w:szCs w:val="20"/>
          <w:color w:val="auto"/>
        </w:rPr>
      </w:pPr>
    </w:p>
    <w:p>
      <w:pPr>
        <w:ind w:left="660" w:hanging="544"/>
        <w:spacing w:after="0"/>
        <w:tabs>
          <w:tab w:leader="none" w:pos="660" w:val="left"/>
        </w:tabs>
        <w:numPr>
          <w:ilvl w:val="0"/>
          <w:numId w:val="26"/>
        </w:numPr>
        <w:rPr>
          <w:rFonts w:ascii="Times New Roman" w:cs="Times New Roman" w:eastAsia="Times New Roman" w:hAnsi="Times New Roman"/>
          <w:sz w:val="19"/>
          <w:szCs w:val="19"/>
          <w:color w:val="0071CE"/>
        </w:rPr>
      </w:pPr>
      <w:r>
        <w:rPr>
          <w:rFonts w:ascii="Arial" w:cs="Arial" w:eastAsia="Arial" w:hAnsi="Arial"/>
          <w:sz w:val="25"/>
          <w:szCs w:val="25"/>
          <w:color w:val="3E3935"/>
        </w:rPr>
        <w:t>Annual Compensation</w:t>
      </w:r>
    </w:p>
    <w:p>
      <w:pPr>
        <w:spacing w:after="0" w:line="186" w:lineRule="exact"/>
        <w:rPr>
          <w:sz w:val="20"/>
          <w:szCs w:val="20"/>
          <w:color w:val="auto"/>
        </w:rPr>
      </w:pPr>
    </w:p>
    <w:p>
      <w:pPr>
        <w:jc w:val="both"/>
        <w:ind w:left="120"/>
        <w:spacing w:after="0" w:line="232" w:lineRule="auto"/>
        <w:rPr>
          <w:sz w:val="20"/>
          <w:szCs w:val="20"/>
          <w:color w:val="auto"/>
        </w:rPr>
      </w:pPr>
      <w:r>
        <w:rPr>
          <w:rFonts w:ascii="Arial" w:cs="Arial" w:eastAsia="Arial" w:hAnsi="Arial"/>
          <w:sz w:val="20"/>
          <w:szCs w:val="20"/>
          <w:color w:val="3E3935"/>
        </w:rPr>
        <w:t>The 2022 and 2023 compensation for non-employee directors is described in the table below. The Independent Lead Director and committee chairs receive additional compensation due to the increased workload and additional responsibilities associated with these positions. In particular, Ms. Russo’s compensation as Independent Lead Director reflects the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both"/>
        <w:spacing w:after="0" w:line="233" w:lineRule="auto"/>
        <w:rPr>
          <w:sz w:val="20"/>
          <w:szCs w:val="20"/>
          <w:color w:val="auto"/>
        </w:rPr>
      </w:pPr>
      <w:r>
        <w:rPr>
          <w:rFonts w:ascii="Arial" w:cs="Arial" w:eastAsia="Arial" w:hAnsi="Arial"/>
          <w:sz w:val="20"/>
          <w:szCs w:val="20"/>
          <w:color w:val="3E3935"/>
        </w:rPr>
        <w:t>additional time commitment for this role, which includes, among other responsibilities, attending all committee meetings and attending meetings with the Company’s CEO. For additional information about the roles and responsibilities of our Independent Lead Director, see “The Role of the Independent Lead Director” on page 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-3651885</wp:posOffset>
            </wp:positionH>
            <wp:positionV relativeFrom="paragraph">
              <wp:posOffset>-1693545</wp:posOffset>
            </wp:positionV>
            <wp:extent cx="7174865" cy="552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p>
    <w:p>
      <w:pPr>
        <w:spacing w:after="0" w:line="416" w:lineRule="exact"/>
        <w:rPr>
          <w:sz w:val="20"/>
          <w:szCs w:val="20"/>
          <w:color w:val="auto"/>
        </w:rPr>
      </w:pPr>
    </w:p>
    <w:p>
      <w:pPr>
        <w:sectPr>
          <w:pgSz w:w="11900" w:h="16838" w:orient="portrait"/>
          <w:cols w:equalWidth="0" w:num="2">
            <w:col w:w="5400" w:space="340"/>
            <w:col w:w="5380"/>
          </w:cols>
          <w:pgMar w:left="320" w:top="482" w:right="459" w:bottom="1440" w:gutter="0" w:footer="0" w:header="0"/>
        </w:sectPr>
      </w:pPr>
    </w:p>
    <w:p>
      <w:pPr>
        <w:spacing w:after="0" w:line="149" w:lineRule="exact"/>
        <w:rPr>
          <w:sz w:val="20"/>
          <w:szCs w:val="20"/>
          <w:color w:val="auto"/>
        </w:rPr>
      </w:pPr>
    </w:p>
    <w:tbl>
      <w:tblPr>
        <w:tblLayout w:type="fixed"/>
        <w:tblInd w:w="400" w:type="dxa"/>
        <w:tblCellMar>
          <w:top w:w="0" w:type="dxa"/>
          <w:left w:w="0" w:type="dxa"/>
          <w:bottom w:w="0" w:type="dxa"/>
          <w:right w:w="0" w:type="dxa"/>
        </w:tblCellMar>
      </w:tblPr>
      <w:tr>
        <w:trPr>
          <w:trHeight w:val="219"/>
        </w:trPr>
        <w:tc>
          <w:tcPr>
            <w:tcW w:w="6520" w:type="dxa"/>
            <w:vAlign w:val="bottom"/>
            <w:tcBorders>
              <w:top w:val="single" w:sz="8" w:color="00C1DE"/>
            </w:tcBorders>
          </w:tcPr>
          <w:p>
            <w:pPr>
              <w:spacing w:after="0"/>
              <w:rPr>
                <w:sz w:val="19"/>
                <w:szCs w:val="19"/>
                <w:color w:val="auto"/>
              </w:rPr>
            </w:pPr>
          </w:p>
        </w:tc>
        <w:tc>
          <w:tcPr>
            <w:tcW w:w="2640" w:type="dxa"/>
            <w:vAlign w:val="bottom"/>
            <w:tcBorders>
              <w:top w:val="single" w:sz="8" w:color="00C1DE"/>
            </w:tcBorders>
          </w:tcPr>
          <w:p>
            <w:pPr>
              <w:jc w:val="right"/>
              <w:ind w:right="261"/>
              <w:spacing w:after="0" w:line="219" w:lineRule="exact"/>
              <w:rPr>
                <w:sz w:val="20"/>
                <w:szCs w:val="20"/>
                <w:color w:val="auto"/>
              </w:rPr>
            </w:pPr>
            <w:r>
              <w:rPr>
                <w:rFonts w:ascii="Arial" w:cs="Arial" w:eastAsia="Arial" w:hAnsi="Arial"/>
                <w:sz w:val="20"/>
                <w:szCs w:val="20"/>
                <w:b w:val="1"/>
                <w:bCs w:val="1"/>
                <w:color w:val="00C1DE"/>
              </w:rPr>
              <w:t>2022</w:t>
            </w:r>
          </w:p>
        </w:tc>
        <w:tc>
          <w:tcPr>
            <w:tcW w:w="1300" w:type="dxa"/>
            <w:vAlign w:val="bottom"/>
            <w:tcBorders>
              <w:top w:val="single" w:sz="8" w:color="00C1DE"/>
            </w:tcBorders>
          </w:tcPr>
          <w:p>
            <w:pPr>
              <w:jc w:val="right"/>
              <w:spacing w:after="0" w:line="219" w:lineRule="exact"/>
              <w:rPr>
                <w:sz w:val="20"/>
                <w:szCs w:val="20"/>
                <w:color w:val="auto"/>
              </w:rPr>
            </w:pPr>
            <w:r>
              <w:rPr>
                <w:rFonts w:ascii="Arial" w:cs="Arial" w:eastAsia="Arial" w:hAnsi="Arial"/>
                <w:sz w:val="20"/>
                <w:szCs w:val="20"/>
                <w:b w:val="1"/>
                <w:bCs w:val="1"/>
                <w:color w:val="00C1DE"/>
              </w:rPr>
              <w:t>2023</w:t>
            </w:r>
          </w:p>
        </w:tc>
        <w:tc>
          <w:tcPr>
            <w:tcW w:w="0" w:type="dxa"/>
            <w:vAlign w:val="bottom"/>
          </w:tcPr>
          <w:p>
            <w:pPr>
              <w:spacing w:after="0"/>
              <w:rPr>
                <w:sz w:val="1"/>
                <w:szCs w:val="1"/>
                <w:color w:val="auto"/>
              </w:rPr>
            </w:pPr>
          </w:p>
        </w:tc>
      </w:tr>
      <w:tr>
        <w:trPr>
          <w:trHeight w:val="216"/>
        </w:trPr>
        <w:tc>
          <w:tcPr>
            <w:tcW w:w="6520" w:type="dxa"/>
            <w:vAlign w:val="bottom"/>
            <w:vMerge w:val="restart"/>
          </w:tcPr>
          <w:p>
            <w:pPr>
              <w:ind w:left="100"/>
              <w:spacing w:after="0"/>
              <w:rPr>
                <w:sz w:val="20"/>
                <w:szCs w:val="20"/>
                <w:color w:val="auto"/>
              </w:rPr>
            </w:pPr>
            <w:r>
              <w:rPr>
                <w:rFonts w:ascii="Arial" w:cs="Arial" w:eastAsia="Arial" w:hAnsi="Arial"/>
                <w:sz w:val="20"/>
                <w:szCs w:val="20"/>
                <w:b w:val="1"/>
                <w:bCs w:val="1"/>
                <w:color w:val="00C1DE"/>
              </w:rPr>
              <w:t>Compensation Element</w:t>
            </w:r>
          </w:p>
        </w:tc>
        <w:tc>
          <w:tcPr>
            <w:tcW w:w="2640" w:type="dxa"/>
            <w:vAlign w:val="bottom"/>
          </w:tcPr>
          <w:p>
            <w:pPr>
              <w:jc w:val="right"/>
              <w:ind w:right="261"/>
              <w:spacing w:after="0" w:line="216" w:lineRule="exact"/>
              <w:rPr>
                <w:sz w:val="20"/>
                <w:szCs w:val="20"/>
                <w:color w:val="auto"/>
              </w:rPr>
            </w:pPr>
            <w:r>
              <w:rPr>
                <w:rFonts w:ascii="Arial" w:cs="Arial" w:eastAsia="Arial" w:hAnsi="Arial"/>
                <w:sz w:val="20"/>
                <w:szCs w:val="20"/>
                <w:b w:val="1"/>
                <w:bCs w:val="1"/>
                <w:color w:val="00C1DE"/>
              </w:rPr>
              <w:t>Structure</w:t>
            </w:r>
          </w:p>
        </w:tc>
        <w:tc>
          <w:tcPr>
            <w:tcW w:w="1300" w:type="dxa"/>
            <w:vAlign w:val="bottom"/>
          </w:tcPr>
          <w:p>
            <w:pPr>
              <w:jc w:val="right"/>
              <w:spacing w:after="0" w:line="216" w:lineRule="exact"/>
              <w:rPr>
                <w:sz w:val="20"/>
                <w:szCs w:val="20"/>
                <w:color w:val="auto"/>
              </w:rPr>
            </w:pPr>
            <w:r>
              <w:rPr>
                <w:rFonts w:ascii="Arial" w:cs="Arial" w:eastAsia="Arial" w:hAnsi="Arial"/>
                <w:sz w:val="20"/>
                <w:szCs w:val="20"/>
                <w:b w:val="1"/>
                <w:bCs w:val="1"/>
                <w:color w:val="00C1DE"/>
              </w:rPr>
              <w:t>Structure</w:t>
            </w:r>
          </w:p>
        </w:tc>
        <w:tc>
          <w:tcPr>
            <w:tcW w:w="0" w:type="dxa"/>
            <w:vAlign w:val="bottom"/>
          </w:tcPr>
          <w:p>
            <w:pPr>
              <w:spacing w:after="0"/>
              <w:rPr>
                <w:sz w:val="1"/>
                <w:szCs w:val="1"/>
                <w:color w:val="auto"/>
              </w:rPr>
            </w:pPr>
          </w:p>
        </w:tc>
      </w:tr>
      <w:tr>
        <w:trPr>
          <w:trHeight w:val="253"/>
        </w:trPr>
        <w:tc>
          <w:tcPr>
            <w:tcW w:w="6520" w:type="dxa"/>
            <w:vAlign w:val="bottom"/>
            <w:tcBorders>
              <w:bottom w:val="single" w:sz="8" w:color="00C1DE"/>
            </w:tcBorders>
            <w:vMerge w:val="continue"/>
          </w:tcPr>
          <w:p>
            <w:pPr>
              <w:spacing w:after="0"/>
              <w:rPr>
                <w:sz w:val="22"/>
                <w:szCs w:val="22"/>
                <w:color w:val="auto"/>
              </w:rPr>
            </w:pPr>
          </w:p>
        </w:tc>
        <w:tc>
          <w:tcPr>
            <w:tcW w:w="2640" w:type="dxa"/>
            <w:vAlign w:val="bottom"/>
            <w:tcBorders>
              <w:bottom w:val="single" w:sz="8" w:color="00C1DE"/>
            </w:tcBorders>
          </w:tcPr>
          <w:p>
            <w:pPr>
              <w:jc w:val="right"/>
              <w:ind w:right="261"/>
              <w:spacing w:after="0"/>
              <w:rPr>
                <w:sz w:val="20"/>
                <w:szCs w:val="20"/>
                <w:color w:val="auto"/>
              </w:rPr>
            </w:pPr>
            <w:r>
              <w:rPr>
                <w:rFonts w:ascii="Arial" w:cs="Arial" w:eastAsia="Arial" w:hAnsi="Arial"/>
                <w:sz w:val="20"/>
                <w:szCs w:val="20"/>
                <w:b w:val="1"/>
                <w:bCs w:val="1"/>
                <w:color w:val="00C1DE"/>
              </w:rPr>
              <w:t>($)</w:t>
            </w:r>
          </w:p>
        </w:tc>
        <w:tc>
          <w:tcPr>
            <w:tcW w:w="1300" w:type="dxa"/>
            <w:vAlign w:val="bottom"/>
            <w:tcBorders>
              <w:bottom w:val="single" w:sz="8" w:color="00C1DE"/>
            </w:tcBorders>
          </w:tcPr>
          <w:p>
            <w:pPr>
              <w:jc w:val="right"/>
              <w:spacing w:after="0"/>
              <w:rPr>
                <w:sz w:val="20"/>
                <w:szCs w:val="20"/>
                <w:color w:val="auto"/>
              </w:rPr>
            </w:pPr>
            <w:r>
              <w:rPr>
                <w:rFonts w:ascii="Arial" w:cs="Arial" w:eastAsia="Arial" w:hAnsi="Arial"/>
                <w:sz w:val="20"/>
                <w:szCs w:val="20"/>
                <w:b w:val="1"/>
                <w:bCs w:val="1"/>
                <w:color w:val="00C1DE"/>
              </w:rPr>
              <w:t>($)</w:t>
            </w:r>
          </w:p>
        </w:tc>
        <w:tc>
          <w:tcPr>
            <w:tcW w:w="0" w:type="dxa"/>
            <w:vAlign w:val="bottom"/>
          </w:tcPr>
          <w:p>
            <w:pPr>
              <w:spacing w:after="0"/>
              <w:rPr>
                <w:sz w:val="1"/>
                <w:szCs w:val="1"/>
                <w:color w:val="auto"/>
              </w:rPr>
            </w:pPr>
          </w:p>
        </w:tc>
      </w:tr>
      <w:tr>
        <w:trPr>
          <w:trHeight w:val="301"/>
        </w:trPr>
        <w:tc>
          <w:tcPr>
            <w:tcW w:w="6520" w:type="dxa"/>
            <w:vAlign w:val="bottom"/>
          </w:tcPr>
          <w:p>
            <w:pPr>
              <w:ind w:left="100"/>
              <w:spacing w:after="0"/>
              <w:rPr>
                <w:sz w:val="20"/>
                <w:szCs w:val="20"/>
                <w:color w:val="auto"/>
              </w:rPr>
            </w:pPr>
            <w:r>
              <w:rPr>
                <w:rFonts w:ascii="Arial" w:cs="Arial" w:eastAsia="Arial" w:hAnsi="Arial"/>
                <w:sz w:val="20"/>
                <w:szCs w:val="20"/>
                <w:color w:val="3E3935"/>
              </w:rPr>
              <w:t>Board Retainer</w:t>
            </w:r>
          </w:p>
        </w:tc>
        <w:tc>
          <w:tcPr>
            <w:tcW w:w="2640" w:type="dxa"/>
            <w:vAlign w:val="bottom"/>
          </w:tcPr>
          <w:p>
            <w:pPr>
              <w:jc w:val="right"/>
              <w:ind w:right="261"/>
              <w:spacing w:after="0"/>
              <w:rPr>
                <w:sz w:val="20"/>
                <w:szCs w:val="20"/>
                <w:color w:val="auto"/>
              </w:rPr>
            </w:pPr>
            <w:r>
              <w:rPr>
                <w:rFonts w:ascii="Arial" w:cs="Arial" w:eastAsia="Arial" w:hAnsi="Arial"/>
                <w:sz w:val="20"/>
                <w:szCs w:val="20"/>
                <w:color w:val="3E3935"/>
              </w:rPr>
              <w:t>305,000</w:t>
            </w:r>
          </w:p>
        </w:tc>
        <w:tc>
          <w:tcPr>
            <w:tcW w:w="1300" w:type="dxa"/>
            <w:vAlign w:val="bottom"/>
          </w:tcPr>
          <w:p>
            <w:pPr>
              <w:jc w:val="right"/>
              <w:spacing w:after="0"/>
              <w:rPr>
                <w:sz w:val="20"/>
                <w:szCs w:val="20"/>
                <w:color w:val="auto"/>
              </w:rPr>
            </w:pPr>
            <w:r>
              <w:rPr>
                <w:rFonts w:ascii="Arial" w:cs="Arial" w:eastAsia="Arial" w:hAnsi="Arial"/>
                <w:sz w:val="20"/>
                <w:szCs w:val="20"/>
                <w:color w:val="3E3935"/>
              </w:rPr>
              <w:t>325,000</w:t>
            </w:r>
          </w:p>
        </w:tc>
        <w:tc>
          <w:tcPr>
            <w:tcW w:w="0" w:type="dxa"/>
            <w:vAlign w:val="bottom"/>
          </w:tcPr>
          <w:p>
            <w:pPr>
              <w:spacing w:after="0"/>
              <w:rPr>
                <w:sz w:val="1"/>
                <w:szCs w:val="1"/>
                <w:color w:val="auto"/>
              </w:rPr>
            </w:pPr>
          </w:p>
        </w:tc>
      </w:tr>
      <w:tr>
        <w:trPr>
          <w:trHeight w:val="58"/>
        </w:trPr>
        <w:tc>
          <w:tcPr>
            <w:tcW w:w="6520" w:type="dxa"/>
            <w:vAlign w:val="bottom"/>
            <w:tcBorders>
              <w:bottom w:val="single" w:sz="8" w:color="3E3935"/>
            </w:tcBorders>
          </w:tcPr>
          <w:p>
            <w:pPr>
              <w:spacing w:after="0"/>
              <w:rPr>
                <w:sz w:val="5"/>
                <w:szCs w:val="5"/>
                <w:color w:val="auto"/>
              </w:rPr>
            </w:pPr>
          </w:p>
        </w:tc>
        <w:tc>
          <w:tcPr>
            <w:tcW w:w="2640" w:type="dxa"/>
            <w:vAlign w:val="bottom"/>
            <w:tcBorders>
              <w:bottom w:val="single" w:sz="8" w:color="3E3935"/>
            </w:tcBorders>
          </w:tcPr>
          <w:p>
            <w:pPr>
              <w:spacing w:after="0"/>
              <w:rPr>
                <w:sz w:val="5"/>
                <w:szCs w:val="5"/>
                <w:color w:val="auto"/>
              </w:rPr>
            </w:pPr>
          </w:p>
        </w:tc>
        <w:tc>
          <w:tcPr>
            <w:tcW w:w="1300" w:type="dxa"/>
            <w:vAlign w:val="bottom"/>
            <w:tcBorders>
              <w:bottom w:val="single" w:sz="8" w:color="3E3935"/>
            </w:tcBorders>
          </w:tcPr>
          <w:p>
            <w:pPr>
              <w:spacing w:after="0"/>
              <w:rPr>
                <w:sz w:val="5"/>
                <w:szCs w:val="5"/>
                <w:color w:val="auto"/>
              </w:rPr>
            </w:pPr>
          </w:p>
        </w:tc>
        <w:tc>
          <w:tcPr>
            <w:tcW w:w="0" w:type="dxa"/>
            <w:vAlign w:val="bottom"/>
          </w:tcPr>
          <w:p>
            <w:pPr>
              <w:spacing w:after="0"/>
              <w:rPr>
                <w:sz w:val="1"/>
                <w:szCs w:val="1"/>
                <w:color w:val="auto"/>
              </w:rPr>
            </w:pPr>
          </w:p>
        </w:tc>
      </w:tr>
      <w:tr>
        <w:trPr>
          <w:trHeight w:val="300"/>
        </w:trPr>
        <w:tc>
          <w:tcPr>
            <w:tcW w:w="6520" w:type="dxa"/>
            <w:vAlign w:val="bottom"/>
          </w:tcPr>
          <w:p>
            <w:pPr>
              <w:ind w:left="100"/>
              <w:spacing w:after="0"/>
              <w:rPr>
                <w:sz w:val="20"/>
                <w:szCs w:val="20"/>
                <w:color w:val="auto"/>
              </w:rPr>
            </w:pPr>
            <w:r>
              <w:rPr>
                <w:rFonts w:ascii="Arial" w:cs="Arial" w:eastAsia="Arial" w:hAnsi="Arial"/>
                <w:sz w:val="20"/>
                <w:szCs w:val="20"/>
                <w:color w:val="3E3935"/>
              </w:rPr>
              <w:t>Independent Lead Director Fee</w:t>
            </w:r>
          </w:p>
        </w:tc>
        <w:tc>
          <w:tcPr>
            <w:tcW w:w="2640" w:type="dxa"/>
            <w:vAlign w:val="bottom"/>
          </w:tcPr>
          <w:p>
            <w:pPr>
              <w:jc w:val="right"/>
              <w:ind w:right="261"/>
              <w:spacing w:after="0"/>
              <w:rPr>
                <w:sz w:val="20"/>
                <w:szCs w:val="20"/>
                <w:color w:val="auto"/>
              </w:rPr>
            </w:pPr>
            <w:r>
              <w:rPr>
                <w:rFonts w:ascii="Arial" w:cs="Arial" w:eastAsia="Arial" w:hAnsi="Arial"/>
                <w:sz w:val="20"/>
                <w:szCs w:val="20"/>
                <w:color w:val="3E3935"/>
              </w:rPr>
              <w:t>100,000</w:t>
            </w:r>
          </w:p>
        </w:tc>
        <w:tc>
          <w:tcPr>
            <w:tcW w:w="1300" w:type="dxa"/>
            <w:vAlign w:val="bottom"/>
          </w:tcPr>
          <w:p>
            <w:pPr>
              <w:jc w:val="right"/>
              <w:spacing w:after="0"/>
              <w:rPr>
                <w:sz w:val="20"/>
                <w:szCs w:val="20"/>
                <w:color w:val="auto"/>
              </w:rPr>
            </w:pPr>
            <w:r>
              <w:rPr>
                <w:rFonts w:ascii="Arial" w:cs="Arial" w:eastAsia="Arial" w:hAnsi="Arial"/>
                <w:sz w:val="20"/>
                <w:szCs w:val="20"/>
                <w:color w:val="3E3935"/>
              </w:rPr>
              <w:t>100,000</w:t>
            </w:r>
          </w:p>
        </w:tc>
        <w:tc>
          <w:tcPr>
            <w:tcW w:w="0" w:type="dxa"/>
            <w:vAlign w:val="bottom"/>
          </w:tcPr>
          <w:p>
            <w:pPr>
              <w:spacing w:after="0"/>
              <w:rPr>
                <w:sz w:val="1"/>
                <w:szCs w:val="1"/>
                <w:color w:val="auto"/>
              </w:rPr>
            </w:pPr>
          </w:p>
        </w:tc>
      </w:tr>
      <w:tr>
        <w:trPr>
          <w:trHeight w:val="58"/>
        </w:trPr>
        <w:tc>
          <w:tcPr>
            <w:tcW w:w="6520" w:type="dxa"/>
            <w:vAlign w:val="bottom"/>
            <w:tcBorders>
              <w:bottom w:val="single" w:sz="8" w:color="3E3935"/>
            </w:tcBorders>
          </w:tcPr>
          <w:p>
            <w:pPr>
              <w:spacing w:after="0"/>
              <w:rPr>
                <w:sz w:val="5"/>
                <w:szCs w:val="5"/>
                <w:color w:val="auto"/>
              </w:rPr>
            </w:pPr>
          </w:p>
        </w:tc>
        <w:tc>
          <w:tcPr>
            <w:tcW w:w="2640" w:type="dxa"/>
            <w:vAlign w:val="bottom"/>
            <w:tcBorders>
              <w:bottom w:val="single" w:sz="8" w:color="3E3935"/>
            </w:tcBorders>
          </w:tcPr>
          <w:p>
            <w:pPr>
              <w:spacing w:after="0"/>
              <w:rPr>
                <w:sz w:val="5"/>
                <w:szCs w:val="5"/>
                <w:color w:val="auto"/>
              </w:rPr>
            </w:pPr>
          </w:p>
        </w:tc>
        <w:tc>
          <w:tcPr>
            <w:tcW w:w="1300" w:type="dxa"/>
            <w:vAlign w:val="bottom"/>
            <w:tcBorders>
              <w:bottom w:val="single" w:sz="8" w:color="3E3935"/>
            </w:tcBorders>
          </w:tcPr>
          <w:p>
            <w:pPr>
              <w:spacing w:after="0"/>
              <w:rPr>
                <w:sz w:val="5"/>
                <w:szCs w:val="5"/>
                <w:color w:val="auto"/>
              </w:rPr>
            </w:pPr>
          </w:p>
        </w:tc>
        <w:tc>
          <w:tcPr>
            <w:tcW w:w="0" w:type="dxa"/>
            <w:vAlign w:val="bottom"/>
          </w:tcPr>
          <w:p>
            <w:pPr>
              <w:spacing w:after="0"/>
              <w:rPr>
                <w:sz w:val="1"/>
                <w:szCs w:val="1"/>
                <w:color w:val="auto"/>
              </w:rPr>
            </w:pPr>
          </w:p>
        </w:tc>
      </w:tr>
      <w:tr>
        <w:trPr>
          <w:trHeight w:val="301"/>
        </w:trPr>
        <w:tc>
          <w:tcPr>
            <w:tcW w:w="6520" w:type="dxa"/>
            <w:vAlign w:val="bottom"/>
          </w:tcPr>
          <w:p>
            <w:pPr>
              <w:ind w:left="100"/>
              <w:spacing w:after="0"/>
              <w:rPr>
                <w:sz w:val="20"/>
                <w:szCs w:val="20"/>
                <w:color w:val="auto"/>
              </w:rPr>
            </w:pPr>
            <w:r>
              <w:rPr>
                <w:rFonts w:ascii="Arial" w:cs="Arial" w:eastAsia="Arial" w:hAnsi="Arial"/>
                <w:sz w:val="20"/>
                <w:szCs w:val="20"/>
                <w:color w:val="3E3935"/>
              </w:rPr>
              <w:t>Audit Committee Chair Fee</w:t>
            </w:r>
          </w:p>
        </w:tc>
        <w:tc>
          <w:tcPr>
            <w:tcW w:w="2640" w:type="dxa"/>
            <w:vAlign w:val="bottom"/>
          </w:tcPr>
          <w:p>
            <w:pPr>
              <w:jc w:val="right"/>
              <w:ind w:right="261"/>
              <w:spacing w:after="0"/>
              <w:rPr>
                <w:sz w:val="20"/>
                <w:szCs w:val="20"/>
                <w:color w:val="auto"/>
              </w:rPr>
            </w:pPr>
            <w:r>
              <w:rPr>
                <w:rFonts w:ascii="Arial" w:cs="Arial" w:eastAsia="Arial" w:hAnsi="Arial"/>
                <w:sz w:val="20"/>
                <w:szCs w:val="20"/>
                <w:color w:val="3E3935"/>
              </w:rPr>
              <w:t>35,000</w:t>
            </w:r>
          </w:p>
        </w:tc>
        <w:tc>
          <w:tcPr>
            <w:tcW w:w="1300" w:type="dxa"/>
            <w:vAlign w:val="bottom"/>
          </w:tcPr>
          <w:p>
            <w:pPr>
              <w:jc w:val="right"/>
              <w:spacing w:after="0"/>
              <w:rPr>
                <w:sz w:val="20"/>
                <w:szCs w:val="20"/>
                <w:color w:val="auto"/>
              </w:rPr>
            </w:pPr>
            <w:r>
              <w:rPr>
                <w:rFonts w:ascii="Arial" w:cs="Arial" w:eastAsia="Arial" w:hAnsi="Arial"/>
                <w:sz w:val="20"/>
                <w:szCs w:val="20"/>
                <w:color w:val="3E3935"/>
              </w:rPr>
              <w:t>35,000</w:t>
            </w:r>
          </w:p>
        </w:tc>
        <w:tc>
          <w:tcPr>
            <w:tcW w:w="0" w:type="dxa"/>
            <w:vAlign w:val="bottom"/>
          </w:tcPr>
          <w:p>
            <w:pPr>
              <w:spacing w:after="0"/>
              <w:rPr>
                <w:sz w:val="1"/>
                <w:szCs w:val="1"/>
                <w:color w:val="auto"/>
              </w:rPr>
            </w:pPr>
          </w:p>
        </w:tc>
      </w:tr>
      <w:tr>
        <w:trPr>
          <w:trHeight w:val="58"/>
        </w:trPr>
        <w:tc>
          <w:tcPr>
            <w:tcW w:w="6520" w:type="dxa"/>
            <w:vAlign w:val="bottom"/>
            <w:tcBorders>
              <w:bottom w:val="single" w:sz="8" w:color="3E3935"/>
            </w:tcBorders>
          </w:tcPr>
          <w:p>
            <w:pPr>
              <w:spacing w:after="0"/>
              <w:rPr>
                <w:sz w:val="5"/>
                <w:szCs w:val="5"/>
                <w:color w:val="auto"/>
              </w:rPr>
            </w:pPr>
          </w:p>
        </w:tc>
        <w:tc>
          <w:tcPr>
            <w:tcW w:w="2640" w:type="dxa"/>
            <w:vAlign w:val="bottom"/>
            <w:tcBorders>
              <w:bottom w:val="single" w:sz="8" w:color="3E3935"/>
            </w:tcBorders>
          </w:tcPr>
          <w:p>
            <w:pPr>
              <w:spacing w:after="0"/>
              <w:rPr>
                <w:sz w:val="5"/>
                <w:szCs w:val="5"/>
                <w:color w:val="auto"/>
              </w:rPr>
            </w:pPr>
          </w:p>
        </w:tc>
        <w:tc>
          <w:tcPr>
            <w:tcW w:w="1300" w:type="dxa"/>
            <w:vAlign w:val="bottom"/>
            <w:tcBorders>
              <w:bottom w:val="single" w:sz="8" w:color="3E3935"/>
            </w:tcBorders>
          </w:tcPr>
          <w:p>
            <w:pPr>
              <w:spacing w:after="0"/>
              <w:rPr>
                <w:sz w:val="5"/>
                <w:szCs w:val="5"/>
                <w:color w:val="auto"/>
              </w:rPr>
            </w:pPr>
          </w:p>
        </w:tc>
        <w:tc>
          <w:tcPr>
            <w:tcW w:w="0" w:type="dxa"/>
            <w:vAlign w:val="bottom"/>
          </w:tcPr>
          <w:p>
            <w:pPr>
              <w:spacing w:after="0"/>
              <w:rPr>
                <w:sz w:val="1"/>
                <w:szCs w:val="1"/>
                <w:color w:val="auto"/>
              </w:rPr>
            </w:pPr>
          </w:p>
        </w:tc>
      </w:tr>
      <w:tr>
        <w:trPr>
          <w:trHeight w:val="255"/>
        </w:trPr>
        <w:tc>
          <w:tcPr>
            <w:tcW w:w="6520" w:type="dxa"/>
            <w:vAlign w:val="bottom"/>
          </w:tcPr>
          <w:p>
            <w:pPr>
              <w:ind w:left="100"/>
              <w:spacing w:after="0"/>
              <w:rPr>
                <w:sz w:val="20"/>
                <w:szCs w:val="20"/>
                <w:color w:val="auto"/>
              </w:rPr>
            </w:pPr>
            <w:r>
              <w:rPr>
                <w:rFonts w:ascii="Arial" w:cs="Arial" w:eastAsia="Arial" w:hAnsi="Arial"/>
                <w:sz w:val="20"/>
                <w:szCs w:val="20"/>
                <w:color w:val="3E3935"/>
              </w:rPr>
              <w:t>All Other Committee Chair Fees (excluding the Executive</w:t>
            </w:r>
          </w:p>
        </w:tc>
        <w:tc>
          <w:tcPr>
            <w:tcW w:w="264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5"/>
        </w:trPr>
        <w:tc>
          <w:tcPr>
            <w:tcW w:w="6520" w:type="dxa"/>
            <w:vAlign w:val="bottom"/>
          </w:tcPr>
          <w:p>
            <w:pPr>
              <w:ind w:left="100"/>
              <w:spacing w:after="0"/>
              <w:rPr>
                <w:sz w:val="20"/>
                <w:szCs w:val="20"/>
                <w:color w:val="auto"/>
              </w:rPr>
            </w:pPr>
            <w:r>
              <w:rPr>
                <w:rFonts w:ascii="Arial" w:cs="Arial" w:eastAsia="Arial" w:hAnsi="Arial"/>
                <w:sz w:val="20"/>
                <w:szCs w:val="20"/>
                <w:color w:val="3E3935"/>
              </w:rPr>
              <w:t>Committee)</w:t>
            </w:r>
          </w:p>
        </w:tc>
        <w:tc>
          <w:tcPr>
            <w:tcW w:w="2640" w:type="dxa"/>
            <w:vAlign w:val="bottom"/>
          </w:tcPr>
          <w:p>
            <w:pPr>
              <w:jc w:val="right"/>
              <w:ind w:right="261"/>
              <w:spacing w:after="0"/>
              <w:rPr>
                <w:sz w:val="20"/>
                <w:szCs w:val="20"/>
                <w:color w:val="auto"/>
              </w:rPr>
            </w:pPr>
            <w:r>
              <w:rPr>
                <w:rFonts w:ascii="Arial" w:cs="Arial" w:eastAsia="Arial" w:hAnsi="Arial"/>
                <w:sz w:val="20"/>
                <w:szCs w:val="20"/>
                <w:color w:val="3E3935"/>
              </w:rPr>
              <w:t>25,000</w:t>
            </w:r>
          </w:p>
        </w:tc>
        <w:tc>
          <w:tcPr>
            <w:tcW w:w="1300" w:type="dxa"/>
            <w:vAlign w:val="bottom"/>
          </w:tcPr>
          <w:p>
            <w:pPr>
              <w:jc w:val="right"/>
              <w:spacing w:after="0"/>
              <w:rPr>
                <w:sz w:val="20"/>
                <w:szCs w:val="20"/>
                <w:color w:val="auto"/>
              </w:rPr>
            </w:pPr>
            <w:r>
              <w:rPr>
                <w:rFonts w:ascii="Arial" w:cs="Arial" w:eastAsia="Arial" w:hAnsi="Arial"/>
                <w:sz w:val="20"/>
                <w:szCs w:val="20"/>
                <w:color w:val="3E3935"/>
              </w:rPr>
              <w:t>25,000</w:t>
            </w:r>
          </w:p>
        </w:tc>
        <w:tc>
          <w:tcPr>
            <w:tcW w:w="0" w:type="dxa"/>
            <w:vAlign w:val="bottom"/>
          </w:tcPr>
          <w:p>
            <w:pPr>
              <w:spacing w:after="0"/>
              <w:rPr>
                <w:sz w:val="1"/>
                <w:szCs w:val="1"/>
                <w:color w:val="auto"/>
              </w:rPr>
            </w:pPr>
          </w:p>
        </w:tc>
      </w:tr>
      <w:tr>
        <w:trPr>
          <w:trHeight w:val="58"/>
        </w:trPr>
        <w:tc>
          <w:tcPr>
            <w:tcW w:w="6520" w:type="dxa"/>
            <w:vAlign w:val="bottom"/>
            <w:tcBorders>
              <w:bottom w:val="single" w:sz="8" w:color="0071CE"/>
            </w:tcBorders>
          </w:tcPr>
          <w:p>
            <w:pPr>
              <w:spacing w:after="0"/>
              <w:rPr>
                <w:sz w:val="5"/>
                <w:szCs w:val="5"/>
                <w:color w:val="auto"/>
              </w:rPr>
            </w:pPr>
          </w:p>
        </w:tc>
        <w:tc>
          <w:tcPr>
            <w:tcW w:w="2640" w:type="dxa"/>
            <w:vAlign w:val="bottom"/>
            <w:tcBorders>
              <w:bottom w:val="single" w:sz="8" w:color="0071CE"/>
            </w:tcBorders>
          </w:tcPr>
          <w:p>
            <w:pPr>
              <w:spacing w:after="0"/>
              <w:rPr>
                <w:sz w:val="5"/>
                <w:szCs w:val="5"/>
                <w:color w:val="auto"/>
              </w:rPr>
            </w:pPr>
          </w:p>
        </w:tc>
        <w:tc>
          <w:tcPr>
            <w:tcW w:w="1300" w:type="dxa"/>
            <w:vAlign w:val="bottom"/>
            <w:tcBorders>
              <w:bottom w:val="single" w:sz="8" w:color="0071CE"/>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120"/>
          </w:cols>
          <w:pgMar w:left="320" w:top="482" w:right="459" w:bottom="1440" w:gutter="0" w:footer="0" w:header="0"/>
          <w:type w:val="continuous"/>
        </w:sectPr>
      </w:pPr>
    </w:p>
    <w:p>
      <w:pPr>
        <w:spacing w:after="0" w:line="75" w:lineRule="exact"/>
        <w:rPr>
          <w:sz w:val="20"/>
          <w:szCs w:val="20"/>
          <w:color w:val="auto"/>
        </w:rPr>
      </w:pPr>
    </w:p>
    <w:p>
      <w:pPr>
        <w:jc w:val="both"/>
        <w:ind w:left="120"/>
        <w:spacing w:after="0" w:line="233" w:lineRule="auto"/>
        <w:rPr>
          <w:sz w:val="20"/>
          <w:szCs w:val="20"/>
          <w:color w:val="auto"/>
        </w:rPr>
      </w:pPr>
      <w:r>
        <w:rPr>
          <w:rFonts w:ascii="Arial" w:cs="Arial" w:eastAsia="Arial" w:hAnsi="Arial"/>
          <w:sz w:val="20"/>
          <w:szCs w:val="20"/>
          <w:color w:val="3E3935"/>
        </w:rPr>
        <w:t>Starting in 2023, non-employee directors are required to defer at least 60 percent (compared to 50 percent in 2022) of their annual Board retainer into DSUs under the Director Compensation Plan. Directors may elect to defer their remaining Board retainer or amounts payable (if any) for serving as</w:t>
      </w:r>
    </w:p>
    <w:p>
      <w:pPr>
        <w:spacing w:after="0" w:line="20" w:lineRule="exact"/>
        <w:rPr>
          <w:sz w:val="20"/>
          <w:szCs w:val="20"/>
          <w:color w:val="auto"/>
        </w:rPr>
      </w:pPr>
      <w:r>
        <w:rPr>
          <w:sz w:val="20"/>
          <w:szCs w:val="20"/>
          <w:color w:val="auto"/>
        </w:rPr>
        <w:br w:type="column"/>
      </w:r>
    </w:p>
    <w:p>
      <w:pPr>
        <w:spacing w:after="0" w:line="55" w:lineRule="exact"/>
        <w:rPr>
          <w:sz w:val="20"/>
          <w:szCs w:val="20"/>
          <w:color w:val="auto"/>
        </w:rPr>
      </w:pPr>
    </w:p>
    <w:p>
      <w:pPr>
        <w:jc w:val="both"/>
        <w:spacing w:after="0" w:line="237" w:lineRule="auto"/>
        <w:rPr>
          <w:sz w:val="20"/>
          <w:szCs w:val="20"/>
          <w:color w:val="auto"/>
        </w:rPr>
      </w:pPr>
      <w:r>
        <w:rPr>
          <w:rFonts w:ascii="Arial" w:cs="Arial" w:eastAsia="Arial" w:hAnsi="Arial"/>
          <w:sz w:val="20"/>
          <w:szCs w:val="20"/>
          <w:color w:val="3E3935"/>
        </w:rPr>
        <w:t>a committee chair or Independent Lead Director into additional DSUs. The fees for a director who joins or leaves the Board or assumes additional responsibilities during the year are prorated for the director’s period of service.</w:t>
      </w:r>
    </w:p>
    <w:p>
      <w:pPr>
        <w:spacing w:after="0" w:line="631" w:lineRule="exact"/>
        <w:rPr>
          <w:sz w:val="20"/>
          <w:szCs w:val="20"/>
          <w:color w:val="auto"/>
        </w:rPr>
      </w:pPr>
    </w:p>
    <w:p>
      <w:pPr>
        <w:sectPr>
          <w:pgSz w:w="11900" w:h="16838" w:orient="portrait"/>
          <w:cols w:equalWidth="0" w:num="2">
            <w:col w:w="5400" w:space="340"/>
            <w:col w:w="5380"/>
          </w:cols>
          <w:pgMar w:left="320" w:top="482" w:right="459" w:bottom="1440" w:gutter="0" w:footer="0" w:header="0"/>
          <w:type w:val="continuous"/>
        </w:sectPr>
      </w:pPr>
    </w:p>
    <w:p>
      <w:pPr>
        <w:spacing w:after="0" w:line="269" w:lineRule="exact"/>
        <w:rPr>
          <w:sz w:val="20"/>
          <w:szCs w:val="20"/>
          <w:color w:val="auto"/>
        </w:rPr>
      </w:pPr>
    </w:p>
    <w:p>
      <w:pPr>
        <w:ind w:left="660" w:hanging="544"/>
        <w:spacing w:after="0"/>
        <w:tabs>
          <w:tab w:leader="none" w:pos="660" w:val="left"/>
        </w:tabs>
        <w:numPr>
          <w:ilvl w:val="0"/>
          <w:numId w:val="27"/>
        </w:numPr>
        <w:rPr>
          <w:rFonts w:ascii="Times New Roman" w:cs="Times New Roman" w:eastAsia="Times New Roman" w:hAnsi="Times New Roman"/>
          <w:sz w:val="19"/>
          <w:szCs w:val="19"/>
          <w:color w:val="0071CE"/>
        </w:rPr>
      </w:pPr>
      <w:r>
        <w:rPr>
          <w:rFonts w:ascii="Arial" w:cs="Arial" w:eastAsia="Arial" w:hAnsi="Arial"/>
          <w:sz w:val="25"/>
          <w:szCs w:val="25"/>
          <w:color w:val="3E3935"/>
        </w:rPr>
        <w:t>How Deferred Share Units Work</w:t>
      </w:r>
    </w:p>
    <w:p>
      <w:pPr>
        <w:spacing w:after="0" w:line="186" w:lineRule="exact"/>
        <w:rPr>
          <w:sz w:val="20"/>
          <w:szCs w:val="20"/>
          <w:color w:val="auto"/>
        </w:rPr>
      </w:pPr>
    </w:p>
    <w:p>
      <w:pPr>
        <w:jc w:val="both"/>
        <w:ind w:left="120"/>
        <w:spacing w:after="0" w:line="231" w:lineRule="auto"/>
        <w:rPr>
          <w:sz w:val="20"/>
          <w:szCs w:val="20"/>
          <w:color w:val="auto"/>
        </w:rPr>
      </w:pPr>
      <w:r>
        <w:rPr>
          <w:rFonts w:ascii="Arial" w:cs="Arial" w:eastAsia="Arial" w:hAnsi="Arial"/>
          <w:sz w:val="20"/>
          <w:szCs w:val="20"/>
          <w:color w:val="3E3935"/>
        </w:rPr>
        <w:t>Each DSU is equal in value to one share of GM common stock and is fully vested upon grant, but does not have voting rights. DSUs will not be available for disposition until after the director leaves the Board. After leaving the Board, the director will receive a cash payment or payments based on the number of DSUs in the director’s account valued at the average daily closing market price for the quarter immediately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both"/>
        <w:spacing w:after="0" w:line="231" w:lineRule="auto"/>
        <w:rPr>
          <w:sz w:val="20"/>
          <w:szCs w:val="20"/>
          <w:color w:val="auto"/>
        </w:rPr>
      </w:pPr>
      <w:r>
        <w:rPr>
          <w:rFonts w:ascii="Arial" w:cs="Arial" w:eastAsia="Arial" w:hAnsi="Arial"/>
          <w:sz w:val="20"/>
          <w:szCs w:val="20"/>
          <w:color w:val="3E3935"/>
        </w:rPr>
        <w:t>preceding payment. Directors will be paid in a lump sum or in annual installments for up to five years, based on their deferral elections. All DSUs granted are rounded up to the nearest whole unit. Any portion of the retainer that is deferred into DSUs may also earn dividend equivalents, which are credited at the end of each calendar year to each director’s account in the form of additional DSUs. DSUs granted are determined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-3039110</wp:posOffset>
            </wp:positionH>
            <wp:positionV relativeFrom="paragraph">
              <wp:posOffset>226695</wp:posOffset>
            </wp:positionV>
            <wp:extent cx="5932170" cy="10629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5932170" cy="10629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400" w:space="340"/>
            <w:col w:w="5380"/>
          </w:cols>
          <w:pgMar w:left="320" w:top="482" w:right="4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120"/>
        <w:spacing w:after="0"/>
        <w:rPr>
          <w:sz w:val="20"/>
          <w:szCs w:val="20"/>
          <w:color w:val="auto"/>
        </w:rPr>
      </w:pPr>
      <w:r>
        <w:rPr>
          <w:rFonts w:ascii="Arial" w:cs="Arial" w:eastAsia="Arial" w:hAnsi="Arial"/>
          <w:sz w:val="14"/>
          <w:szCs w:val="14"/>
          <w:color w:val="0071CE"/>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wp:posOffset>
            </wp:positionH>
            <wp:positionV relativeFrom="paragraph">
              <wp:posOffset>-95885</wp:posOffset>
            </wp:positionV>
            <wp:extent cx="5983605" cy="10287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5983605" cy="102870"/>
                    </a:xfrm>
                    <a:prstGeom prst="rect">
                      <a:avLst/>
                    </a:prstGeom>
                    <a:noFill/>
                  </pic:spPr>
                </pic:pic>
              </a:graphicData>
            </a:graphic>
          </wp:anchor>
        </w:drawing>
      </w:r>
    </w:p>
    <w:p>
      <w:pPr>
        <w:sectPr>
          <w:pgSz w:w="11900" w:h="16838" w:orient="portrait"/>
          <w:cols w:equalWidth="0" w:num="1">
            <w:col w:w="11120"/>
          </w:cols>
          <w:pgMar w:left="320" w:top="482" w:right="459" w:bottom="1440" w:gutter="0" w:footer="0" w:header="0"/>
          <w:type w:val="continuous"/>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5" w:lineRule="exact"/>
        <w:rPr>
          <w:sz w:val="20"/>
          <w:szCs w:val="20"/>
          <w:color w:val="auto"/>
        </w:rPr>
      </w:pPr>
    </w:p>
    <w:p>
      <w:pPr>
        <w:ind w:left="660" w:hanging="544"/>
        <w:spacing w:after="0"/>
        <w:tabs>
          <w:tab w:leader="none" w:pos="660" w:val="left"/>
        </w:tabs>
        <w:numPr>
          <w:ilvl w:val="0"/>
          <w:numId w:val="28"/>
        </w:numPr>
        <w:rPr>
          <w:rFonts w:ascii="Times New Roman" w:cs="Times New Roman" w:eastAsia="Times New Roman" w:hAnsi="Times New Roman"/>
          <w:sz w:val="19"/>
          <w:szCs w:val="19"/>
          <w:color w:val="0071CE"/>
        </w:rPr>
      </w:pPr>
      <w:r>
        <w:rPr>
          <w:rFonts w:ascii="Arial" w:cs="Arial" w:eastAsia="Arial" w:hAnsi="Arial"/>
          <w:sz w:val="25"/>
          <w:szCs w:val="25"/>
          <w:color w:val="3E3935"/>
        </w:rPr>
        <w:t>Other Compensation</w:t>
      </w:r>
    </w:p>
    <w:p>
      <w:pPr>
        <w:spacing w:after="0" w:line="118" w:lineRule="exact"/>
        <w:rPr>
          <w:sz w:val="20"/>
          <w:szCs w:val="20"/>
          <w:color w:val="auto"/>
        </w:rPr>
      </w:pPr>
    </w:p>
    <w:p>
      <w:pPr>
        <w:ind w:left="120"/>
        <w:spacing w:after="0"/>
        <w:rPr>
          <w:sz w:val="20"/>
          <w:szCs w:val="20"/>
          <w:color w:val="auto"/>
        </w:rPr>
      </w:pPr>
      <w:r>
        <w:rPr>
          <w:rFonts w:ascii="Arial" w:cs="Arial" w:eastAsia="Arial" w:hAnsi="Arial"/>
          <w:sz w:val="20"/>
          <w:szCs w:val="20"/>
          <w:color w:val="3E3935"/>
        </w:rPr>
        <w:t>We provide certain additional benefits to non-employee directors.</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243"/>
        </w:trPr>
        <w:tc>
          <w:tcPr>
            <w:tcW w:w="2480" w:type="dxa"/>
            <w:vAlign w:val="bottom"/>
            <w:tcBorders>
              <w:top w:val="single" w:sz="8" w:color="00C1DE"/>
              <w:bottom w:val="single" w:sz="8" w:color="00C1DE"/>
            </w:tcBorders>
            <w:gridSpan w:val="2"/>
          </w:tcPr>
          <w:p>
            <w:pPr>
              <w:ind w:left="100"/>
              <w:spacing w:after="0"/>
              <w:rPr>
                <w:sz w:val="20"/>
                <w:szCs w:val="20"/>
                <w:color w:val="auto"/>
              </w:rPr>
            </w:pPr>
            <w:r>
              <w:rPr>
                <w:rFonts w:ascii="Arial" w:cs="Arial" w:eastAsia="Arial" w:hAnsi="Arial"/>
                <w:sz w:val="20"/>
                <w:szCs w:val="20"/>
                <w:b w:val="1"/>
                <w:bCs w:val="1"/>
                <w:color w:val="00C1DE"/>
              </w:rPr>
              <w:t>Type</w:t>
            </w:r>
          </w:p>
        </w:tc>
        <w:tc>
          <w:tcPr>
            <w:tcW w:w="8540" w:type="dxa"/>
            <w:vAlign w:val="bottom"/>
            <w:tcBorders>
              <w:top w:val="single" w:sz="8" w:color="00C1DE"/>
              <w:bottom w:val="single" w:sz="8" w:color="00C1DE"/>
            </w:tcBorders>
          </w:tcPr>
          <w:p>
            <w:pPr>
              <w:ind w:left="400"/>
              <w:spacing w:after="0"/>
              <w:rPr>
                <w:sz w:val="20"/>
                <w:szCs w:val="20"/>
                <w:color w:val="auto"/>
              </w:rPr>
            </w:pPr>
            <w:r>
              <w:rPr>
                <w:rFonts w:ascii="Arial" w:cs="Arial" w:eastAsia="Arial" w:hAnsi="Arial"/>
                <w:sz w:val="20"/>
                <w:szCs w:val="20"/>
                <w:b w:val="1"/>
                <w:bCs w:val="1"/>
                <w:color w:val="00C1DE"/>
              </w:rPr>
              <w:t>Purpose</w:t>
            </w:r>
          </w:p>
        </w:tc>
      </w:tr>
      <w:tr>
        <w:trPr>
          <w:trHeight w:val="255"/>
        </w:trPr>
        <w:tc>
          <w:tcPr>
            <w:tcW w:w="340" w:type="dxa"/>
            <w:vAlign w:val="bottom"/>
          </w:tcPr>
          <w:p>
            <w:pPr>
              <w:ind w:left="100"/>
              <w:spacing w:after="0"/>
              <w:rPr>
                <w:sz w:val="20"/>
                <w:szCs w:val="20"/>
                <w:color w:val="auto"/>
              </w:rPr>
            </w:pPr>
            <w:r>
              <w:rPr>
                <w:rFonts w:ascii="Times New Roman" w:cs="Times New Roman" w:eastAsia="Times New Roman" w:hAnsi="Times New Roman"/>
                <w:sz w:val="20"/>
                <w:szCs w:val="20"/>
                <w:color w:val="00C1DE"/>
              </w:rPr>
              <w:t>u</w:t>
            </w:r>
            <w:r>
              <w:rPr>
                <w:rFonts w:ascii="Arial" w:cs="Arial" w:eastAsia="Arial" w:hAnsi="Arial"/>
                <w:sz w:val="20"/>
                <w:szCs w:val="20"/>
                <w:color w:val="3E3935"/>
              </w:rPr>
              <w:t xml:space="preserve"> </w:t>
            </w:r>
          </w:p>
        </w:tc>
        <w:tc>
          <w:tcPr>
            <w:tcW w:w="2140" w:type="dxa"/>
            <w:vAlign w:val="bottom"/>
          </w:tcPr>
          <w:p>
            <w:pPr>
              <w:ind w:left="60"/>
              <w:spacing w:after="0"/>
              <w:rPr>
                <w:sz w:val="20"/>
                <w:szCs w:val="20"/>
                <w:color w:val="auto"/>
              </w:rPr>
            </w:pPr>
            <w:r>
              <w:rPr>
                <w:rFonts w:ascii="Arial" w:cs="Arial" w:eastAsia="Arial" w:hAnsi="Arial"/>
                <w:sz w:val="20"/>
                <w:szCs w:val="20"/>
                <w:color w:val="3E3935"/>
              </w:rPr>
              <w:t>  Company Vehicles</w:t>
            </w:r>
          </w:p>
        </w:tc>
        <w:tc>
          <w:tcPr>
            <w:tcW w:w="8540" w:type="dxa"/>
            <w:vAlign w:val="bottom"/>
          </w:tcPr>
          <w:p>
            <w:pPr>
              <w:ind w:left="400"/>
              <w:spacing w:after="0"/>
              <w:rPr>
                <w:sz w:val="20"/>
                <w:szCs w:val="20"/>
                <w:color w:val="auto"/>
              </w:rPr>
            </w:pPr>
            <w:r>
              <w:rPr>
                <w:rFonts w:ascii="Arial" w:cs="Arial" w:eastAsia="Arial" w:hAnsi="Arial"/>
                <w:sz w:val="20"/>
                <w:szCs w:val="20"/>
                <w:color w:val="3E3935"/>
                <w:w w:val="99"/>
              </w:rPr>
              <w:t>We provide directors with the use of Company vehicles and electric vehicle charging stations</w:t>
            </w:r>
          </w:p>
        </w:tc>
      </w:tr>
      <w:tr>
        <w:trPr>
          <w:trHeight w:val="216"/>
        </w:trPr>
        <w:tc>
          <w:tcPr>
            <w:tcW w:w="34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8540" w:type="dxa"/>
            <w:vAlign w:val="bottom"/>
          </w:tcPr>
          <w:p>
            <w:pPr>
              <w:ind w:left="400"/>
              <w:spacing w:after="0" w:line="216" w:lineRule="exact"/>
              <w:rPr>
                <w:sz w:val="20"/>
                <w:szCs w:val="20"/>
                <w:color w:val="auto"/>
              </w:rPr>
            </w:pPr>
            <w:r>
              <w:rPr>
                <w:rFonts w:ascii="Arial" w:cs="Arial" w:eastAsia="Arial" w:hAnsi="Arial"/>
                <w:sz w:val="20"/>
                <w:szCs w:val="20"/>
                <w:color w:val="3E3935"/>
              </w:rPr>
              <w:t>to provide feedback on our products as well as enhance the public image of our vehicles.</w:t>
            </w:r>
          </w:p>
        </w:tc>
      </w:tr>
      <w:tr>
        <w:trPr>
          <w:trHeight w:val="216"/>
        </w:trPr>
        <w:tc>
          <w:tcPr>
            <w:tcW w:w="34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8540" w:type="dxa"/>
            <w:vAlign w:val="bottom"/>
          </w:tcPr>
          <w:p>
            <w:pPr>
              <w:ind w:left="400"/>
              <w:spacing w:after="0" w:line="216" w:lineRule="exact"/>
              <w:rPr>
                <w:sz w:val="20"/>
                <w:szCs w:val="20"/>
                <w:color w:val="auto"/>
              </w:rPr>
            </w:pPr>
            <w:r>
              <w:rPr>
                <w:rFonts w:ascii="Arial" w:cs="Arial" w:eastAsia="Arial" w:hAnsi="Arial"/>
                <w:sz w:val="20"/>
                <w:szCs w:val="20"/>
                <w:color w:val="3E3935"/>
                <w:w w:val="99"/>
              </w:rPr>
              <w:t>Retired directors also receive the use of a Company vehicle for a period of time. Participants</w:t>
            </w:r>
          </w:p>
        </w:tc>
      </w:tr>
      <w:tr>
        <w:trPr>
          <w:trHeight w:val="216"/>
        </w:trPr>
        <w:tc>
          <w:tcPr>
            <w:tcW w:w="34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8540" w:type="dxa"/>
            <w:vAlign w:val="bottom"/>
          </w:tcPr>
          <w:p>
            <w:pPr>
              <w:ind w:left="400"/>
              <w:spacing w:after="0" w:line="216" w:lineRule="exact"/>
              <w:rPr>
                <w:sz w:val="20"/>
                <w:szCs w:val="20"/>
                <w:color w:val="auto"/>
              </w:rPr>
            </w:pPr>
            <w:r>
              <w:rPr>
                <w:rFonts w:ascii="Arial" w:cs="Arial" w:eastAsia="Arial" w:hAnsi="Arial"/>
                <w:sz w:val="20"/>
                <w:szCs w:val="20"/>
                <w:color w:val="3E3935"/>
              </w:rPr>
              <w:t>are charged with imputed income based on the lease value of the vehicles and are</w:t>
            </w:r>
          </w:p>
        </w:tc>
      </w:tr>
      <w:tr>
        <w:trPr>
          <w:trHeight w:val="261"/>
        </w:trPr>
        <w:tc>
          <w:tcPr>
            <w:tcW w:w="340" w:type="dxa"/>
            <w:vAlign w:val="bottom"/>
          </w:tcPr>
          <w:p>
            <w:pPr>
              <w:spacing w:after="0"/>
              <w:rPr>
                <w:sz w:val="22"/>
                <w:szCs w:val="22"/>
                <w:color w:val="auto"/>
              </w:rPr>
            </w:pPr>
          </w:p>
        </w:tc>
        <w:tc>
          <w:tcPr>
            <w:tcW w:w="2140" w:type="dxa"/>
            <w:vAlign w:val="bottom"/>
          </w:tcPr>
          <w:p>
            <w:pPr>
              <w:spacing w:after="0"/>
              <w:rPr>
                <w:sz w:val="22"/>
                <w:szCs w:val="22"/>
                <w:color w:val="auto"/>
              </w:rPr>
            </w:pPr>
          </w:p>
        </w:tc>
        <w:tc>
          <w:tcPr>
            <w:tcW w:w="8540" w:type="dxa"/>
            <w:vAlign w:val="bottom"/>
          </w:tcPr>
          <w:p>
            <w:pPr>
              <w:ind w:left="400"/>
              <w:spacing w:after="0"/>
              <w:rPr>
                <w:sz w:val="20"/>
                <w:szCs w:val="20"/>
                <w:color w:val="auto"/>
              </w:rPr>
            </w:pPr>
            <w:r>
              <w:rPr>
                <w:rFonts w:ascii="Arial" w:cs="Arial" w:eastAsia="Arial" w:hAnsi="Arial"/>
                <w:sz w:val="20"/>
                <w:szCs w:val="20"/>
                <w:color w:val="3E3935"/>
              </w:rPr>
              <w:t>responsible for associated taxes.</w:t>
            </w:r>
          </w:p>
        </w:tc>
      </w:tr>
      <w:tr>
        <w:trPr>
          <w:trHeight w:val="58"/>
        </w:trPr>
        <w:tc>
          <w:tcPr>
            <w:tcW w:w="340" w:type="dxa"/>
            <w:vAlign w:val="bottom"/>
            <w:tcBorders>
              <w:bottom w:val="single" w:sz="8" w:color="3E3935"/>
            </w:tcBorders>
          </w:tcPr>
          <w:p>
            <w:pPr>
              <w:spacing w:after="0"/>
              <w:rPr>
                <w:sz w:val="5"/>
                <w:szCs w:val="5"/>
                <w:color w:val="auto"/>
              </w:rPr>
            </w:pPr>
          </w:p>
        </w:tc>
        <w:tc>
          <w:tcPr>
            <w:tcW w:w="2140" w:type="dxa"/>
            <w:vAlign w:val="bottom"/>
            <w:tcBorders>
              <w:bottom w:val="single" w:sz="8" w:color="3E3935"/>
            </w:tcBorders>
          </w:tcPr>
          <w:p>
            <w:pPr>
              <w:spacing w:after="0"/>
              <w:rPr>
                <w:sz w:val="5"/>
                <w:szCs w:val="5"/>
                <w:color w:val="auto"/>
              </w:rPr>
            </w:pPr>
          </w:p>
        </w:tc>
        <w:tc>
          <w:tcPr>
            <w:tcW w:w="8540" w:type="dxa"/>
            <w:vAlign w:val="bottom"/>
            <w:tcBorders>
              <w:bottom w:val="single" w:sz="8" w:color="3E3935"/>
            </w:tcBorders>
          </w:tcPr>
          <w:p>
            <w:pPr>
              <w:spacing w:after="0"/>
              <w:rPr>
                <w:sz w:val="5"/>
                <w:szCs w:val="5"/>
                <w:color w:val="auto"/>
              </w:rPr>
            </w:pPr>
          </w:p>
        </w:tc>
      </w:tr>
      <w:tr>
        <w:trPr>
          <w:trHeight w:val="255"/>
        </w:trPr>
        <w:tc>
          <w:tcPr>
            <w:tcW w:w="340" w:type="dxa"/>
            <w:vAlign w:val="bottom"/>
          </w:tcPr>
          <w:p>
            <w:pPr>
              <w:ind w:left="100"/>
              <w:spacing w:after="0"/>
              <w:rPr>
                <w:sz w:val="20"/>
                <w:szCs w:val="20"/>
                <w:color w:val="auto"/>
              </w:rPr>
            </w:pPr>
            <w:r>
              <w:rPr>
                <w:rFonts w:ascii="Times New Roman" w:cs="Times New Roman" w:eastAsia="Times New Roman" w:hAnsi="Times New Roman"/>
                <w:sz w:val="20"/>
                <w:szCs w:val="20"/>
                <w:color w:val="00C1DE"/>
              </w:rPr>
              <w:t>u</w:t>
            </w:r>
            <w:r>
              <w:rPr>
                <w:rFonts w:ascii="Arial" w:cs="Arial" w:eastAsia="Arial" w:hAnsi="Arial"/>
                <w:sz w:val="20"/>
                <w:szCs w:val="20"/>
                <w:color w:val="3E3935"/>
              </w:rPr>
              <w:t xml:space="preserve"> </w:t>
            </w:r>
          </w:p>
        </w:tc>
        <w:tc>
          <w:tcPr>
            <w:tcW w:w="2140" w:type="dxa"/>
            <w:vAlign w:val="bottom"/>
          </w:tcPr>
          <w:p>
            <w:pPr>
              <w:ind w:left="60"/>
              <w:spacing w:after="0"/>
              <w:rPr>
                <w:sz w:val="20"/>
                <w:szCs w:val="20"/>
                <w:color w:val="auto"/>
              </w:rPr>
            </w:pPr>
            <w:r>
              <w:rPr>
                <w:rFonts w:ascii="Arial" w:cs="Arial" w:eastAsia="Arial" w:hAnsi="Arial"/>
                <w:sz w:val="20"/>
                <w:szCs w:val="20"/>
                <w:color w:val="3E3935"/>
              </w:rPr>
              <w:t> Personal Accident</w:t>
            </w:r>
          </w:p>
        </w:tc>
        <w:tc>
          <w:tcPr>
            <w:tcW w:w="8540" w:type="dxa"/>
            <w:vAlign w:val="bottom"/>
          </w:tcPr>
          <w:p>
            <w:pPr>
              <w:ind w:left="400"/>
              <w:spacing w:after="0"/>
              <w:rPr>
                <w:sz w:val="20"/>
                <w:szCs w:val="20"/>
                <w:color w:val="auto"/>
              </w:rPr>
            </w:pPr>
            <w:r>
              <w:rPr>
                <w:rFonts w:ascii="Arial" w:cs="Arial" w:eastAsia="Arial" w:hAnsi="Arial"/>
                <w:sz w:val="20"/>
                <w:szCs w:val="20"/>
                <w:color w:val="3E3935"/>
              </w:rPr>
              <w:t>We provide personal accident insurance coverage in the event of accidental death or</w:t>
            </w:r>
          </w:p>
        </w:tc>
      </w:tr>
      <w:tr>
        <w:trPr>
          <w:trHeight w:val="216"/>
        </w:trPr>
        <w:tc>
          <w:tcPr>
            <w:tcW w:w="340" w:type="dxa"/>
            <w:vAlign w:val="bottom"/>
          </w:tcPr>
          <w:p>
            <w:pPr>
              <w:spacing w:after="0"/>
              <w:rPr>
                <w:sz w:val="18"/>
                <w:szCs w:val="18"/>
                <w:color w:val="auto"/>
              </w:rPr>
            </w:pPr>
          </w:p>
        </w:tc>
        <w:tc>
          <w:tcPr>
            <w:tcW w:w="2140" w:type="dxa"/>
            <w:vAlign w:val="bottom"/>
          </w:tcPr>
          <w:p>
            <w:pPr>
              <w:ind w:left="160"/>
              <w:spacing w:after="0" w:line="216" w:lineRule="exact"/>
              <w:rPr>
                <w:sz w:val="20"/>
                <w:szCs w:val="20"/>
                <w:color w:val="auto"/>
              </w:rPr>
            </w:pPr>
            <w:r>
              <w:rPr>
                <w:rFonts w:ascii="Arial" w:cs="Arial" w:eastAsia="Arial" w:hAnsi="Arial"/>
                <w:sz w:val="17"/>
                <w:szCs w:val="17"/>
                <w:color w:val="3E3935"/>
              </w:rPr>
              <w:t>Insurance</w:t>
            </w:r>
            <w:r>
              <w:rPr>
                <w:rFonts w:ascii="Arial" w:cs="Arial" w:eastAsia="Arial" w:hAnsi="Arial"/>
                <w:sz w:val="25"/>
                <w:szCs w:val="25"/>
                <w:color w:val="3E3935"/>
                <w:vertAlign w:val="superscript"/>
              </w:rPr>
              <w:t>(1)</w:t>
            </w:r>
          </w:p>
        </w:tc>
        <w:tc>
          <w:tcPr>
            <w:tcW w:w="8540" w:type="dxa"/>
            <w:vAlign w:val="bottom"/>
          </w:tcPr>
          <w:p>
            <w:pPr>
              <w:ind w:left="400"/>
              <w:spacing w:after="0" w:line="216" w:lineRule="exact"/>
              <w:rPr>
                <w:sz w:val="20"/>
                <w:szCs w:val="20"/>
                <w:color w:val="auto"/>
              </w:rPr>
            </w:pPr>
            <w:r>
              <w:rPr>
                <w:rFonts w:ascii="Arial" w:cs="Arial" w:eastAsia="Arial" w:hAnsi="Arial"/>
                <w:sz w:val="20"/>
                <w:szCs w:val="20"/>
                <w:color w:val="3E3935"/>
                <w:w w:val="99"/>
              </w:rPr>
              <w:t>dismemberment. Directors are responsible for associated taxes on the imputed income from</w:t>
            </w:r>
          </w:p>
        </w:tc>
      </w:tr>
      <w:tr>
        <w:trPr>
          <w:trHeight w:val="261"/>
        </w:trPr>
        <w:tc>
          <w:tcPr>
            <w:tcW w:w="340" w:type="dxa"/>
            <w:vAlign w:val="bottom"/>
          </w:tcPr>
          <w:p>
            <w:pPr>
              <w:spacing w:after="0"/>
              <w:rPr>
                <w:sz w:val="22"/>
                <w:szCs w:val="22"/>
                <w:color w:val="auto"/>
              </w:rPr>
            </w:pPr>
          </w:p>
        </w:tc>
        <w:tc>
          <w:tcPr>
            <w:tcW w:w="2140" w:type="dxa"/>
            <w:vAlign w:val="bottom"/>
          </w:tcPr>
          <w:p>
            <w:pPr>
              <w:spacing w:after="0"/>
              <w:rPr>
                <w:sz w:val="22"/>
                <w:szCs w:val="22"/>
                <w:color w:val="auto"/>
              </w:rPr>
            </w:pPr>
          </w:p>
        </w:tc>
        <w:tc>
          <w:tcPr>
            <w:tcW w:w="8540" w:type="dxa"/>
            <w:vAlign w:val="bottom"/>
          </w:tcPr>
          <w:p>
            <w:pPr>
              <w:ind w:left="400"/>
              <w:spacing w:after="0"/>
              <w:rPr>
                <w:sz w:val="20"/>
                <w:szCs w:val="20"/>
                <w:color w:val="auto"/>
              </w:rPr>
            </w:pPr>
            <w:r>
              <w:rPr>
                <w:rFonts w:ascii="Arial" w:cs="Arial" w:eastAsia="Arial" w:hAnsi="Arial"/>
                <w:sz w:val="20"/>
                <w:szCs w:val="20"/>
                <w:color w:val="3E3935"/>
              </w:rPr>
              <w:t>the coverage.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36195</wp:posOffset>
            </wp:positionV>
            <wp:extent cx="699516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15" w:lineRule="exact"/>
        <w:rPr>
          <w:sz w:val="20"/>
          <w:szCs w:val="20"/>
          <w:color w:val="auto"/>
        </w:rPr>
      </w:pPr>
    </w:p>
    <w:p>
      <w:pPr>
        <w:jc w:val="both"/>
        <w:ind w:left="540" w:hanging="424"/>
        <w:spacing w:after="0" w:line="252" w:lineRule="auto"/>
        <w:tabs>
          <w:tab w:leader="none" w:pos="540" w:val="left"/>
        </w:tabs>
        <w:numPr>
          <w:ilvl w:val="0"/>
          <w:numId w:val="29"/>
        </w:numPr>
        <w:rPr>
          <w:rFonts w:ascii="Arial" w:cs="Arial" w:eastAsia="Arial" w:hAnsi="Arial"/>
          <w:sz w:val="18"/>
          <w:szCs w:val="18"/>
          <w:i w:val="1"/>
          <w:iCs w:val="1"/>
          <w:color w:val="3E3935"/>
        </w:rPr>
      </w:pPr>
      <w:r>
        <w:rPr>
          <w:rFonts w:ascii="Arial" w:cs="Arial" w:eastAsia="Arial" w:hAnsi="Arial"/>
          <w:sz w:val="18"/>
          <w:szCs w:val="18"/>
          <w:i w:val="1"/>
          <w:iCs w:val="1"/>
          <w:color w:val="3E3935"/>
        </w:rPr>
        <w:t>Ms. Barra, our sole employee director, does not receive additional compensation for her Board service other than the personal accident insurance benefit described above, the value of which is reported for Ms. Barra in the Summary Compensation Table on page 74.</w:t>
      </w:r>
    </w:p>
    <w:p>
      <w:pPr>
        <w:spacing w:after="0" w:line="167" w:lineRule="exact"/>
        <w:rPr>
          <w:sz w:val="20"/>
          <w:szCs w:val="20"/>
          <w:color w:val="auto"/>
        </w:rPr>
      </w:pPr>
    </w:p>
    <w:p>
      <w:pPr>
        <w:ind w:left="120" w:right="20"/>
        <w:spacing w:after="0" w:line="257" w:lineRule="auto"/>
        <w:rPr>
          <w:sz w:val="20"/>
          <w:szCs w:val="20"/>
          <w:color w:val="auto"/>
        </w:rPr>
      </w:pPr>
      <w:r>
        <w:rPr>
          <w:rFonts w:ascii="Arial" w:cs="Arial" w:eastAsia="Arial" w:hAnsi="Arial"/>
          <w:sz w:val="20"/>
          <w:szCs w:val="20"/>
          <w:color w:val="3E3935"/>
        </w:rPr>
        <w:t>Non-employee directors are not eligible to participate in any of the savings or retirement programs available to our employees. Other than as described in this section, there are no separate benefit plans for directors.</w:t>
      </w:r>
    </w:p>
    <w:p>
      <w:pPr>
        <w:spacing w:after="0" w:line="226" w:lineRule="exact"/>
        <w:rPr>
          <w:sz w:val="20"/>
          <w:szCs w:val="20"/>
          <w:color w:val="auto"/>
        </w:rPr>
      </w:pPr>
    </w:p>
    <w:p>
      <w:pPr>
        <w:ind w:left="120"/>
        <w:spacing w:after="0"/>
        <w:rPr>
          <w:sz w:val="20"/>
          <w:szCs w:val="20"/>
          <w:color w:val="auto"/>
        </w:rPr>
      </w:pPr>
      <w:r>
        <w:rPr>
          <w:rFonts w:ascii="Arial" w:cs="Arial" w:eastAsia="Arial" w:hAnsi="Arial"/>
          <w:sz w:val="29"/>
          <w:szCs w:val="29"/>
          <w:color w:val="3E3935"/>
        </w:rPr>
        <w:t>2022 Non-Employee Director Compensation Table</w:t>
      </w:r>
    </w:p>
    <w:p>
      <w:pPr>
        <w:spacing w:after="0" w:line="123" w:lineRule="exact"/>
        <w:rPr>
          <w:sz w:val="20"/>
          <w:szCs w:val="20"/>
          <w:color w:val="auto"/>
        </w:rPr>
      </w:pPr>
    </w:p>
    <w:p>
      <w:pPr>
        <w:ind w:left="120" w:right="20"/>
        <w:spacing w:after="0" w:line="257" w:lineRule="auto"/>
        <w:rPr>
          <w:sz w:val="20"/>
          <w:szCs w:val="20"/>
          <w:color w:val="auto"/>
        </w:rPr>
      </w:pPr>
      <w:r>
        <w:rPr>
          <w:rFonts w:ascii="Arial" w:cs="Arial" w:eastAsia="Arial" w:hAnsi="Arial"/>
          <w:sz w:val="20"/>
          <w:szCs w:val="20"/>
          <w:color w:val="3E3935"/>
        </w:rPr>
        <w:t>The table below shows the compensation that each non-employee director received for their 2022 Board and committee service.</w:t>
      </w:r>
    </w:p>
    <w:p>
      <w:pPr>
        <w:spacing w:after="0" w:line="184" w:lineRule="exact"/>
        <w:rPr>
          <w:sz w:val="20"/>
          <w:szCs w:val="20"/>
          <w:color w:val="auto"/>
        </w:rPr>
      </w:pPr>
    </w:p>
    <w:tbl>
      <w:tblPr>
        <w:tblLayout w:type="fixed"/>
        <w:tblInd w:w="120" w:type="dxa"/>
        <w:tblCellMar>
          <w:top w:w="0" w:type="dxa"/>
          <w:left w:w="0" w:type="dxa"/>
          <w:bottom w:w="0" w:type="dxa"/>
          <w:right w:w="0" w:type="dxa"/>
        </w:tblCellMar>
      </w:tblPr>
      <w:tr>
        <w:trPr>
          <w:trHeight w:val="219"/>
        </w:trPr>
        <w:tc>
          <w:tcPr>
            <w:tcW w:w="2960" w:type="dxa"/>
            <w:vAlign w:val="bottom"/>
            <w:tcBorders>
              <w:top w:val="single" w:sz="8" w:color="00C1DE"/>
            </w:tcBorders>
          </w:tcPr>
          <w:p>
            <w:pPr>
              <w:spacing w:after="0"/>
              <w:rPr>
                <w:sz w:val="19"/>
                <w:szCs w:val="19"/>
                <w:color w:val="auto"/>
              </w:rPr>
            </w:pPr>
          </w:p>
        </w:tc>
        <w:tc>
          <w:tcPr>
            <w:tcW w:w="2480" w:type="dxa"/>
            <w:vAlign w:val="bottom"/>
            <w:tcBorders>
              <w:top w:val="single" w:sz="8" w:color="00C1DE"/>
            </w:tcBorders>
          </w:tcPr>
          <w:p>
            <w:pPr>
              <w:jc w:val="right"/>
              <w:ind w:right="242"/>
              <w:spacing w:after="0" w:line="219" w:lineRule="exact"/>
              <w:rPr>
                <w:sz w:val="20"/>
                <w:szCs w:val="20"/>
                <w:color w:val="auto"/>
              </w:rPr>
            </w:pPr>
            <w:r>
              <w:rPr>
                <w:rFonts w:ascii="Arial" w:cs="Arial" w:eastAsia="Arial" w:hAnsi="Arial"/>
                <w:sz w:val="20"/>
                <w:szCs w:val="20"/>
                <w:b w:val="1"/>
                <w:bCs w:val="1"/>
                <w:color w:val="00C1DE"/>
              </w:rPr>
              <w:t>Fees Earned or</w:t>
            </w:r>
          </w:p>
        </w:tc>
        <w:tc>
          <w:tcPr>
            <w:tcW w:w="2160" w:type="dxa"/>
            <w:vAlign w:val="bottom"/>
            <w:tcBorders>
              <w:top w:val="single" w:sz="8" w:color="00C1DE"/>
            </w:tcBorders>
            <w:vMerge w:val="restart"/>
          </w:tcPr>
          <w:p>
            <w:pPr>
              <w:jc w:val="right"/>
              <w:ind w:right="241"/>
              <w:spacing w:after="0"/>
              <w:rPr>
                <w:sz w:val="20"/>
                <w:szCs w:val="20"/>
                <w:color w:val="auto"/>
              </w:rPr>
            </w:pPr>
            <w:r>
              <w:rPr>
                <w:rFonts w:ascii="Arial" w:cs="Arial" w:eastAsia="Arial" w:hAnsi="Arial"/>
                <w:sz w:val="20"/>
                <w:szCs w:val="20"/>
                <w:b w:val="1"/>
                <w:bCs w:val="1"/>
                <w:color w:val="00C1DE"/>
              </w:rPr>
              <w:t>Stock Awards</w:t>
            </w:r>
            <w:r>
              <w:rPr>
                <w:rFonts w:ascii="Arial" w:cs="Arial" w:eastAsia="Arial" w:hAnsi="Arial"/>
                <w:sz w:val="29"/>
                <w:szCs w:val="29"/>
                <w:b w:val="1"/>
                <w:bCs w:val="1"/>
                <w:color w:val="00C1DE"/>
                <w:vertAlign w:val="superscript"/>
              </w:rPr>
              <w:t>(2)</w:t>
            </w:r>
          </w:p>
        </w:tc>
        <w:tc>
          <w:tcPr>
            <w:tcW w:w="2220" w:type="dxa"/>
            <w:vAlign w:val="bottom"/>
            <w:tcBorders>
              <w:top w:val="single" w:sz="8" w:color="00C1DE"/>
            </w:tcBorders>
          </w:tcPr>
          <w:p>
            <w:pPr>
              <w:jc w:val="right"/>
              <w:ind w:right="202"/>
              <w:spacing w:after="0" w:line="219" w:lineRule="exact"/>
              <w:rPr>
                <w:sz w:val="20"/>
                <w:szCs w:val="20"/>
                <w:color w:val="auto"/>
              </w:rPr>
            </w:pPr>
            <w:r>
              <w:rPr>
                <w:rFonts w:ascii="Arial" w:cs="Arial" w:eastAsia="Arial" w:hAnsi="Arial"/>
                <w:sz w:val="20"/>
                <w:szCs w:val="20"/>
                <w:b w:val="1"/>
                <w:bCs w:val="1"/>
                <w:color w:val="00C1DE"/>
              </w:rPr>
              <w:t>All Other</w:t>
            </w:r>
          </w:p>
        </w:tc>
        <w:tc>
          <w:tcPr>
            <w:tcW w:w="1200" w:type="dxa"/>
            <w:vAlign w:val="bottom"/>
            <w:tcBorders>
              <w:top w:val="single" w:sz="8" w:color="00C1DE"/>
            </w:tcBorders>
            <w:vMerge w:val="restart"/>
          </w:tcPr>
          <w:p>
            <w:pPr>
              <w:jc w:val="right"/>
              <w:ind w:right="81"/>
              <w:spacing w:after="0"/>
              <w:rPr>
                <w:sz w:val="20"/>
                <w:szCs w:val="20"/>
                <w:color w:val="auto"/>
              </w:rPr>
            </w:pPr>
            <w:r>
              <w:rPr>
                <w:rFonts w:ascii="Arial" w:cs="Arial" w:eastAsia="Arial" w:hAnsi="Arial"/>
                <w:sz w:val="20"/>
                <w:szCs w:val="20"/>
                <w:b w:val="1"/>
                <w:bCs w:val="1"/>
                <w:color w:val="00C1DE"/>
              </w:rPr>
              <w:t>Total</w:t>
            </w:r>
          </w:p>
        </w:tc>
        <w:tc>
          <w:tcPr>
            <w:tcW w:w="0" w:type="dxa"/>
            <w:vAlign w:val="bottom"/>
          </w:tcPr>
          <w:p>
            <w:pPr>
              <w:spacing w:after="0"/>
              <w:rPr>
                <w:sz w:val="1"/>
                <w:szCs w:val="1"/>
                <w:color w:val="auto"/>
              </w:rPr>
            </w:pPr>
          </w:p>
        </w:tc>
      </w:tr>
      <w:tr>
        <w:trPr>
          <w:trHeight w:val="216"/>
        </w:trPr>
        <w:tc>
          <w:tcPr>
            <w:tcW w:w="2960" w:type="dxa"/>
            <w:vAlign w:val="bottom"/>
            <w:vMerge w:val="restart"/>
          </w:tcPr>
          <w:p>
            <w:pPr>
              <w:ind w:left="100"/>
              <w:spacing w:after="0"/>
              <w:rPr>
                <w:sz w:val="20"/>
                <w:szCs w:val="20"/>
                <w:color w:val="auto"/>
              </w:rPr>
            </w:pPr>
            <w:r>
              <w:rPr>
                <w:rFonts w:ascii="Arial" w:cs="Arial" w:eastAsia="Arial" w:hAnsi="Arial"/>
                <w:sz w:val="20"/>
                <w:szCs w:val="20"/>
                <w:b w:val="1"/>
                <w:bCs w:val="1"/>
                <w:color w:val="00C1DE"/>
              </w:rPr>
              <w:t>Director</w:t>
            </w:r>
          </w:p>
        </w:tc>
        <w:tc>
          <w:tcPr>
            <w:tcW w:w="2480" w:type="dxa"/>
            <w:vAlign w:val="bottom"/>
          </w:tcPr>
          <w:p>
            <w:pPr>
              <w:jc w:val="right"/>
              <w:ind w:right="242"/>
              <w:spacing w:after="0" w:line="216" w:lineRule="exact"/>
              <w:rPr>
                <w:sz w:val="20"/>
                <w:szCs w:val="20"/>
                <w:color w:val="auto"/>
              </w:rPr>
            </w:pPr>
            <w:r>
              <w:rPr>
                <w:rFonts w:ascii="Arial" w:cs="Arial" w:eastAsia="Arial" w:hAnsi="Arial"/>
                <w:sz w:val="17"/>
                <w:szCs w:val="17"/>
                <w:b w:val="1"/>
                <w:bCs w:val="1"/>
                <w:color w:val="00C1DE"/>
              </w:rPr>
              <w:t>Paid in Cash</w:t>
            </w:r>
            <w:r>
              <w:rPr>
                <w:rFonts w:ascii="Arial" w:cs="Arial" w:eastAsia="Arial" w:hAnsi="Arial"/>
                <w:sz w:val="25"/>
                <w:szCs w:val="25"/>
                <w:b w:val="1"/>
                <w:bCs w:val="1"/>
                <w:color w:val="00C1DE"/>
                <w:vertAlign w:val="superscript"/>
              </w:rPr>
              <w:t>(1)</w:t>
            </w:r>
          </w:p>
        </w:tc>
        <w:tc>
          <w:tcPr>
            <w:tcW w:w="2160" w:type="dxa"/>
            <w:vAlign w:val="bottom"/>
            <w:vMerge w:val="continue"/>
          </w:tcPr>
          <w:p>
            <w:pPr>
              <w:spacing w:after="0"/>
              <w:rPr>
                <w:sz w:val="18"/>
                <w:szCs w:val="18"/>
                <w:color w:val="auto"/>
              </w:rPr>
            </w:pPr>
          </w:p>
        </w:tc>
        <w:tc>
          <w:tcPr>
            <w:tcW w:w="2220" w:type="dxa"/>
            <w:vAlign w:val="bottom"/>
          </w:tcPr>
          <w:p>
            <w:pPr>
              <w:jc w:val="right"/>
              <w:ind w:right="202"/>
              <w:spacing w:after="0" w:line="216" w:lineRule="exact"/>
              <w:rPr>
                <w:sz w:val="20"/>
                <w:szCs w:val="20"/>
                <w:color w:val="auto"/>
              </w:rPr>
            </w:pPr>
            <w:r>
              <w:rPr>
                <w:rFonts w:ascii="Arial" w:cs="Arial" w:eastAsia="Arial" w:hAnsi="Arial"/>
                <w:sz w:val="17"/>
                <w:szCs w:val="17"/>
                <w:b w:val="1"/>
                <w:bCs w:val="1"/>
                <w:color w:val="00C1DE"/>
              </w:rPr>
              <w:t>Compensation</w:t>
            </w:r>
            <w:r>
              <w:rPr>
                <w:rFonts w:ascii="Arial" w:cs="Arial" w:eastAsia="Arial" w:hAnsi="Arial"/>
                <w:sz w:val="25"/>
                <w:szCs w:val="25"/>
                <w:b w:val="1"/>
                <w:bCs w:val="1"/>
                <w:color w:val="00C1DE"/>
                <w:vertAlign w:val="superscript"/>
              </w:rPr>
              <w:t>(3)</w:t>
            </w:r>
          </w:p>
        </w:tc>
        <w:tc>
          <w:tcPr>
            <w:tcW w:w="12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3"/>
        </w:trPr>
        <w:tc>
          <w:tcPr>
            <w:tcW w:w="2960" w:type="dxa"/>
            <w:vAlign w:val="bottom"/>
            <w:vMerge w:val="continue"/>
          </w:tcPr>
          <w:p>
            <w:pPr>
              <w:spacing w:after="0"/>
              <w:rPr>
                <w:sz w:val="23"/>
                <w:szCs w:val="23"/>
                <w:color w:val="auto"/>
              </w:rPr>
            </w:pPr>
          </w:p>
        </w:tc>
        <w:tc>
          <w:tcPr>
            <w:tcW w:w="2480" w:type="dxa"/>
            <w:vAlign w:val="bottom"/>
          </w:tcPr>
          <w:p>
            <w:pPr>
              <w:jc w:val="right"/>
              <w:ind w:right="242"/>
              <w:spacing w:after="0"/>
              <w:rPr>
                <w:sz w:val="20"/>
                <w:szCs w:val="20"/>
                <w:color w:val="auto"/>
              </w:rPr>
            </w:pPr>
            <w:r>
              <w:rPr>
                <w:rFonts w:ascii="Arial" w:cs="Arial" w:eastAsia="Arial" w:hAnsi="Arial"/>
                <w:sz w:val="20"/>
                <w:szCs w:val="20"/>
                <w:b w:val="1"/>
                <w:bCs w:val="1"/>
                <w:color w:val="00C1DE"/>
              </w:rPr>
              <w:t>($)</w:t>
            </w:r>
          </w:p>
        </w:tc>
        <w:tc>
          <w:tcPr>
            <w:tcW w:w="2160" w:type="dxa"/>
            <w:vAlign w:val="bottom"/>
          </w:tcPr>
          <w:p>
            <w:pPr>
              <w:jc w:val="right"/>
              <w:ind w:right="241"/>
              <w:spacing w:after="0"/>
              <w:rPr>
                <w:sz w:val="20"/>
                <w:szCs w:val="20"/>
                <w:color w:val="auto"/>
              </w:rPr>
            </w:pPr>
            <w:r>
              <w:rPr>
                <w:rFonts w:ascii="Arial" w:cs="Arial" w:eastAsia="Arial" w:hAnsi="Arial"/>
                <w:sz w:val="20"/>
                <w:szCs w:val="20"/>
                <w:b w:val="1"/>
                <w:bCs w:val="1"/>
                <w:color w:val="00C1DE"/>
              </w:rPr>
              <w:t>($)</w:t>
            </w:r>
          </w:p>
        </w:tc>
        <w:tc>
          <w:tcPr>
            <w:tcW w:w="2220" w:type="dxa"/>
            <w:vAlign w:val="bottom"/>
          </w:tcPr>
          <w:p>
            <w:pPr>
              <w:jc w:val="right"/>
              <w:ind w:right="202"/>
              <w:spacing w:after="0"/>
              <w:rPr>
                <w:sz w:val="20"/>
                <w:szCs w:val="20"/>
                <w:color w:val="auto"/>
              </w:rPr>
            </w:pPr>
            <w:r>
              <w:rPr>
                <w:rFonts w:ascii="Arial" w:cs="Arial" w:eastAsia="Arial" w:hAnsi="Arial"/>
                <w:sz w:val="20"/>
                <w:szCs w:val="20"/>
                <w:b w:val="1"/>
                <w:bCs w:val="1"/>
                <w:color w:val="00C1DE"/>
              </w:rPr>
              <w:t>($)</w:t>
            </w:r>
          </w:p>
        </w:tc>
        <w:tc>
          <w:tcPr>
            <w:tcW w:w="1200" w:type="dxa"/>
            <w:vAlign w:val="bottom"/>
          </w:tcPr>
          <w:p>
            <w:pPr>
              <w:jc w:val="right"/>
              <w:ind w:right="81"/>
              <w:spacing w:after="0"/>
              <w:rPr>
                <w:sz w:val="20"/>
                <w:szCs w:val="20"/>
                <w:color w:val="auto"/>
              </w:rPr>
            </w:pPr>
            <w:r>
              <w:rPr>
                <w:rFonts w:ascii="Arial" w:cs="Arial" w:eastAsia="Arial" w:hAnsi="Arial"/>
                <w:sz w:val="20"/>
                <w:szCs w:val="20"/>
                <w:b w:val="1"/>
                <w:bCs w:val="1"/>
                <w:color w:val="00C1DE"/>
              </w:rPr>
              <w:t>($)</w:t>
            </w:r>
          </w:p>
        </w:tc>
        <w:tc>
          <w:tcPr>
            <w:tcW w:w="0" w:type="dxa"/>
            <w:vAlign w:val="bottom"/>
          </w:tcPr>
          <w:p>
            <w:pPr>
              <w:spacing w:after="0"/>
              <w:rPr>
                <w:sz w:val="1"/>
                <w:szCs w:val="1"/>
                <w:color w:val="auto"/>
              </w:rPr>
            </w:pPr>
          </w:p>
        </w:tc>
      </w:tr>
      <w:tr>
        <w:trPr>
          <w:trHeight w:val="61"/>
        </w:trPr>
        <w:tc>
          <w:tcPr>
            <w:tcW w:w="2960" w:type="dxa"/>
            <w:vAlign w:val="bottom"/>
            <w:tcBorders>
              <w:bottom w:val="single" w:sz="8" w:color="00C1DE"/>
            </w:tcBorders>
          </w:tcPr>
          <w:p>
            <w:pPr>
              <w:spacing w:after="0"/>
              <w:rPr>
                <w:sz w:val="5"/>
                <w:szCs w:val="5"/>
                <w:color w:val="auto"/>
              </w:rPr>
            </w:pPr>
          </w:p>
        </w:tc>
        <w:tc>
          <w:tcPr>
            <w:tcW w:w="2480" w:type="dxa"/>
            <w:vAlign w:val="bottom"/>
            <w:tcBorders>
              <w:bottom w:val="single" w:sz="8" w:color="00C1DE"/>
            </w:tcBorders>
          </w:tcPr>
          <w:p>
            <w:pPr>
              <w:spacing w:after="0"/>
              <w:rPr>
                <w:sz w:val="5"/>
                <w:szCs w:val="5"/>
                <w:color w:val="auto"/>
              </w:rPr>
            </w:pPr>
          </w:p>
        </w:tc>
        <w:tc>
          <w:tcPr>
            <w:tcW w:w="2160" w:type="dxa"/>
            <w:vAlign w:val="bottom"/>
            <w:tcBorders>
              <w:bottom w:val="single" w:sz="8" w:color="00C1DE"/>
            </w:tcBorders>
          </w:tcPr>
          <w:p>
            <w:pPr>
              <w:spacing w:after="0"/>
              <w:rPr>
                <w:sz w:val="5"/>
                <w:szCs w:val="5"/>
                <w:color w:val="auto"/>
              </w:rPr>
            </w:pPr>
          </w:p>
        </w:tc>
        <w:tc>
          <w:tcPr>
            <w:tcW w:w="2220" w:type="dxa"/>
            <w:vAlign w:val="bottom"/>
            <w:tcBorders>
              <w:bottom w:val="single" w:sz="8" w:color="00C1DE"/>
            </w:tcBorders>
          </w:tcPr>
          <w:p>
            <w:pPr>
              <w:spacing w:after="0"/>
              <w:rPr>
                <w:sz w:val="5"/>
                <w:szCs w:val="5"/>
                <w:color w:val="auto"/>
              </w:rPr>
            </w:pPr>
          </w:p>
        </w:tc>
        <w:tc>
          <w:tcPr>
            <w:tcW w:w="1200" w:type="dxa"/>
            <w:vAlign w:val="bottom"/>
            <w:tcBorders>
              <w:bottom w:val="single" w:sz="8" w:color="00C1DE"/>
            </w:tcBorders>
          </w:tcPr>
          <w:p>
            <w:pPr>
              <w:spacing w:after="0"/>
              <w:rPr>
                <w:sz w:val="5"/>
                <w:szCs w:val="5"/>
                <w:color w:val="auto"/>
              </w:rPr>
            </w:pPr>
          </w:p>
        </w:tc>
        <w:tc>
          <w:tcPr>
            <w:tcW w:w="0" w:type="dxa"/>
            <w:vAlign w:val="bottom"/>
          </w:tcPr>
          <w:p>
            <w:pPr>
              <w:spacing w:after="0"/>
              <w:rPr>
                <w:sz w:val="1"/>
                <w:szCs w:val="1"/>
                <w:color w:val="auto"/>
              </w:rPr>
            </w:pPr>
          </w:p>
        </w:tc>
      </w:tr>
      <w:tr>
        <w:trPr>
          <w:trHeight w:val="301"/>
        </w:trPr>
        <w:tc>
          <w:tcPr>
            <w:tcW w:w="2960" w:type="dxa"/>
            <w:vAlign w:val="bottom"/>
          </w:tcPr>
          <w:p>
            <w:pPr>
              <w:ind w:left="80"/>
              <w:spacing w:after="0"/>
              <w:rPr>
                <w:sz w:val="20"/>
                <w:szCs w:val="20"/>
                <w:color w:val="auto"/>
              </w:rPr>
            </w:pPr>
            <w:r>
              <w:rPr>
                <w:rFonts w:ascii="Arial" w:cs="Arial" w:eastAsia="Arial" w:hAnsi="Arial"/>
                <w:sz w:val="20"/>
                <w:szCs w:val="20"/>
                <w:color w:val="3E3935"/>
              </w:rPr>
              <w:t>Aneel Bhusri</w:t>
            </w:r>
          </w:p>
        </w:tc>
        <w:tc>
          <w:tcPr>
            <w:tcW w:w="2480" w:type="dxa"/>
            <w:vAlign w:val="bottom"/>
          </w:tcPr>
          <w:p>
            <w:pPr>
              <w:jc w:val="right"/>
              <w:ind w:right="242"/>
              <w:spacing w:after="0"/>
              <w:rPr>
                <w:sz w:val="20"/>
                <w:szCs w:val="20"/>
                <w:color w:val="auto"/>
              </w:rPr>
            </w:pPr>
            <w:r>
              <w:rPr>
                <w:rFonts w:ascii="Arial" w:cs="Arial" w:eastAsia="Arial" w:hAnsi="Arial"/>
                <w:sz w:val="20"/>
                <w:szCs w:val="20"/>
                <w:color w:val="3E3935"/>
              </w:rPr>
              <w:t>152,500</w:t>
            </w:r>
          </w:p>
        </w:tc>
        <w:tc>
          <w:tcPr>
            <w:tcW w:w="2160" w:type="dxa"/>
            <w:vAlign w:val="bottom"/>
          </w:tcPr>
          <w:p>
            <w:pPr>
              <w:jc w:val="right"/>
              <w:ind w:right="241"/>
              <w:spacing w:after="0"/>
              <w:rPr>
                <w:sz w:val="20"/>
                <w:szCs w:val="20"/>
                <w:color w:val="auto"/>
              </w:rPr>
            </w:pPr>
            <w:r>
              <w:rPr>
                <w:rFonts w:ascii="Arial" w:cs="Arial" w:eastAsia="Arial" w:hAnsi="Arial"/>
                <w:sz w:val="20"/>
                <w:szCs w:val="20"/>
                <w:color w:val="3E3935"/>
              </w:rPr>
              <w:t>127,529</w:t>
            </w:r>
          </w:p>
        </w:tc>
        <w:tc>
          <w:tcPr>
            <w:tcW w:w="2220" w:type="dxa"/>
            <w:vAlign w:val="bottom"/>
          </w:tcPr>
          <w:p>
            <w:pPr>
              <w:jc w:val="right"/>
              <w:ind w:right="202"/>
              <w:spacing w:after="0"/>
              <w:rPr>
                <w:sz w:val="20"/>
                <w:szCs w:val="20"/>
                <w:color w:val="auto"/>
              </w:rPr>
            </w:pPr>
            <w:r>
              <w:rPr>
                <w:rFonts w:ascii="Arial" w:cs="Arial" w:eastAsia="Arial" w:hAnsi="Arial"/>
                <w:sz w:val="20"/>
                <w:szCs w:val="20"/>
                <w:color w:val="3E3935"/>
              </w:rPr>
              <w:t>10,969</w:t>
            </w:r>
          </w:p>
        </w:tc>
        <w:tc>
          <w:tcPr>
            <w:tcW w:w="1200" w:type="dxa"/>
            <w:vAlign w:val="bottom"/>
          </w:tcPr>
          <w:p>
            <w:pPr>
              <w:jc w:val="right"/>
              <w:ind w:right="81"/>
              <w:spacing w:after="0"/>
              <w:rPr>
                <w:sz w:val="20"/>
                <w:szCs w:val="20"/>
                <w:color w:val="auto"/>
              </w:rPr>
            </w:pPr>
            <w:r>
              <w:rPr>
                <w:rFonts w:ascii="Arial" w:cs="Arial" w:eastAsia="Arial" w:hAnsi="Arial"/>
                <w:sz w:val="20"/>
                <w:szCs w:val="20"/>
                <w:color w:val="3E3935"/>
              </w:rPr>
              <w:t>290,998</w:t>
            </w:r>
          </w:p>
        </w:tc>
        <w:tc>
          <w:tcPr>
            <w:tcW w:w="0" w:type="dxa"/>
            <w:vAlign w:val="bottom"/>
          </w:tcPr>
          <w:p>
            <w:pPr>
              <w:spacing w:after="0"/>
              <w:rPr>
                <w:sz w:val="1"/>
                <w:szCs w:val="1"/>
                <w:color w:val="auto"/>
              </w:rPr>
            </w:pPr>
          </w:p>
        </w:tc>
      </w:tr>
      <w:tr>
        <w:trPr>
          <w:trHeight w:val="57"/>
        </w:trPr>
        <w:tc>
          <w:tcPr>
            <w:tcW w:w="2960" w:type="dxa"/>
            <w:vAlign w:val="bottom"/>
            <w:tcBorders>
              <w:bottom w:val="single" w:sz="8" w:color="3E3935"/>
            </w:tcBorders>
          </w:tcPr>
          <w:p>
            <w:pPr>
              <w:spacing w:after="0"/>
              <w:rPr>
                <w:sz w:val="5"/>
                <w:szCs w:val="5"/>
                <w:color w:val="auto"/>
              </w:rPr>
            </w:pPr>
          </w:p>
        </w:tc>
        <w:tc>
          <w:tcPr>
            <w:tcW w:w="2480" w:type="dxa"/>
            <w:vAlign w:val="bottom"/>
            <w:tcBorders>
              <w:bottom w:val="single" w:sz="8" w:color="3E3935"/>
            </w:tcBorders>
          </w:tcPr>
          <w:p>
            <w:pPr>
              <w:spacing w:after="0"/>
              <w:rPr>
                <w:sz w:val="5"/>
                <w:szCs w:val="5"/>
                <w:color w:val="auto"/>
              </w:rPr>
            </w:pPr>
          </w:p>
        </w:tc>
        <w:tc>
          <w:tcPr>
            <w:tcW w:w="2160" w:type="dxa"/>
            <w:vAlign w:val="bottom"/>
            <w:tcBorders>
              <w:bottom w:val="single" w:sz="8" w:color="3E3935"/>
            </w:tcBorders>
          </w:tcPr>
          <w:p>
            <w:pPr>
              <w:spacing w:after="0"/>
              <w:rPr>
                <w:sz w:val="5"/>
                <w:szCs w:val="5"/>
                <w:color w:val="auto"/>
              </w:rPr>
            </w:pPr>
          </w:p>
        </w:tc>
        <w:tc>
          <w:tcPr>
            <w:tcW w:w="2220" w:type="dxa"/>
            <w:vAlign w:val="bottom"/>
            <w:tcBorders>
              <w:bottom w:val="single" w:sz="8" w:color="3E3935"/>
            </w:tcBorders>
          </w:tcPr>
          <w:p>
            <w:pPr>
              <w:spacing w:after="0"/>
              <w:rPr>
                <w:sz w:val="5"/>
                <w:szCs w:val="5"/>
                <w:color w:val="auto"/>
              </w:rPr>
            </w:pPr>
          </w:p>
        </w:tc>
        <w:tc>
          <w:tcPr>
            <w:tcW w:w="1200" w:type="dxa"/>
            <w:vAlign w:val="bottom"/>
            <w:tcBorders>
              <w:bottom w:val="single" w:sz="8" w:color="3E3935"/>
            </w:tcBorders>
          </w:tcPr>
          <w:p>
            <w:pPr>
              <w:spacing w:after="0"/>
              <w:rPr>
                <w:sz w:val="5"/>
                <w:szCs w:val="5"/>
                <w:color w:val="auto"/>
              </w:rPr>
            </w:pPr>
          </w:p>
        </w:tc>
        <w:tc>
          <w:tcPr>
            <w:tcW w:w="0" w:type="dxa"/>
            <w:vAlign w:val="bottom"/>
          </w:tcPr>
          <w:p>
            <w:pPr>
              <w:spacing w:after="0"/>
              <w:rPr>
                <w:sz w:val="1"/>
                <w:szCs w:val="1"/>
                <w:color w:val="auto"/>
              </w:rPr>
            </w:pPr>
          </w:p>
        </w:tc>
      </w:tr>
      <w:tr>
        <w:trPr>
          <w:trHeight w:val="358"/>
        </w:trPr>
        <w:tc>
          <w:tcPr>
            <w:tcW w:w="2960" w:type="dxa"/>
            <w:vAlign w:val="bottom"/>
            <w:tcBorders>
              <w:bottom w:val="single" w:sz="8" w:color="3E3935"/>
            </w:tcBorders>
          </w:tcPr>
          <w:p>
            <w:pPr>
              <w:ind w:left="80"/>
              <w:spacing w:after="0"/>
              <w:rPr>
                <w:sz w:val="20"/>
                <w:szCs w:val="20"/>
                <w:color w:val="auto"/>
              </w:rPr>
            </w:pPr>
            <w:r>
              <w:rPr>
                <w:rFonts w:ascii="Arial" w:cs="Arial" w:eastAsia="Arial" w:hAnsi="Arial"/>
                <w:sz w:val="20"/>
                <w:szCs w:val="20"/>
                <w:color w:val="3E3935"/>
              </w:rPr>
              <w:t>Wesley G. Bush</w:t>
            </w:r>
            <w:r>
              <w:rPr>
                <w:rFonts w:ascii="Arial" w:cs="Arial" w:eastAsia="Arial" w:hAnsi="Arial"/>
                <w:sz w:val="29"/>
                <w:szCs w:val="29"/>
                <w:color w:val="3E3935"/>
                <w:vertAlign w:val="superscript"/>
              </w:rPr>
              <w:t>(4)</w:t>
            </w:r>
          </w:p>
        </w:tc>
        <w:tc>
          <w:tcPr>
            <w:tcW w:w="2480" w:type="dxa"/>
            <w:vAlign w:val="bottom"/>
            <w:tcBorders>
              <w:bottom w:val="single" w:sz="8" w:color="3E3935"/>
            </w:tcBorders>
          </w:tcPr>
          <w:p>
            <w:pPr>
              <w:jc w:val="right"/>
              <w:ind w:right="242"/>
              <w:spacing w:after="0"/>
              <w:rPr>
                <w:sz w:val="20"/>
                <w:szCs w:val="20"/>
                <w:color w:val="auto"/>
              </w:rPr>
            </w:pPr>
            <w:r>
              <w:rPr>
                <w:rFonts w:ascii="Arial" w:cs="Arial" w:eastAsia="Arial" w:hAnsi="Arial"/>
                <w:sz w:val="20"/>
                <w:szCs w:val="20"/>
                <w:color w:val="3E3935"/>
              </w:rPr>
              <w:t>195,000</w:t>
            </w:r>
          </w:p>
        </w:tc>
        <w:tc>
          <w:tcPr>
            <w:tcW w:w="2160" w:type="dxa"/>
            <w:vAlign w:val="bottom"/>
            <w:tcBorders>
              <w:bottom w:val="single" w:sz="8" w:color="3E3935"/>
            </w:tcBorders>
          </w:tcPr>
          <w:p>
            <w:pPr>
              <w:jc w:val="right"/>
              <w:ind w:right="241"/>
              <w:spacing w:after="0"/>
              <w:rPr>
                <w:sz w:val="20"/>
                <w:szCs w:val="20"/>
                <w:color w:val="auto"/>
              </w:rPr>
            </w:pPr>
            <w:r>
              <w:rPr>
                <w:rFonts w:ascii="Arial" w:cs="Arial" w:eastAsia="Arial" w:hAnsi="Arial"/>
                <w:sz w:val="20"/>
                <w:szCs w:val="20"/>
                <w:color w:val="3E3935"/>
              </w:rPr>
              <w:t>127,529</w:t>
            </w:r>
          </w:p>
        </w:tc>
        <w:tc>
          <w:tcPr>
            <w:tcW w:w="2220" w:type="dxa"/>
            <w:vAlign w:val="bottom"/>
            <w:tcBorders>
              <w:bottom w:val="single" w:sz="8" w:color="3E3935"/>
            </w:tcBorders>
          </w:tcPr>
          <w:p>
            <w:pPr>
              <w:jc w:val="right"/>
              <w:ind w:right="202"/>
              <w:spacing w:after="0"/>
              <w:rPr>
                <w:sz w:val="20"/>
                <w:szCs w:val="20"/>
                <w:color w:val="auto"/>
              </w:rPr>
            </w:pPr>
            <w:r>
              <w:rPr>
                <w:rFonts w:ascii="Arial" w:cs="Arial" w:eastAsia="Arial" w:hAnsi="Arial"/>
                <w:sz w:val="20"/>
                <w:szCs w:val="20"/>
                <w:color w:val="3E3935"/>
              </w:rPr>
              <w:t>15,490</w:t>
            </w:r>
          </w:p>
        </w:tc>
        <w:tc>
          <w:tcPr>
            <w:tcW w:w="1200" w:type="dxa"/>
            <w:vAlign w:val="bottom"/>
            <w:tcBorders>
              <w:bottom w:val="single" w:sz="8" w:color="3E3935"/>
            </w:tcBorders>
          </w:tcPr>
          <w:p>
            <w:pPr>
              <w:jc w:val="right"/>
              <w:ind w:right="81"/>
              <w:spacing w:after="0"/>
              <w:rPr>
                <w:sz w:val="20"/>
                <w:szCs w:val="20"/>
                <w:color w:val="auto"/>
              </w:rPr>
            </w:pPr>
            <w:r>
              <w:rPr>
                <w:rFonts w:ascii="Arial" w:cs="Arial" w:eastAsia="Arial" w:hAnsi="Arial"/>
                <w:sz w:val="20"/>
                <w:szCs w:val="20"/>
                <w:color w:val="3E3935"/>
              </w:rPr>
              <w:t>338,019</w:t>
            </w:r>
          </w:p>
        </w:tc>
        <w:tc>
          <w:tcPr>
            <w:tcW w:w="0" w:type="dxa"/>
            <w:vAlign w:val="bottom"/>
          </w:tcPr>
          <w:p>
            <w:pPr>
              <w:spacing w:after="0"/>
              <w:rPr>
                <w:sz w:val="1"/>
                <w:szCs w:val="1"/>
                <w:color w:val="auto"/>
              </w:rPr>
            </w:pPr>
          </w:p>
        </w:tc>
      </w:tr>
      <w:tr>
        <w:trPr>
          <w:trHeight w:val="358"/>
        </w:trPr>
        <w:tc>
          <w:tcPr>
            <w:tcW w:w="2960" w:type="dxa"/>
            <w:vAlign w:val="bottom"/>
            <w:tcBorders>
              <w:bottom w:val="single" w:sz="8" w:color="3E3935"/>
            </w:tcBorders>
          </w:tcPr>
          <w:p>
            <w:pPr>
              <w:ind w:left="80"/>
              <w:spacing w:after="0"/>
              <w:rPr>
                <w:sz w:val="20"/>
                <w:szCs w:val="20"/>
                <w:color w:val="auto"/>
              </w:rPr>
            </w:pPr>
            <w:r>
              <w:rPr>
                <w:rFonts w:ascii="Arial" w:cs="Arial" w:eastAsia="Arial" w:hAnsi="Arial"/>
                <w:sz w:val="20"/>
                <w:szCs w:val="20"/>
                <w:color w:val="3E3935"/>
              </w:rPr>
              <w:t>Joanne C. Crevoiserat</w:t>
            </w:r>
            <w:r>
              <w:rPr>
                <w:rFonts w:ascii="Arial" w:cs="Arial" w:eastAsia="Arial" w:hAnsi="Arial"/>
                <w:sz w:val="29"/>
                <w:szCs w:val="29"/>
                <w:color w:val="3E3935"/>
                <w:vertAlign w:val="superscript"/>
              </w:rPr>
              <w:t>(5)</w:t>
            </w:r>
          </w:p>
        </w:tc>
        <w:tc>
          <w:tcPr>
            <w:tcW w:w="2480" w:type="dxa"/>
            <w:vAlign w:val="bottom"/>
            <w:tcBorders>
              <w:bottom w:val="single" w:sz="8" w:color="3E3935"/>
            </w:tcBorders>
          </w:tcPr>
          <w:p>
            <w:pPr>
              <w:jc w:val="right"/>
              <w:ind w:right="242"/>
              <w:spacing w:after="0"/>
              <w:rPr>
                <w:sz w:val="20"/>
                <w:szCs w:val="20"/>
                <w:color w:val="auto"/>
              </w:rPr>
            </w:pPr>
            <w:r>
              <w:rPr>
                <w:rFonts w:ascii="Arial" w:cs="Arial" w:eastAsia="Arial" w:hAnsi="Arial"/>
                <w:sz w:val="20"/>
                <w:szCs w:val="20"/>
                <w:color w:val="3E3935"/>
              </w:rPr>
              <w:t>57,950</w:t>
            </w:r>
          </w:p>
        </w:tc>
        <w:tc>
          <w:tcPr>
            <w:tcW w:w="2160" w:type="dxa"/>
            <w:vAlign w:val="bottom"/>
            <w:tcBorders>
              <w:bottom w:val="single" w:sz="8" w:color="3E3935"/>
            </w:tcBorders>
          </w:tcPr>
          <w:p>
            <w:pPr>
              <w:jc w:val="right"/>
              <w:ind w:right="241"/>
              <w:spacing w:after="0"/>
              <w:rPr>
                <w:sz w:val="20"/>
                <w:szCs w:val="20"/>
                <w:color w:val="auto"/>
              </w:rPr>
            </w:pPr>
            <w:r>
              <w:rPr>
                <w:rFonts w:ascii="Arial" w:cs="Arial" w:eastAsia="Arial" w:hAnsi="Arial"/>
                <w:sz w:val="20"/>
                <w:szCs w:val="20"/>
                <w:color w:val="3E3935"/>
              </w:rPr>
              <w:t>51,974</w:t>
            </w:r>
          </w:p>
        </w:tc>
        <w:tc>
          <w:tcPr>
            <w:tcW w:w="2220" w:type="dxa"/>
            <w:vAlign w:val="bottom"/>
            <w:tcBorders>
              <w:bottom w:val="single" w:sz="8" w:color="3E3935"/>
            </w:tcBorders>
          </w:tcPr>
          <w:p>
            <w:pPr>
              <w:jc w:val="right"/>
              <w:ind w:right="202"/>
              <w:spacing w:after="0"/>
              <w:rPr>
                <w:sz w:val="20"/>
                <w:szCs w:val="20"/>
                <w:color w:val="auto"/>
              </w:rPr>
            </w:pPr>
            <w:r>
              <w:rPr>
                <w:rFonts w:ascii="Arial" w:cs="Arial" w:eastAsia="Arial" w:hAnsi="Arial"/>
                <w:sz w:val="20"/>
                <w:szCs w:val="20"/>
                <w:color w:val="3E3935"/>
              </w:rPr>
              <w:t>2,226</w:t>
            </w:r>
          </w:p>
        </w:tc>
        <w:tc>
          <w:tcPr>
            <w:tcW w:w="1200" w:type="dxa"/>
            <w:vAlign w:val="bottom"/>
            <w:tcBorders>
              <w:bottom w:val="single" w:sz="8" w:color="3E3935"/>
            </w:tcBorders>
          </w:tcPr>
          <w:p>
            <w:pPr>
              <w:jc w:val="right"/>
              <w:ind w:right="81"/>
              <w:spacing w:after="0"/>
              <w:rPr>
                <w:sz w:val="20"/>
                <w:szCs w:val="20"/>
                <w:color w:val="auto"/>
              </w:rPr>
            </w:pPr>
            <w:r>
              <w:rPr>
                <w:rFonts w:ascii="Arial" w:cs="Arial" w:eastAsia="Arial" w:hAnsi="Arial"/>
                <w:sz w:val="20"/>
                <w:szCs w:val="20"/>
                <w:color w:val="3E3935"/>
              </w:rPr>
              <w:t>112,150</w:t>
            </w:r>
          </w:p>
        </w:tc>
        <w:tc>
          <w:tcPr>
            <w:tcW w:w="0" w:type="dxa"/>
            <w:vAlign w:val="bottom"/>
          </w:tcPr>
          <w:p>
            <w:pPr>
              <w:spacing w:after="0"/>
              <w:rPr>
                <w:sz w:val="1"/>
                <w:szCs w:val="1"/>
                <w:color w:val="auto"/>
              </w:rPr>
            </w:pPr>
          </w:p>
        </w:tc>
      </w:tr>
      <w:tr>
        <w:trPr>
          <w:trHeight w:val="301"/>
        </w:trPr>
        <w:tc>
          <w:tcPr>
            <w:tcW w:w="2960" w:type="dxa"/>
            <w:vAlign w:val="bottom"/>
          </w:tcPr>
          <w:p>
            <w:pPr>
              <w:ind w:left="80"/>
              <w:spacing w:after="0"/>
              <w:rPr>
                <w:sz w:val="20"/>
                <w:szCs w:val="20"/>
                <w:color w:val="auto"/>
              </w:rPr>
            </w:pPr>
            <w:r>
              <w:rPr>
                <w:rFonts w:ascii="Arial" w:cs="Arial" w:eastAsia="Arial" w:hAnsi="Arial"/>
                <w:sz w:val="20"/>
                <w:szCs w:val="20"/>
                <w:color w:val="3E3935"/>
              </w:rPr>
              <w:t>Linda R. Gooden</w:t>
            </w:r>
          </w:p>
        </w:tc>
        <w:tc>
          <w:tcPr>
            <w:tcW w:w="2480" w:type="dxa"/>
            <w:vAlign w:val="bottom"/>
          </w:tcPr>
          <w:p>
            <w:pPr>
              <w:jc w:val="right"/>
              <w:ind w:right="242"/>
              <w:spacing w:after="0"/>
              <w:rPr>
                <w:sz w:val="20"/>
                <w:szCs w:val="20"/>
                <w:color w:val="auto"/>
              </w:rPr>
            </w:pPr>
            <w:r>
              <w:rPr>
                <w:rFonts w:ascii="Arial" w:cs="Arial" w:eastAsia="Arial" w:hAnsi="Arial"/>
                <w:sz w:val="20"/>
                <w:szCs w:val="20"/>
                <w:color w:val="3E3935"/>
              </w:rPr>
              <w:t>177,500</w:t>
            </w:r>
          </w:p>
        </w:tc>
        <w:tc>
          <w:tcPr>
            <w:tcW w:w="2160" w:type="dxa"/>
            <w:vAlign w:val="bottom"/>
          </w:tcPr>
          <w:p>
            <w:pPr>
              <w:jc w:val="right"/>
              <w:ind w:right="241"/>
              <w:spacing w:after="0"/>
              <w:rPr>
                <w:sz w:val="20"/>
                <w:szCs w:val="20"/>
                <w:color w:val="auto"/>
              </w:rPr>
            </w:pPr>
            <w:r>
              <w:rPr>
                <w:rFonts w:ascii="Arial" w:cs="Arial" w:eastAsia="Arial" w:hAnsi="Arial"/>
                <w:sz w:val="20"/>
                <w:szCs w:val="20"/>
                <w:color w:val="3E3935"/>
              </w:rPr>
              <w:t>127,529</w:t>
            </w:r>
          </w:p>
        </w:tc>
        <w:tc>
          <w:tcPr>
            <w:tcW w:w="2220" w:type="dxa"/>
            <w:vAlign w:val="bottom"/>
          </w:tcPr>
          <w:p>
            <w:pPr>
              <w:jc w:val="right"/>
              <w:ind w:right="202"/>
              <w:spacing w:after="0"/>
              <w:rPr>
                <w:sz w:val="20"/>
                <w:szCs w:val="20"/>
                <w:color w:val="auto"/>
              </w:rPr>
            </w:pPr>
            <w:r>
              <w:rPr>
                <w:rFonts w:ascii="Arial" w:cs="Arial" w:eastAsia="Arial" w:hAnsi="Arial"/>
                <w:sz w:val="20"/>
                <w:szCs w:val="20"/>
                <w:color w:val="3E3935"/>
              </w:rPr>
              <w:t>18,823</w:t>
            </w:r>
          </w:p>
        </w:tc>
        <w:tc>
          <w:tcPr>
            <w:tcW w:w="1200" w:type="dxa"/>
            <w:vAlign w:val="bottom"/>
          </w:tcPr>
          <w:p>
            <w:pPr>
              <w:jc w:val="right"/>
              <w:ind w:right="81"/>
              <w:spacing w:after="0"/>
              <w:rPr>
                <w:sz w:val="20"/>
                <w:szCs w:val="20"/>
                <w:color w:val="auto"/>
              </w:rPr>
            </w:pPr>
            <w:r>
              <w:rPr>
                <w:rFonts w:ascii="Arial" w:cs="Arial" w:eastAsia="Arial" w:hAnsi="Arial"/>
                <w:sz w:val="20"/>
                <w:szCs w:val="20"/>
                <w:color w:val="3E3935"/>
              </w:rPr>
              <w:t>323,852</w:t>
            </w:r>
          </w:p>
        </w:tc>
        <w:tc>
          <w:tcPr>
            <w:tcW w:w="0" w:type="dxa"/>
            <w:vAlign w:val="bottom"/>
          </w:tcPr>
          <w:p>
            <w:pPr>
              <w:spacing w:after="0"/>
              <w:rPr>
                <w:sz w:val="1"/>
                <w:szCs w:val="1"/>
                <w:color w:val="auto"/>
              </w:rPr>
            </w:pPr>
          </w:p>
        </w:tc>
      </w:tr>
      <w:tr>
        <w:trPr>
          <w:trHeight w:val="58"/>
        </w:trPr>
        <w:tc>
          <w:tcPr>
            <w:tcW w:w="2960" w:type="dxa"/>
            <w:vAlign w:val="bottom"/>
            <w:tcBorders>
              <w:bottom w:val="single" w:sz="8" w:color="3E3935"/>
            </w:tcBorders>
          </w:tcPr>
          <w:p>
            <w:pPr>
              <w:spacing w:after="0"/>
              <w:rPr>
                <w:sz w:val="5"/>
                <w:szCs w:val="5"/>
                <w:color w:val="auto"/>
              </w:rPr>
            </w:pPr>
          </w:p>
        </w:tc>
        <w:tc>
          <w:tcPr>
            <w:tcW w:w="2480" w:type="dxa"/>
            <w:vAlign w:val="bottom"/>
            <w:tcBorders>
              <w:bottom w:val="single" w:sz="8" w:color="3E3935"/>
            </w:tcBorders>
          </w:tcPr>
          <w:p>
            <w:pPr>
              <w:spacing w:after="0"/>
              <w:rPr>
                <w:sz w:val="5"/>
                <w:szCs w:val="5"/>
                <w:color w:val="auto"/>
              </w:rPr>
            </w:pPr>
          </w:p>
        </w:tc>
        <w:tc>
          <w:tcPr>
            <w:tcW w:w="2160" w:type="dxa"/>
            <w:vAlign w:val="bottom"/>
            <w:tcBorders>
              <w:bottom w:val="single" w:sz="8" w:color="3E3935"/>
            </w:tcBorders>
          </w:tcPr>
          <w:p>
            <w:pPr>
              <w:spacing w:after="0"/>
              <w:rPr>
                <w:sz w:val="5"/>
                <w:szCs w:val="5"/>
                <w:color w:val="auto"/>
              </w:rPr>
            </w:pPr>
          </w:p>
        </w:tc>
        <w:tc>
          <w:tcPr>
            <w:tcW w:w="2220" w:type="dxa"/>
            <w:vAlign w:val="bottom"/>
            <w:tcBorders>
              <w:bottom w:val="single" w:sz="8" w:color="3E3935"/>
            </w:tcBorders>
          </w:tcPr>
          <w:p>
            <w:pPr>
              <w:spacing w:after="0"/>
              <w:rPr>
                <w:sz w:val="5"/>
                <w:szCs w:val="5"/>
                <w:color w:val="auto"/>
              </w:rPr>
            </w:pPr>
          </w:p>
        </w:tc>
        <w:tc>
          <w:tcPr>
            <w:tcW w:w="1200" w:type="dxa"/>
            <w:vAlign w:val="bottom"/>
            <w:tcBorders>
              <w:bottom w:val="single" w:sz="8" w:color="3E3935"/>
            </w:tcBorders>
          </w:tcPr>
          <w:p>
            <w:pPr>
              <w:spacing w:after="0"/>
              <w:rPr>
                <w:sz w:val="5"/>
                <w:szCs w:val="5"/>
                <w:color w:val="auto"/>
              </w:rPr>
            </w:pPr>
          </w:p>
        </w:tc>
        <w:tc>
          <w:tcPr>
            <w:tcW w:w="0" w:type="dxa"/>
            <w:vAlign w:val="bottom"/>
          </w:tcPr>
          <w:p>
            <w:pPr>
              <w:spacing w:after="0"/>
              <w:rPr>
                <w:sz w:val="1"/>
                <w:szCs w:val="1"/>
                <w:color w:val="auto"/>
              </w:rPr>
            </w:pPr>
          </w:p>
        </w:tc>
      </w:tr>
      <w:tr>
        <w:trPr>
          <w:trHeight w:val="300"/>
        </w:trPr>
        <w:tc>
          <w:tcPr>
            <w:tcW w:w="2960" w:type="dxa"/>
            <w:vAlign w:val="bottom"/>
          </w:tcPr>
          <w:p>
            <w:pPr>
              <w:ind w:left="80"/>
              <w:spacing w:after="0"/>
              <w:rPr>
                <w:sz w:val="20"/>
                <w:szCs w:val="20"/>
                <w:color w:val="auto"/>
              </w:rPr>
            </w:pPr>
            <w:r>
              <w:rPr>
                <w:rFonts w:ascii="Arial" w:cs="Arial" w:eastAsia="Arial" w:hAnsi="Arial"/>
                <w:sz w:val="20"/>
                <w:szCs w:val="20"/>
                <w:color w:val="3E3935"/>
              </w:rPr>
              <w:t>Joseph Jimenez</w:t>
            </w:r>
          </w:p>
        </w:tc>
        <w:tc>
          <w:tcPr>
            <w:tcW w:w="2480" w:type="dxa"/>
            <w:vAlign w:val="bottom"/>
          </w:tcPr>
          <w:p>
            <w:pPr>
              <w:jc w:val="right"/>
              <w:ind w:right="242"/>
              <w:spacing w:after="0"/>
              <w:rPr>
                <w:sz w:val="20"/>
                <w:szCs w:val="20"/>
                <w:color w:val="auto"/>
              </w:rPr>
            </w:pPr>
            <w:r>
              <w:rPr>
                <w:rFonts w:ascii="Arial" w:cs="Arial" w:eastAsia="Arial" w:hAnsi="Arial"/>
                <w:sz w:val="20"/>
                <w:szCs w:val="20"/>
                <w:color w:val="3E3935"/>
              </w:rPr>
              <w:t>177,500</w:t>
            </w:r>
          </w:p>
        </w:tc>
        <w:tc>
          <w:tcPr>
            <w:tcW w:w="2160" w:type="dxa"/>
            <w:vAlign w:val="bottom"/>
          </w:tcPr>
          <w:p>
            <w:pPr>
              <w:jc w:val="right"/>
              <w:ind w:right="241"/>
              <w:spacing w:after="0"/>
              <w:rPr>
                <w:sz w:val="20"/>
                <w:szCs w:val="20"/>
                <w:color w:val="auto"/>
              </w:rPr>
            </w:pPr>
            <w:r>
              <w:rPr>
                <w:rFonts w:ascii="Arial" w:cs="Arial" w:eastAsia="Arial" w:hAnsi="Arial"/>
                <w:sz w:val="20"/>
                <w:szCs w:val="20"/>
                <w:color w:val="3E3935"/>
              </w:rPr>
              <w:t>127,529</w:t>
            </w:r>
          </w:p>
        </w:tc>
        <w:tc>
          <w:tcPr>
            <w:tcW w:w="2220" w:type="dxa"/>
            <w:vAlign w:val="bottom"/>
          </w:tcPr>
          <w:p>
            <w:pPr>
              <w:jc w:val="right"/>
              <w:ind w:right="202"/>
              <w:spacing w:after="0"/>
              <w:rPr>
                <w:sz w:val="20"/>
                <w:szCs w:val="20"/>
                <w:color w:val="auto"/>
              </w:rPr>
            </w:pPr>
            <w:r>
              <w:rPr>
                <w:rFonts w:ascii="Arial" w:cs="Arial" w:eastAsia="Arial" w:hAnsi="Arial"/>
                <w:sz w:val="20"/>
                <w:szCs w:val="20"/>
                <w:color w:val="3E3935"/>
              </w:rPr>
              <w:t>42,740</w:t>
            </w:r>
          </w:p>
        </w:tc>
        <w:tc>
          <w:tcPr>
            <w:tcW w:w="1200" w:type="dxa"/>
            <w:vAlign w:val="bottom"/>
          </w:tcPr>
          <w:p>
            <w:pPr>
              <w:jc w:val="right"/>
              <w:ind w:right="81"/>
              <w:spacing w:after="0"/>
              <w:rPr>
                <w:sz w:val="20"/>
                <w:szCs w:val="20"/>
                <w:color w:val="auto"/>
              </w:rPr>
            </w:pPr>
            <w:r>
              <w:rPr>
                <w:rFonts w:ascii="Arial" w:cs="Arial" w:eastAsia="Arial" w:hAnsi="Arial"/>
                <w:sz w:val="20"/>
                <w:szCs w:val="20"/>
                <w:color w:val="3E3935"/>
              </w:rPr>
              <w:t>347,769</w:t>
            </w:r>
          </w:p>
        </w:tc>
        <w:tc>
          <w:tcPr>
            <w:tcW w:w="0" w:type="dxa"/>
            <w:vAlign w:val="bottom"/>
          </w:tcPr>
          <w:p>
            <w:pPr>
              <w:spacing w:after="0"/>
              <w:rPr>
                <w:sz w:val="1"/>
                <w:szCs w:val="1"/>
                <w:color w:val="auto"/>
              </w:rPr>
            </w:pPr>
          </w:p>
        </w:tc>
      </w:tr>
      <w:tr>
        <w:trPr>
          <w:trHeight w:val="58"/>
        </w:trPr>
        <w:tc>
          <w:tcPr>
            <w:tcW w:w="2960" w:type="dxa"/>
            <w:vAlign w:val="bottom"/>
            <w:tcBorders>
              <w:bottom w:val="single" w:sz="8" w:color="3E3935"/>
            </w:tcBorders>
          </w:tcPr>
          <w:p>
            <w:pPr>
              <w:spacing w:after="0"/>
              <w:rPr>
                <w:sz w:val="5"/>
                <w:szCs w:val="5"/>
                <w:color w:val="auto"/>
              </w:rPr>
            </w:pPr>
          </w:p>
        </w:tc>
        <w:tc>
          <w:tcPr>
            <w:tcW w:w="2480" w:type="dxa"/>
            <w:vAlign w:val="bottom"/>
            <w:tcBorders>
              <w:bottom w:val="single" w:sz="8" w:color="3E3935"/>
            </w:tcBorders>
          </w:tcPr>
          <w:p>
            <w:pPr>
              <w:spacing w:after="0"/>
              <w:rPr>
                <w:sz w:val="5"/>
                <w:szCs w:val="5"/>
                <w:color w:val="auto"/>
              </w:rPr>
            </w:pPr>
          </w:p>
        </w:tc>
        <w:tc>
          <w:tcPr>
            <w:tcW w:w="2160" w:type="dxa"/>
            <w:vAlign w:val="bottom"/>
            <w:tcBorders>
              <w:bottom w:val="single" w:sz="8" w:color="3E3935"/>
            </w:tcBorders>
          </w:tcPr>
          <w:p>
            <w:pPr>
              <w:spacing w:after="0"/>
              <w:rPr>
                <w:sz w:val="5"/>
                <w:szCs w:val="5"/>
                <w:color w:val="auto"/>
              </w:rPr>
            </w:pPr>
          </w:p>
        </w:tc>
        <w:tc>
          <w:tcPr>
            <w:tcW w:w="2220" w:type="dxa"/>
            <w:vAlign w:val="bottom"/>
            <w:tcBorders>
              <w:bottom w:val="single" w:sz="8" w:color="3E3935"/>
            </w:tcBorders>
          </w:tcPr>
          <w:p>
            <w:pPr>
              <w:spacing w:after="0"/>
              <w:rPr>
                <w:sz w:val="5"/>
                <w:szCs w:val="5"/>
                <w:color w:val="auto"/>
              </w:rPr>
            </w:pPr>
          </w:p>
        </w:tc>
        <w:tc>
          <w:tcPr>
            <w:tcW w:w="1200" w:type="dxa"/>
            <w:vAlign w:val="bottom"/>
            <w:tcBorders>
              <w:bottom w:val="single" w:sz="8" w:color="3E3935"/>
            </w:tcBorders>
          </w:tcPr>
          <w:p>
            <w:pPr>
              <w:spacing w:after="0"/>
              <w:rPr>
                <w:sz w:val="5"/>
                <w:szCs w:val="5"/>
                <w:color w:val="auto"/>
              </w:rPr>
            </w:pPr>
          </w:p>
        </w:tc>
        <w:tc>
          <w:tcPr>
            <w:tcW w:w="0" w:type="dxa"/>
            <w:vAlign w:val="bottom"/>
          </w:tcPr>
          <w:p>
            <w:pPr>
              <w:spacing w:after="0"/>
              <w:rPr>
                <w:sz w:val="1"/>
                <w:szCs w:val="1"/>
                <w:color w:val="auto"/>
              </w:rPr>
            </w:pPr>
          </w:p>
        </w:tc>
      </w:tr>
      <w:tr>
        <w:trPr>
          <w:trHeight w:val="358"/>
        </w:trPr>
        <w:tc>
          <w:tcPr>
            <w:tcW w:w="2960" w:type="dxa"/>
            <w:vAlign w:val="bottom"/>
            <w:tcBorders>
              <w:bottom w:val="single" w:sz="8" w:color="3E3935"/>
            </w:tcBorders>
          </w:tcPr>
          <w:p>
            <w:pPr>
              <w:ind w:left="80"/>
              <w:spacing w:after="0"/>
              <w:rPr>
                <w:sz w:val="20"/>
                <w:szCs w:val="20"/>
                <w:color w:val="auto"/>
              </w:rPr>
            </w:pPr>
            <w:r>
              <w:rPr>
                <w:rFonts w:ascii="Arial" w:cs="Arial" w:eastAsia="Arial" w:hAnsi="Arial"/>
                <w:sz w:val="20"/>
                <w:szCs w:val="20"/>
                <w:color w:val="3E3935"/>
              </w:rPr>
              <w:t>Jonathan McNeill</w:t>
            </w:r>
            <w:r>
              <w:rPr>
                <w:rFonts w:ascii="Arial" w:cs="Arial" w:eastAsia="Arial" w:hAnsi="Arial"/>
                <w:sz w:val="29"/>
                <w:szCs w:val="29"/>
                <w:color w:val="3E3935"/>
                <w:vertAlign w:val="superscript"/>
              </w:rPr>
              <w:t>(6)</w:t>
            </w:r>
          </w:p>
        </w:tc>
        <w:tc>
          <w:tcPr>
            <w:tcW w:w="2480" w:type="dxa"/>
            <w:vAlign w:val="bottom"/>
            <w:tcBorders>
              <w:bottom w:val="single" w:sz="8" w:color="3E3935"/>
            </w:tcBorders>
          </w:tcPr>
          <w:p>
            <w:pPr>
              <w:jc w:val="right"/>
              <w:ind w:right="242"/>
              <w:spacing w:after="0"/>
              <w:rPr>
                <w:sz w:val="20"/>
                <w:szCs w:val="20"/>
                <w:color w:val="auto"/>
              </w:rPr>
            </w:pPr>
            <w:r>
              <w:rPr>
                <w:rFonts w:ascii="Arial" w:cs="Arial" w:eastAsia="Arial" w:hAnsi="Arial"/>
                <w:sz w:val="20"/>
                <w:szCs w:val="20"/>
                <w:color w:val="3E3935"/>
              </w:rPr>
              <w:t>38,125</w:t>
            </w:r>
          </w:p>
        </w:tc>
        <w:tc>
          <w:tcPr>
            <w:tcW w:w="2160" w:type="dxa"/>
            <w:vAlign w:val="bottom"/>
            <w:tcBorders>
              <w:bottom w:val="single" w:sz="8" w:color="3E3935"/>
            </w:tcBorders>
          </w:tcPr>
          <w:p>
            <w:pPr>
              <w:jc w:val="right"/>
              <w:ind w:right="241"/>
              <w:spacing w:after="0"/>
              <w:rPr>
                <w:sz w:val="20"/>
                <w:szCs w:val="20"/>
                <w:color w:val="auto"/>
              </w:rPr>
            </w:pPr>
            <w:r>
              <w:rPr>
                <w:rFonts w:ascii="Arial" w:cs="Arial" w:eastAsia="Arial" w:hAnsi="Arial"/>
                <w:sz w:val="20"/>
                <w:szCs w:val="20"/>
                <w:color w:val="3E3935"/>
              </w:rPr>
              <w:t>34,784</w:t>
            </w:r>
          </w:p>
        </w:tc>
        <w:tc>
          <w:tcPr>
            <w:tcW w:w="2220" w:type="dxa"/>
            <w:vAlign w:val="bottom"/>
            <w:tcBorders>
              <w:bottom w:val="single" w:sz="8" w:color="3E3935"/>
            </w:tcBorders>
          </w:tcPr>
          <w:p>
            <w:pPr>
              <w:jc w:val="right"/>
              <w:ind w:right="202"/>
              <w:spacing w:after="0"/>
              <w:rPr>
                <w:sz w:val="20"/>
                <w:szCs w:val="20"/>
                <w:color w:val="auto"/>
              </w:rPr>
            </w:pPr>
            <w:r>
              <w:rPr>
                <w:rFonts w:ascii="Arial" w:cs="Arial" w:eastAsia="Arial" w:hAnsi="Arial"/>
                <w:sz w:val="20"/>
                <w:szCs w:val="20"/>
                <w:color w:val="3E3935"/>
              </w:rPr>
              <w:t>60</w:t>
            </w:r>
          </w:p>
        </w:tc>
        <w:tc>
          <w:tcPr>
            <w:tcW w:w="1200" w:type="dxa"/>
            <w:vAlign w:val="bottom"/>
            <w:tcBorders>
              <w:bottom w:val="single" w:sz="8" w:color="3E3935"/>
            </w:tcBorders>
          </w:tcPr>
          <w:p>
            <w:pPr>
              <w:jc w:val="right"/>
              <w:ind w:right="81"/>
              <w:spacing w:after="0"/>
              <w:rPr>
                <w:sz w:val="20"/>
                <w:szCs w:val="20"/>
                <w:color w:val="auto"/>
              </w:rPr>
            </w:pPr>
            <w:r>
              <w:rPr>
                <w:rFonts w:ascii="Arial" w:cs="Arial" w:eastAsia="Arial" w:hAnsi="Arial"/>
                <w:sz w:val="20"/>
                <w:szCs w:val="20"/>
                <w:color w:val="3E3935"/>
              </w:rPr>
              <w:t>72,969</w:t>
            </w:r>
          </w:p>
        </w:tc>
        <w:tc>
          <w:tcPr>
            <w:tcW w:w="0" w:type="dxa"/>
            <w:vAlign w:val="bottom"/>
          </w:tcPr>
          <w:p>
            <w:pPr>
              <w:spacing w:after="0"/>
              <w:rPr>
                <w:sz w:val="1"/>
                <w:szCs w:val="1"/>
                <w:color w:val="auto"/>
              </w:rPr>
            </w:pPr>
          </w:p>
        </w:tc>
      </w:tr>
      <w:tr>
        <w:trPr>
          <w:trHeight w:val="358"/>
        </w:trPr>
        <w:tc>
          <w:tcPr>
            <w:tcW w:w="2960" w:type="dxa"/>
            <w:vAlign w:val="bottom"/>
            <w:tcBorders>
              <w:bottom w:val="single" w:sz="8" w:color="3E3935"/>
            </w:tcBorders>
          </w:tcPr>
          <w:p>
            <w:pPr>
              <w:ind w:left="80"/>
              <w:spacing w:after="0"/>
              <w:rPr>
                <w:sz w:val="20"/>
                <w:szCs w:val="20"/>
                <w:color w:val="auto"/>
              </w:rPr>
            </w:pPr>
            <w:r>
              <w:rPr>
                <w:rFonts w:ascii="Arial" w:cs="Arial" w:eastAsia="Arial" w:hAnsi="Arial"/>
                <w:sz w:val="20"/>
                <w:szCs w:val="20"/>
                <w:color w:val="3E3935"/>
              </w:rPr>
              <w:t>Jane L. Mendillo</w:t>
            </w:r>
            <w:r>
              <w:rPr>
                <w:rFonts w:ascii="Arial" w:cs="Arial" w:eastAsia="Arial" w:hAnsi="Arial"/>
                <w:sz w:val="29"/>
                <w:szCs w:val="29"/>
                <w:color w:val="3E3935"/>
                <w:vertAlign w:val="superscript"/>
              </w:rPr>
              <w:t>(7)</w:t>
            </w:r>
          </w:p>
        </w:tc>
        <w:tc>
          <w:tcPr>
            <w:tcW w:w="2480" w:type="dxa"/>
            <w:vAlign w:val="bottom"/>
            <w:tcBorders>
              <w:bottom w:val="single" w:sz="8" w:color="3E3935"/>
            </w:tcBorders>
          </w:tcPr>
          <w:p>
            <w:pPr>
              <w:jc w:val="right"/>
              <w:ind w:right="242"/>
              <w:spacing w:after="0"/>
              <w:rPr>
                <w:sz w:val="20"/>
                <w:szCs w:val="20"/>
                <w:color w:val="auto"/>
              </w:rPr>
            </w:pPr>
            <w:r>
              <w:rPr>
                <w:rFonts w:ascii="Arial" w:cs="Arial" w:eastAsia="Arial" w:hAnsi="Arial"/>
                <w:sz w:val="20"/>
                <w:szCs w:val="20"/>
                <w:color w:val="3E3935"/>
              </w:rPr>
              <w:t>68,625</w:t>
            </w:r>
          </w:p>
        </w:tc>
        <w:tc>
          <w:tcPr>
            <w:tcW w:w="2160" w:type="dxa"/>
            <w:vAlign w:val="bottom"/>
            <w:tcBorders>
              <w:bottom w:val="single" w:sz="8" w:color="3E3935"/>
            </w:tcBorders>
          </w:tcPr>
          <w:p>
            <w:pPr>
              <w:jc w:val="right"/>
              <w:ind w:right="241"/>
              <w:spacing w:after="0"/>
              <w:rPr>
                <w:sz w:val="20"/>
                <w:szCs w:val="20"/>
                <w:color w:val="auto"/>
              </w:rPr>
            </w:pPr>
            <w:r>
              <w:rPr>
                <w:rFonts w:ascii="Arial" w:cs="Arial" w:eastAsia="Arial" w:hAnsi="Arial"/>
                <w:sz w:val="20"/>
                <w:szCs w:val="20"/>
                <w:color w:val="3E3935"/>
              </w:rPr>
              <w:t>51,503</w:t>
            </w:r>
          </w:p>
        </w:tc>
        <w:tc>
          <w:tcPr>
            <w:tcW w:w="2220" w:type="dxa"/>
            <w:vAlign w:val="bottom"/>
            <w:tcBorders>
              <w:bottom w:val="single" w:sz="8" w:color="3E3935"/>
            </w:tcBorders>
          </w:tcPr>
          <w:p>
            <w:pPr>
              <w:jc w:val="right"/>
              <w:ind w:right="202"/>
              <w:spacing w:after="0"/>
              <w:rPr>
                <w:sz w:val="20"/>
                <w:szCs w:val="20"/>
                <w:color w:val="auto"/>
              </w:rPr>
            </w:pPr>
            <w:r>
              <w:rPr>
                <w:rFonts w:ascii="Arial" w:cs="Arial" w:eastAsia="Arial" w:hAnsi="Arial"/>
                <w:sz w:val="20"/>
                <w:szCs w:val="20"/>
                <w:color w:val="3E3935"/>
              </w:rPr>
              <w:t>14,870</w:t>
            </w:r>
          </w:p>
        </w:tc>
        <w:tc>
          <w:tcPr>
            <w:tcW w:w="1200" w:type="dxa"/>
            <w:vAlign w:val="bottom"/>
            <w:tcBorders>
              <w:bottom w:val="single" w:sz="8" w:color="3E3935"/>
            </w:tcBorders>
          </w:tcPr>
          <w:p>
            <w:pPr>
              <w:jc w:val="right"/>
              <w:ind w:right="81"/>
              <w:spacing w:after="0"/>
              <w:rPr>
                <w:sz w:val="20"/>
                <w:szCs w:val="20"/>
                <w:color w:val="auto"/>
              </w:rPr>
            </w:pPr>
            <w:r>
              <w:rPr>
                <w:rFonts w:ascii="Arial" w:cs="Arial" w:eastAsia="Arial" w:hAnsi="Arial"/>
                <w:sz w:val="20"/>
                <w:szCs w:val="20"/>
                <w:color w:val="3E3935"/>
              </w:rPr>
              <w:t>134,998</w:t>
            </w:r>
          </w:p>
        </w:tc>
        <w:tc>
          <w:tcPr>
            <w:tcW w:w="0" w:type="dxa"/>
            <w:vAlign w:val="bottom"/>
          </w:tcPr>
          <w:p>
            <w:pPr>
              <w:spacing w:after="0"/>
              <w:rPr>
                <w:sz w:val="1"/>
                <w:szCs w:val="1"/>
                <w:color w:val="auto"/>
              </w:rPr>
            </w:pPr>
          </w:p>
        </w:tc>
      </w:tr>
      <w:tr>
        <w:trPr>
          <w:trHeight w:val="301"/>
        </w:trPr>
        <w:tc>
          <w:tcPr>
            <w:tcW w:w="2960" w:type="dxa"/>
            <w:vAlign w:val="bottom"/>
          </w:tcPr>
          <w:p>
            <w:pPr>
              <w:ind w:left="80"/>
              <w:spacing w:after="0"/>
              <w:rPr>
                <w:sz w:val="20"/>
                <w:szCs w:val="20"/>
                <w:color w:val="auto"/>
              </w:rPr>
            </w:pPr>
            <w:r>
              <w:rPr>
                <w:rFonts w:ascii="Arial" w:cs="Arial" w:eastAsia="Arial" w:hAnsi="Arial"/>
                <w:sz w:val="20"/>
                <w:szCs w:val="20"/>
                <w:color w:val="3E3935"/>
              </w:rPr>
              <w:t>Judith A. Miscik</w:t>
            </w:r>
          </w:p>
        </w:tc>
        <w:tc>
          <w:tcPr>
            <w:tcW w:w="2480" w:type="dxa"/>
            <w:vAlign w:val="bottom"/>
          </w:tcPr>
          <w:p>
            <w:pPr>
              <w:jc w:val="right"/>
              <w:ind w:right="242"/>
              <w:spacing w:after="0"/>
              <w:rPr>
                <w:sz w:val="20"/>
                <w:szCs w:val="20"/>
                <w:color w:val="auto"/>
              </w:rPr>
            </w:pPr>
            <w:r>
              <w:rPr>
                <w:rFonts w:ascii="Arial" w:cs="Arial" w:eastAsia="Arial" w:hAnsi="Arial"/>
                <w:sz w:val="20"/>
                <w:szCs w:val="20"/>
                <w:color w:val="3E3935"/>
              </w:rPr>
              <w:t>152,500</w:t>
            </w:r>
          </w:p>
        </w:tc>
        <w:tc>
          <w:tcPr>
            <w:tcW w:w="2160" w:type="dxa"/>
            <w:vAlign w:val="bottom"/>
          </w:tcPr>
          <w:p>
            <w:pPr>
              <w:jc w:val="right"/>
              <w:ind w:right="241"/>
              <w:spacing w:after="0"/>
              <w:rPr>
                <w:sz w:val="20"/>
                <w:szCs w:val="20"/>
                <w:color w:val="auto"/>
              </w:rPr>
            </w:pPr>
            <w:r>
              <w:rPr>
                <w:rFonts w:ascii="Arial" w:cs="Arial" w:eastAsia="Arial" w:hAnsi="Arial"/>
                <w:sz w:val="20"/>
                <w:szCs w:val="20"/>
                <w:color w:val="3E3935"/>
              </w:rPr>
              <w:t>127,529</w:t>
            </w:r>
          </w:p>
        </w:tc>
        <w:tc>
          <w:tcPr>
            <w:tcW w:w="2220" w:type="dxa"/>
            <w:vAlign w:val="bottom"/>
          </w:tcPr>
          <w:p>
            <w:pPr>
              <w:jc w:val="right"/>
              <w:ind w:right="202"/>
              <w:spacing w:after="0"/>
              <w:rPr>
                <w:sz w:val="20"/>
                <w:szCs w:val="20"/>
                <w:color w:val="auto"/>
              </w:rPr>
            </w:pPr>
            <w:r>
              <w:rPr>
                <w:rFonts w:ascii="Arial" w:cs="Arial" w:eastAsia="Arial" w:hAnsi="Arial"/>
                <w:sz w:val="20"/>
                <w:szCs w:val="20"/>
                <w:color w:val="3E3935"/>
              </w:rPr>
              <w:t>16,819</w:t>
            </w:r>
          </w:p>
        </w:tc>
        <w:tc>
          <w:tcPr>
            <w:tcW w:w="1200" w:type="dxa"/>
            <w:vAlign w:val="bottom"/>
          </w:tcPr>
          <w:p>
            <w:pPr>
              <w:jc w:val="right"/>
              <w:ind w:right="81"/>
              <w:spacing w:after="0"/>
              <w:rPr>
                <w:sz w:val="20"/>
                <w:szCs w:val="20"/>
                <w:color w:val="auto"/>
              </w:rPr>
            </w:pPr>
            <w:r>
              <w:rPr>
                <w:rFonts w:ascii="Arial" w:cs="Arial" w:eastAsia="Arial" w:hAnsi="Arial"/>
                <w:sz w:val="20"/>
                <w:szCs w:val="20"/>
                <w:color w:val="3E3935"/>
              </w:rPr>
              <w:t>296,848</w:t>
            </w:r>
          </w:p>
        </w:tc>
        <w:tc>
          <w:tcPr>
            <w:tcW w:w="0" w:type="dxa"/>
            <w:vAlign w:val="bottom"/>
          </w:tcPr>
          <w:p>
            <w:pPr>
              <w:spacing w:after="0"/>
              <w:rPr>
                <w:sz w:val="1"/>
                <w:szCs w:val="1"/>
                <w:color w:val="auto"/>
              </w:rPr>
            </w:pPr>
          </w:p>
        </w:tc>
      </w:tr>
      <w:tr>
        <w:trPr>
          <w:trHeight w:val="57"/>
        </w:trPr>
        <w:tc>
          <w:tcPr>
            <w:tcW w:w="2960" w:type="dxa"/>
            <w:vAlign w:val="bottom"/>
            <w:tcBorders>
              <w:bottom w:val="single" w:sz="8" w:color="3E3935"/>
            </w:tcBorders>
          </w:tcPr>
          <w:p>
            <w:pPr>
              <w:spacing w:after="0"/>
              <w:rPr>
                <w:sz w:val="5"/>
                <w:szCs w:val="5"/>
                <w:color w:val="auto"/>
              </w:rPr>
            </w:pPr>
          </w:p>
        </w:tc>
        <w:tc>
          <w:tcPr>
            <w:tcW w:w="2480" w:type="dxa"/>
            <w:vAlign w:val="bottom"/>
            <w:tcBorders>
              <w:bottom w:val="single" w:sz="8" w:color="3E3935"/>
            </w:tcBorders>
          </w:tcPr>
          <w:p>
            <w:pPr>
              <w:spacing w:after="0"/>
              <w:rPr>
                <w:sz w:val="5"/>
                <w:szCs w:val="5"/>
                <w:color w:val="auto"/>
              </w:rPr>
            </w:pPr>
          </w:p>
        </w:tc>
        <w:tc>
          <w:tcPr>
            <w:tcW w:w="2160" w:type="dxa"/>
            <w:vAlign w:val="bottom"/>
            <w:tcBorders>
              <w:bottom w:val="single" w:sz="8" w:color="3E3935"/>
            </w:tcBorders>
          </w:tcPr>
          <w:p>
            <w:pPr>
              <w:spacing w:after="0"/>
              <w:rPr>
                <w:sz w:val="5"/>
                <w:szCs w:val="5"/>
                <w:color w:val="auto"/>
              </w:rPr>
            </w:pPr>
          </w:p>
        </w:tc>
        <w:tc>
          <w:tcPr>
            <w:tcW w:w="2220" w:type="dxa"/>
            <w:vAlign w:val="bottom"/>
            <w:tcBorders>
              <w:bottom w:val="single" w:sz="8" w:color="3E3935"/>
            </w:tcBorders>
          </w:tcPr>
          <w:p>
            <w:pPr>
              <w:spacing w:after="0"/>
              <w:rPr>
                <w:sz w:val="5"/>
                <w:szCs w:val="5"/>
                <w:color w:val="auto"/>
              </w:rPr>
            </w:pPr>
          </w:p>
        </w:tc>
        <w:tc>
          <w:tcPr>
            <w:tcW w:w="1200" w:type="dxa"/>
            <w:vAlign w:val="bottom"/>
            <w:tcBorders>
              <w:bottom w:val="single" w:sz="8" w:color="3E3935"/>
            </w:tcBorders>
          </w:tcPr>
          <w:p>
            <w:pPr>
              <w:spacing w:after="0"/>
              <w:rPr>
                <w:sz w:val="5"/>
                <w:szCs w:val="5"/>
                <w:color w:val="auto"/>
              </w:rPr>
            </w:pPr>
          </w:p>
        </w:tc>
        <w:tc>
          <w:tcPr>
            <w:tcW w:w="0" w:type="dxa"/>
            <w:vAlign w:val="bottom"/>
          </w:tcPr>
          <w:p>
            <w:pPr>
              <w:spacing w:after="0"/>
              <w:rPr>
                <w:sz w:val="1"/>
                <w:szCs w:val="1"/>
                <w:color w:val="auto"/>
              </w:rPr>
            </w:pPr>
          </w:p>
        </w:tc>
      </w:tr>
      <w:tr>
        <w:trPr>
          <w:trHeight w:val="301"/>
        </w:trPr>
        <w:tc>
          <w:tcPr>
            <w:tcW w:w="2960" w:type="dxa"/>
            <w:vAlign w:val="bottom"/>
          </w:tcPr>
          <w:p>
            <w:pPr>
              <w:ind w:left="80"/>
              <w:spacing w:after="0"/>
              <w:rPr>
                <w:sz w:val="20"/>
                <w:szCs w:val="20"/>
                <w:color w:val="auto"/>
              </w:rPr>
            </w:pPr>
            <w:r>
              <w:rPr>
                <w:rFonts w:ascii="Arial" w:cs="Arial" w:eastAsia="Arial" w:hAnsi="Arial"/>
                <w:sz w:val="20"/>
                <w:szCs w:val="20"/>
                <w:color w:val="3E3935"/>
              </w:rPr>
              <w:t>Patricia F. Russo</w:t>
            </w:r>
          </w:p>
        </w:tc>
        <w:tc>
          <w:tcPr>
            <w:tcW w:w="2480" w:type="dxa"/>
            <w:vAlign w:val="bottom"/>
          </w:tcPr>
          <w:p>
            <w:pPr>
              <w:jc w:val="right"/>
              <w:ind w:right="242"/>
              <w:spacing w:after="0"/>
              <w:rPr>
                <w:sz w:val="20"/>
                <w:szCs w:val="20"/>
                <w:color w:val="auto"/>
              </w:rPr>
            </w:pPr>
            <w:r>
              <w:rPr>
                <w:rFonts w:ascii="Arial" w:cs="Arial" w:eastAsia="Arial" w:hAnsi="Arial"/>
                <w:sz w:val="20"/>
                <w:szCs w:val="20"/>
                <w:color w:val="3E3935"/>
              </w:rPr>
              <w:t>277,500</w:t>
            </w:r>
          </w:p>
        </w:tc>
        <w:tc>
          <w:tcPr>
            <w:tcW w:w="2160" w:type="dxa"/>
            <w:vAlign w:val="bottom"/>
          </w:tcPr>
          <w:p>
            <w:pPr>
              <w:jc w:val="right"/>
              <w:ind w:right="241"/>
              <w:spacing w:after="0"/>
              <w:rPr>
                <w:sz w:val="20"/>
                <w:szCs w:val="20"/>
                <w:color w:val="auto"/>
              </w:rPr>
            </w:pPr>
            <w:r>
              <w:rPr>
                <w:rFonts w:ascii="Arial" w:cs="Arial" w:eastAsia="Arial" w:hAnsi="Arial"/>
                <w:sz w:val="20"/>
                <w:szCs w:val="20"/>
                <w:color w:val="3E3935"/>
              </w:rPr>
              <w:t>127,529</w:t>
            </w:r>
          </w:p>
        </w:tc>
        <w:tc>
          <w:tcPr>
            <w:tcW w:w="2220" w:type="dxa"/>
            <w:vAlign w:val="bottom"/>
          </w:tcPr>
          <w:p>
            <w:pPr>
              <w:jc w:val="right"/>
              <w:ind w:right="202"/>
              <w:spacing w:after="0"/>
              <w:rPr>
                <w:sz w:val="20"/>
                <w:szCs w:val="20"/>
                <w:color w:val="auto"/>
              </w:rPr>
            </w:pPr>
            <w:r>
              <w:rPr>
                <w:rFonts w:ascii="Arial" w:cs="Arial" w:eastAsia="Arial" w:hAnsi="Arial"/>
                <w:sz w:val="20"/>
                <w:szCs w:val="20"/>
                <w:color w:val="3E3935"/>
              </w:rPr>
              <w:t>23,723</w:t>
            </w:r>
          </w:p>
        </w:tc>
        <w:tc>
          <w:tcPr>
            <w:tcW w:w="1200" w:type="dxa"/>
            <w:vAlign w:val="bottom"/>
          </w:tcPr>
          <w:p>
            <w:pPr>
              <w:jc w:val="right"/>
              <w:ind w:right="81"/>
              <w:spacing w:after="0"/>
              <w:rPr>
                <w:sz w:val="20"/>
                <w:szCs w:val="20"/>
                <w:color w:val="auto"/>
              </w:rPr>
            </w:pPr>
            <w:r>
              <w:rPr>
                <w:rFonts w:ascii="Arial" w:cs="Arial" w:eastAsia="Arial" w:hAnsi="Arial"/>
                <w:sz w:val="20"/>
                <w:szCs w:val="20"/>
                <w:color w:val="3E3935"/>
              </w:rPr>
              <w:t>428,752</w:t>
            </w:r>
          </w:p>
        </w:tc>
        <w:tc>
          <w:tcPr>
            <w:tcW w:w="0" w:type="dxa"/>
            <w:vAlign w:val="bottom"/>
          </w:tcPr>
          <w:p>
            <w:pPr>
              <w:spacing w:after="0"/>
              <w:rPr>
                <w:sz w:val="1"/>
                <w:szCs w:val="1"/>
                <w:color w:val="auto"/>
              </w:rPr>
            </w:pPr>
          </w:p>
        </w:tc>
      </w:tr>
      <w:tr>
        <w:trPr>
          <w:trHeight w:val="57"/>
        </w:trPr>
        <w:tc>
          <w:tcPr>
            <w:tcW w:w="2960" w:type="dxa"/>
            <w:vAlign w:val="bottom"/>
            <w:tcBorders>
              <w:bottom w:val="single" w:sz="8" w:color="3E3935"/>
            </w:tcBorders>
          </w:tcPr>
          <w:p>
            <w:pPr>
              <w:spacing w:after="0"/>
              <w:rPr>
                <w:sz w:val="5"/>
                <w:szCs w:val="5"/>
                <w:color w:val="auto"/>
              </w:rPr>
            </w:pPr>
          </w:p>
        </w:tc>
        <w:tc>
          <w:tcPr>
            <w:tcW w:w="2480" w:type="dxa"/>
            <w:vAlign w:val="bottom"/>
            <w:tcBorders>
              <w:bottom w:val="single" w:sz="8" w:color="3E3935"/>
            </w:tcBorders>
          </w:tcPr>
          <w:p>
            <w:pPr>
              <w:spacing w:after="0"/>
              <w:rPr>
                <w:sz w:val="5"/>
                <w:szCs w:val="5"/>
                <w:color w:val="auto"/>
              </w:rPr>
            </w:pPr>
          </w:p>
        </w:tc>
        <w:tc>
          <w:tcPr>
            <w:tcW w:w="2160" w:type="dxa"/>
            <w:vAlign w:val="bottom"/>
            <w:tcBorders>
              <w:bottom w:val="single" w:sz="8" w:color="3E3935"/>
            </w:tcBorders>
          </w:tcPr>
          <w:p>
            <w:pPr>
              <w:spacing w:after="0"/>
              <w:rPr>
                <w:sz w:val="5"/>
                <w:szCs w:val="5"/>
                <w:color w:val="auto"/>
              </w:rPr>
            </w:pPr>
          </w:p>
        </w:tc>
        <w:tc>
          <w:tcPr>
            <w:tcW w:w="2220" w:type="dxa"/>
            <w:vAlign w:val="bottom"/>
            <w:tcBorders>
              <w:bottom w:val="single" w:sz="8" w:color="3E3935"/>
            </w:tcBorders>
          </w:tcPr>
          <w:p>
            <w:pPr>
              <w:spacing w:after="0"/>
              <w:rPr>
                <w:sz w:val="5"/>
                <w:szCs w:val="5"/>
                <w:color w:val="auto"/>
              </w:rPr>
            </w:pPr>
          </w:p>
        </w:tc>
        <w:tc>
          <w:tcPr>
            <w:tcW w:w="1200" w:type="dxa"/>
            <w:vAlign w:val="bottom"/>
            <w:tcBorders>
              <w:bottom w:val="single" w:sz="8" w:color="3E3935"/>
            </w:tcBorders>
          </w:tcPr>
          <w:p>
            <w:pPr>
              <w:spacing w:after="0"/>
              <w:rPr>
                <w:sz w:val="5"/>
                <w:szCs w:val="5"/>
                <w:color w:val="auto"/>
              </w:rPr>
            </w:pPr>
          </w:p>
        </w:tc>
        <w:tc>
          <w:tcPr>
            <w:tcW w:w="0" w:type="dxa"/>
            <w:vAlign w:val="bottom"/>
          </w:tcPr>
          <w:p>
            <w:pPr>
              <w:spacing w:after="0"/>
              <w:rPr>
                <w:sz w:val="1"/>
                <w:szCs w:val="1"/>
                <w:color w:val="auto"/>
              </w:rPr>
            </w:pPr>
          </w:p>
        </w:tc>
      </w:tr>
      <w:tr>
        <w:trPr>
          <w:trHeight w:val="301"/>
        </w:trPr>
        <w:tc>
          <w:tcPr>
            <w:tcW w:w="2960" w:type="dxa"/>
            <w:vAlign w:val="bottom"/>
          </w:tcPr>
          <w:p>
            <w:pPr>
              <w:ind w:left="80"/>
              <w:spacing w:after="0"/>
              <w:rPr>
                <w:sz w:val="20"/>
                <w:szCs w:val="20"/>
                <w:color w:val="auto"/>
              </w:rPr>
            </w:pPr>
            <w:r>
              <w:rPr>
                <w:rFonts w:ascii="Arial" w:cs="Arial" w:eastAsia="Arial" w:hAnsi="Arial"/>
                <w:sz w:val="20"/>
                <w:szCs w:val="20"/>
                <w:color w:val="3E3935"/>
              </w:rPr>
              <w:t>Thomas M. Schoewe</w:t>
            </w:r>
          </w:p>
        </w:tc>
        <w:tc>
          <w:tcPr>
            <w:tcW w:w="2480" w:type="dxa"/>
            <w:vAlign w:val="bottom"/>
          </w:tcPr>
          <w:p>
            <w:pPr>
              <w:jc w:val="right"/>
              <w:ind w:right="242"/>
              <w:spacing w:after="0"/>
              <w:rPr>
                <w:sz w:val="20"/>
                <w:szCs w:val="20"/>
                <w:color w:val="auto"/>
              </w:rPr>
            </w:pPr>
            <w:r>
              <w:rPr>
                <w:rFonts w:ascii="Arial" w:cs="Arial" w:eastAsia="Arial" w:hAnsi="Arial"/>
                <w:sz w:val="20"/>
                <w:szCs w:val="20"/>
                <w:color w:val="3E3935"/>
              </w:rPr>
              <w:t>187,500</w:t>
            </w:r>
          </w:p>
        </w:tc>
        <w:tc>
          <w:tcPr>
            <w:tcW w:w="2160" w:type="dxa"/>
            <w:vAlign w:val="bottom"/>
          </w:tcPr>
          <w:p>
            <w:pPr>
              <w:jc w:val="right"/>
              <w:ind w:right="241"/>
              <w:spacing w:after="0"/>
              <w:rPr>
                <w:sz w:val="20"/>
                <w:szCs w:val="20"/>
                <w:color w:val="auto"/>
              </w:rPr>
            </w:pPr>
            <w:r>
              <w:rPr>
                <w:rFonts w:ascii="Arial" w:cs="Arial" w:eastAsia="Arial" w:hAnsi="Arial"/>
                <w:sz w:val="20"/>
                <w:szCs w:val="20"/>
                <w:color w:val="3E3935"/>
              </w:rPr>
              <w:t>127,529</w:t>
            </w:r>
          </w:p>
        </w:tc>
        <w:tc>
          <w:tcPr>
            <w:tcW w:w="2220" w:type="dxa"/>
            <w:vAlign w:val="bottom"/>
          </w:tcPr>
          <w:p>
            <w:pPr>
              <w:jc w:val="right"/>
              <w:ind w:right="202"/>
              <w:spacing w:after="0"/>
              <w:rPr>
                <w:sz w:val="20"/>
                <w:szCs w:val="20"/>
                <w:color w:val="auto"/>
              </w:rPr>
            </w:pPr>
            <w:r>
              <w:rPr>
                <w:rFonts w:ascii="Arial" w:cs="Arial" w:eastAsia="Arial" w:hAnsi="Arial"/>
                <w:sz w:val="20"/>
                <w:szCs w:val="20"/>
                <w:color w:val="3E3935"/>
              </w:rPr>
              <w:t>45,240</w:t>
            </w:r>
          </w:p>
        </w:tc>
        <w:tc>
          <w:tcPr>
            <w:tcW w:w="1200" w:type="dxa"/>
            <w:vAlign w:val="bottom"/>
          </w:tcPr>
          <w:p>
            <w:pPr>
              <w:jc w:val="right"/>
              <w:ind w:right="81"/>
              <w:spacing w:after="0"/>
              <w:rPr>
                <w:sz w:val="20"/>
                <w:szCs w:val="20"/>
                <w:color w:val="auto"/>
              </w:rPr>
            </w:pPr>
            <w:r>
              <w:rPr>
                <w:rFonts w:ascii="Arial" w:cs="Arial" w:eastAsia="Arial" w:hAnsi="Arial"/>
                <w:sz w:val="20"/>
                <w:szCs w:val="20"/>
                <w:color w:val="3E3935"/>
              </w:rPr>
              <w:t>360,269</w:t>
            </w:r>
          </w:p>
        </w:tc>
        <w:tc>
          <w:tcPr>
            <w:tcW w:w="0" w:type="dxa"/>
            <w:vAlign w:val="bottom"/>
          </w:tcPr>
          <w:p>
            <w:pPr>
              <w:spacing w:after="0"/>
              <w:rPr>
                <w:sz w:val="1"/>
                <w:szCs w:val="1"/>
                <w:color w:val="auto"/>
              </w:rPr>
            </w:pPr>
          </w:p>
        </w:tc>
      </w:tr>
      <w:tr>
        <w:trPr>
          <w:trHeight w:val="57"/>
        </w:trPr>
        <w:tc>
          <w:tcPr>
            <w:tcW w:w="2960" w:type="dxa"/>
            <w:vAlign w:val="bottom"/>
            <w:tcBorders>
              <w:bottom w:val="single" w:sz="8" w:color="3E3935"/>
            </w:tcBorders>
          </w:tcPr>
          <w:p>
            <w:pPr>
              <w:spacing w:after="0"/>
              <w:rPr>
                <w:sz w:val="5"/>
                <w:szCs w:val="5"/>
                <w:color w:val="auto"/>
              </w:rPr>
            </w:pPr>
          </w:p>
        </w:tc>
        <w:tc>
          <w:tcPr>
            <w:tcW w:w="2480" w:type="dxa"/>
            <w:vAlign w:val="bottom"/>
            <w:tcBorders>
              <w:bottom w:val="single" w:sz="8" w:color="3E3935"/>
            </w:tcBorders>
          </w:tcPr>
          <w:p>
            <w:pPr>
              <w:spacing w:after="0"/>
              <w:rPr>
                <w:sz w:val="5"/>
                <w:szCs w:val="5"/>
                <w:color w:val="auto"/>
              </w:rPr>
            </w:pPr>
          </w:p>
        </w:tc>
        <w:tc>
          <w:tcPr>
            <w:tcW w:w="2160" w:type="dxa"/>
            <w:vAlign w:val="bottom"/>
            <w:tcBorders>
              <w:bottom w:val="single" w:sz="8" w:color="3E3935"/>
            </w:tcBorders>
          </w:tcPr>
          <w:p>
            <w:pPr>
              <w:spacing w:after="0"/>
              <w:rPr>
                <w:sz w:val="5"/>
                <w:szCs w:val="5"/>
                <w:color w:val="auto"/>
              </w:rPr>
            </w:pPr>
          </w:p>
        </w:tc>
        <w:tc>
          <w:tcPr>
            <w:tcW w:w="2220" w:type="dxa"/>
            <w:vAlign w:val="bottom"/>
            <w:tcBorders>
              <w:bottom w:val="single" w:sz="8" w:color="3E3935"/>
            </w:tcBorders>
          </w:tcPr>
          <w:p>
            <w:pPr>
              <w:spacing w:after="0"/>
              <w:rPr>
                <w:sz w:val="5"/>
                <w:szCs w:val="5"/>
                <w:color w:val="auto"/>
              </w:rPr>
            </w:pPr>
          </w:p>
        </w:tc>
        <w:tc>
          <w:tcPr>
            <w:tcW w:w="1200" w:type="dxa"/>
            <w:vAlign w:val="bottom"/>
            <w:tcBorders>
              <w:bottom w:val="single" w:sz="8" w:color="3E3935"/>
            </w:tcBorders>
          </w:tcPr>
          <w:p>
            <w:pPr>
              <w:spacing w:after="0"/>
              <w:rPr>
                <w:sz w:val="5"/>
                <w:szCs w:val="5"/>
                <w:color w:val="auto"/>
              </w:rPr>
            </w:pPr>
          </w:p>
        </w:tc>
        <w:tc>
          <w:tcPr>
            <w:tcW w:w="0" w:type="dxa"/>
            <w:vAlign w:val="bottom"/>
          </w:tcPr>
          <w:p>
            <w:pPr>
              <w:spacing w:after="0"/>
              <w:rPr>
                <w:sz w:val="1"/>
                <w:szCs w:val="1"/>
                <w:color w:val="auto"/>
              </w:rPr>
            </w:pPr>
          </w:p>
        </w:tc>
      </w:tr>
      <w:tr>
        <w:trPr>
          <w:trHeight w:val="301"/>
        </w:trPr>
        <w:tc>
          <w:tcPr>
            <w:tcW w:w="2960" w:type="dxa"/>
            <w:vAlign w:val="bottom"/>
          </w:tcPr>
          <w:p>
            <w:pPr>
              <w:ind w:left="80"/>
              <w:spacing w:after="0"/>
              <w:rPr>
                <w:sz w:val="20"/>
                <w:szCs w:val="20"/>
                <w:color w:val="auto"/>
              </w:rPr>
            </w:pPr>
            <w:r>
              <w:rPr>
                <w:rFonts w:ascii="Arial" w:cs="Arial" w:eastAsia="Arial" w:hAnsi="Arial"/>
                <w:sz w:val="20"/>
                <w:szCs w:val="20"/>
                <w:color w:val="3E3935"/>
              </w:rPr>
              <w:t>Carol M. Stephenson</w:t>
            </w:r>
          </w:p>
        </w:tc>
        <w:tc>
          <w:tcPr>
            <w:tcW w:w="2480" w:type="dxa"/>
            <w:vAlign w:val="bottom"/>
          </w:tcPr>
          <w:p>
            <w:pPr>
              <w:jc w:val="right"/>
              <w:ind w:right="242"/>
              <w:spacing w:after="0"/>
              <w:rPr>
                <w:sz w:val="20"/>
                <w:szCs w:val="20"/>
                <w:color w:val="auto"/>
              </w:rPr>
            </w:pPr>
            <w:r>
              <w:rPr>
                <w:rFonts w:ascii="Arial" w:cs="Arial" w:eastAsia="Arial" w:hAnsi="Arial"/>
                <w:sz w:val="20"/>
                <w:szCs w:val="20"/>
                <w:color w:val="3E3935"/>
              </w:rPr>
              <w:t>165,000</w:t>
            </w:r>
          </w:p>
        </w:tc>
        <w:tc>
          <w:tcPr>
            <w:tcW w:w="2160" w:type="dxa"/>
            <w:vAlign w:val="bottom"/>
          </w:tcPr>
          <w:p>
            <w:pPr>
              <w:jc w:val="right"/>
              <w:ind w:right="241"/>
              <w:spacing w:after="0"/>
              <w:rPr>
                <w:sz w:val="20"/>
                <w:szCs w:val="20"/>
                <w:color w:val="auto"/>
              </w:rPr>
            </w:pPr>
            <w:r>
              <w:rPr>
                <w:rFonts w:ascii="Arial" w:cs="Arial" w:eastAsia="Arial" w:hAnsi="Arial"/>
                <w:sz w:val="20"/>
                <w:szCs w:val="20"/>
                <w:color w:val="3E3935"/>
              </w:rPr>
              <w:t>127,529</w:t>
            </w:r>
          </w:p>
        </w:tc>
        <w:tc>
          <w:tcPr>
            <w:tcW w:w="2220" w:type="dxa"/>
            <w:vAlign w:val="bottom"/>
          </w:tcPr>
          <w:p>
            <w:pPr>
              <w:jc w:val="right"/>
              <w:ind w:right="202"/>
              <w:spacing w:after="0"/>
              <w:rPr>
                <w:sz w:val="20"/>
                <w:szCs w:val="20"/>
                <w:color w:val="auto"/>
              </w:rPr>
            </w:pPr>
            <w:r>
              <w:rPr>
                <w:rFonts w:ascii="Arial" w:cs="Arial" w:eastAsia="Arial" w:hAnsi="Arial"/>
                <w:sz w:val="20"/>
                <w:szCs w:val="20"/>
                <w:color w:val="3E3935"/>
              </w:rPr>
              <w:t>33,928</w:t>
            </w:r>
          </w:p>
        </w:tc>
        <w:tc>
          <w:tcPr>
            <w:tcW w:w="1200" w:type="dxa"/>
            <w:vAlign w:val="bottom"/>
          </w:tcPr>
          <w:p>
            <w:pPr>
              <w:jc w:val="right"/>
              <w:ind w:right="81"/>
              <w:spacing w:after="0"/>
              <w:rPr>
                <w:sz w:val="20"/>
                <w:szCs w:val="20"/>
                <w:color w:val="auto"/>
              </w:rPr>
            </w:pPr>
            <w:r>
              <w:rPr>
                <w:rFonts w:ascii="Arial" w:cs="Arial" w:eastAsia="Arial" w:hAnsi="Arial"/>
                <w:sz w:val="20"/>
                <w:szCs w:val="20"/>
                <w:color w:val="3E3935"/>
              </w:rPr>
              <w:t>326,457</w:t>
            </w:r>
          </w:p>
        </w:tc>
        <w:tc>
          <w:tcPr>
            <w:tcW w:w="0" w:type="dxa"/>
            <w:vAlign w:val="bottom"/>
          </w:tcPr>
          <w:p>
            <w:pPr>
              <w:spacing w:after="0"/>
              <w:rPr>
                <w:sz w:val="1"/>
                <w:szCs w:val="1"/>
                <w:color w:val="auto"/>
              </w:rPr>
            </w:pPr>
          </w:p>
        </w:tc>
      </w:tr>
      <w:tr>
        <w:trPr>
          <w:trHeight w:val="58"/>
        </w:trPr>
        <w:tc>
          <w:tcPr>
            <w:tcW w:w="2960" w:type="dxa"/>
            <w:vAlign w:val="bottom"/>
            <w:tcBorders>
              <w:bottom w:val="single" w:sz="8" w:color="3E3935"/>
            </w:tcBorders>
          </w:tcPr>
          <w:p>
            <w:pPr>
              <w:spacing w:after="0"/>
              <w:rPr>
                <w:sz w:val="5"/>
                <w:szCs w:val="5"/>
                <w:color w:val="auto"/>
              </w:rPr>
            </w:pPr>
          </w:p>
        </w:tc>
        <w:tc>
          <w:tcPr>
            <w:tcW w:w="2480" w:type="dxa"/>
            <w:vAlign w:val="bottom"/>
            <w:tcBorders>
              <w:bottom w:val="single" w:sz="8" w:color="3E3935"/>
            </w:tcBorders>
          </w:tcPr>
          <w:p>
            <w:pPr>
              <w:spacing w:after="0"/>
              <w:rPr>
                <w:sz w:val="5"/>
                <w:szCs w:val="5"/>
                <w:color w:val="auto"/>
              </w:rPr>
            </w:pPr>
          </w:p>
        </w:tc>
        <w:tc>
          <w:tcPr>
            <w:tcW w:w="2160" w:type="dxa"/>
            <w:vAlign w:val="bottom"/>
            <w:tcBorders>
              <w:bottom w:val="single" w:sz="8" w:color="3E3935"/>
            </w:tcBorders>
          </w:tcPr>
          <w:p>
            <w:pPr>
              <w:spacing w:after="0"/>
              <w:rPr>
                <w:sz w:val="5"/>
                <w:szCs w:val="5"/>
                <w:color w:val="auto"/>
              </w:rPr>
            </w:pPr>
          </w:p>
        </w:tc>
        <w:tc>
          <w:tcPr>
            <w:tcW w:w="2220" w:type="dxa"/>
            <w:vAlign w:val="bottom"/>
            <w:tcBorders>
              <w:bottom w:val="single" w:sz="8" w:color="3E3935"/>
            </w:tcBorders>
          </w:tcPr>
          <w:p>
            <w:pPr>
              <w:spacing w:after="0"/>
              <w:rPr>
                <w:sz w:val="5"/>
                <w:szCs w:val="5"/>
                <w:color w:val="auto"/>
              </w:rPr>
            </w:pPr>
          </w:p>
        </w:tc>
        <w:tc>
          <w:tcPr>
            <w:tcW w:w="1200" w:type="dxa"/>
            <w:vAlign w:val="bottom"/>
            <w:tcBorders>
              <w:bottom w:val="single" w:sz="8" w:color="3E3935"/>
            </w:tcBorders>
          </w:tcPr>
          <w:p>
            <w:pPr>
              <w:spacing w:after="0"/>
              <w:rPr>
                <w:sz w:val="5"/>
                <w:szCs w:val="5"/>
                <w:color w:val="auto"/>
              </w:rPr>
            </w:pPr>
          </w:p>
        </w:tc>
        <w:tc>
          <w:tcPr>
            <w:tcW w:w="0" w:type="dxa"/>
            <w:vAlign w:val="bottom"/>
          </w:tcPr>
          <w:p>
            <w:pPr>
              <w:spacing w:after="0"/>
              <w:rPr>
                <w:sz w:val="1"/>
                <w:szCs w:val="1"/>
                <w:color w:val="auto"/>
              </w:rPr>
            </w:pPr>
          </w:p>
        </w:tc>
      </w:tr>
      <w:tr>
        <w:trPr>
          <w:trHeight w:val="300"/>
        </w:trPr>
        <w:tc>
          <w:tcPr>
            <w:tcW w:w="2960" w:type="dxa"/>
            <w:vAlign w:val="bottom"/>
          </w:tcPr>
          <w:p>
            <w:pPr>
              <w:ind w:left="80"/>
              <w:spacing w:after="0"/>
              <w:rPr>
                <w:sz w:val="20"/>
                <w:szCs w:val="20"/>
                <w:color w:val="auto"/>
              </w:rPr>
            </w:pPr>
            <w:r>
              <w:rPr>
                <w:rFonts w:ascii="Arial" w:cs="Arial" w:eastAsia="Arial" w:hAnsi="Arial"/>
                <w:sz w:val="20"/>
                <w:szCs w:val="20"/>
                <w:color w:val="3E3935"/>
              </w:rPr>
              <w:t>Mark A. Tatum</w:t>
            </w:r>
          </w:p>
        </w:tc>
        <w:tc>
          <w:tcPr>
            <w:tcW w:w="2480" w:type="dxa"/>
            <w:vAlign w:val="bottom"/>
          </w:tcPr>
          <w:p>
            <w:pPr>
              <w:jc w:val="right"/>
              <w:ind w:right="242"/>
              <w:spacing w:after="0"/>
              <w:rPr>
                <w:sz w:val="20"/>
                <w:szCs w:val="20"/>
                <w:color w:val="auto"/>
              </w:rPr>
            </w:pPr>
            <w:r>
              <w:rPr>
                <w:rFonts w:ascii="Arial" w:cs="Arial" w:eastAsia="Arial" w:hAnsi="Arial"/>
                <w:sz w:val="20"/>
                <w:szCs w:val="20"/>
                <w:color w:val="3E3935"/>
              </w:rPr>
              <w:t>152,500</w:t>
            </w:r>
          </w:p>
        </w:tc>
        <w:tc>
          <w:tcPr>
            <w:tcW w:w="2160" w:type="dxa"/>
            <w:vAlign w:val="bottom"/>
          </w:tcPr>
          <w:p>
            <w:pPr>
              <w:jc w:val="right"/>
              <w:ind w:right="241"/>
              <w:spacing w:after="0"/>
              <w:rPr>
                <w:sz w:val="20"/>
                <w:szCs w:val="20"/>
                <w:color w:val="auto"/>
              </w:rPr>
            </w:pPr>
            <w:r>
              <w:rPr>
                <w:rFonts w:ascii="Arial" w:cs="Arial" w:eastAsia="Arial" w:hAnsi="Arial"/>
                <w:sz w:val="20"/>
                <w:szCs w:val="20"/>
                <w:color w:val="3E3935"/>
              </w:rPr>
              <w:t>127,529</w:t>
            </w:r>
          </w:p>
        </w:tc>
        <w:tc>
          <w:tcPr>
            <w:tcW w:w="2220" w:type="dxa"/>
            <w:vAlign w:val="bottom"/>
          </w:tcPr>
          <w:p>
            <w:pPr>
              <w:jc w:val="right"/>
              <w:ind w:right="202"/>
              <w:spacing w:after="0"/>
              <w:rPr>
                <w:sz w:val="20"/>
                <w:szCs w:val="20"/>
                <w:color w:val="auto"/>
              </w:rPr>
            </w:pPr>
            <w:r>
              <w:rPr>
                <w:rFonts w:ascii="Arial" w:cs="Arial" w:eastAsia="Arial" w:hAnsi="Arial"/>
                <w:sz w:val="20"/>
                <w:szCs w:val="20"/>
                <w:color w:val="3E3935"/>
              </w:rPr>
              <w:t>24,990</w:t>
            </w:r>
          </w:p>
        </w:tc>
        <w:tc>
          <w:tcPr>
            <w:tcW w:w="1200" w:type="dxa"/>
            <w:vAlign w:val="bottom"/>
          </w:tcPr>
          <w:p>
            <w:pPr>
              <w:jc w:val="right"/>
              <w:ind w:right="81"/>
              <w:spacing w:after="0"/>
              <w:rPr>
                <w:sz w:val="20"/>
                <w:szCs w:val="20"/>
                <w:color w:val="auto"/>
              </w:rPr>
            </w:pPr>
            <w:r>
              <w:rPr>
                <w:rFonts w:ascii="Arial" w:cs="Arial" w:eastAsia="Arial" w:hAnsi="Arial"/>
                <w:sz w:val="20"/>
                <w:szCs w:val="20"/>
                <w:color w:val="3E3935"/>
              </w:rPr>
              <w:t>305,019</w:t>
            </w:r>
          </w:p>
        </w:tc>
        <w:tc>
          <w:tcPr>
            <w:tcW w:w="0" w:type="dxa"/>
            <w:vAlign w:val="bottom"/>
          </w:tcPr>
          <w:p>
            <w:pPr>
              <w:spacing w:after="0"/>
              <w:rPr>
                <w:sz w:val="1"/>
                <w:szCs w:val="1"/>
                <w:color w:val="auto"/>
              </w:rPr>
            </w:pPr>
          </w:p>
        </w:tc>
      </w:tr>
      <w:tr>
        <w:trPr>
          <w:trHeight w:val="58"/>
        </w:trPr>
        <w:tc>
          <w:tcPr>
            <w:tcW w:w="2960" w:type="dxa"/>
            <w:vAlign w:val="bottom"/>
            <w:tcBorders>
              <w:bottom w:val="single" w:sz="8" w:color="3E3935"/>
            </w:tcBorders>
          </w:tcPr>
          <w:p>
            <w:pPr>
              <w:spacing w:after="0"/>
              <w:rPr>
                <w:sz w:val="5"/>
                <w:szCs w:val="5"/>
                <w:color w:val="auto"/>
              </w:rPr>
            </w:pPr>
          </w:p>
        </w:tc>
        <w:tc>
          <w:tcPr>
            <w:tcW w:w="2480" w:type="dxa"/>
            <w:vAlign w:val="bottom"/>
            <w:tcBorders>
              <w:bottom w:val="single" w:sz="8" w:color="3E3935"/>
            </w:tcBorders>
          </w:tcPr>
          <w:p>
            <w:pPr>
              <w:spacing w:after="0"/>
              <w:rPr>
                <w:sz w:val="5"/>
                <w:szCs w:val="5"/>
                <w:color w:val="auto"/>
              </w:rPr>
            </w:pPr>
          </w:p>
        </w:tc>
        <w:tc>
          <w:tcPr>
            <w:tcW w:w="2160" w:type="dxa"/>
            <w:vAlign w:val="bottom"/>
            <w:tcBorders>
              <w:bottom w:val="single" w:sz="8" w:color="3E3935"/>
            </w:tcBorders>
          </w:tcPr>
          <w:p>
            <w:pPr>
              <w:spacing w:after="0"/>
              <w:rPr>
                <w:sz w:val="5"/>
                <w:szCs w:val="5"/>
                <w:color w:val="auto"/>
              </w:rPr>
            </w:pPr>
          </w:p>
        </w:tc>
        <w:tc>
          <w:tcPr>
            <w:tcW w:w="2220" w:type="dxa"/>
            <w:vAlign w:val="bottom"/>
            <w:tcBorders>
              <w:bottom w:val="single" w:sz="8" w:color="3E3935"/>
            </w:tcBorders>
          </w:tcPr>
          <w:p>
            <w:pPr>
              <w:spacing w:after="0"/>
              <w:rPr>
                <w:sz w:val="5"/>
                <w:szCs w:val="5"/>
                <w:color w:val="auto"/>
              </w:rPr>
            </w:pPr>
          </w:p>
        </w:tc>
        <w:tc>
          <w:tcPr>
            <w:tcW w:w="1200" w:type="dxa"/>
            <w:vAlign w:val="bottom"/>
            <w:tcBorders>
              <w:bottom w:val="single" w:sz="8" w:color="3E3935"/>
            </w:tcBorders>
          </w:tcPr>
          <w:p>
            <w:pPr>
              <w:spacing w:after="0"/>
              <w:rPr>
                <w:sz w:val="5"/>
                <w:szCs w:val="5"/>
                <w:color w:val="auto"/>
              </w:rPr>
            </w:pPr>
          </w:p>
        </w:tc>
        <w:tc>
          <w:tcPr>
            <w:tcW w:w="0" w:type="dxa"/>
            <w:vAlign w:val="bottom"/>
          </w:tcPr>
          <w:p>
            <w:pPr>
              <w:spacing w:after="0"/>
              <w:rPr>
                <w:sz w:val="1"/>
                <w:szCs w:val="1"/>
                <w:color w:val="auto"/>
              </w:rPr>
            </w:pPr>
          </w:p>
        </w:tc>
      </w:tr>
      <w:tr>
        <w:trPr>
          <w:trHeight w:val="300"/>
        </w:trPr>
        <w:tc>
          <w:tcPr>
            <w:tcW w:w="2960" w:type="dxa"/>
            <w:vAlign w:val="bottom"/>
          </w:tcPr>
          <w:p>
            <w:pPr>
              <w:ind w:left="80"/>
              <w:spacing w:after="0"/>
              <w:rPr>
                <w:sz w:val="20"/>
                <w:szCs w:val="20"/>
                <w:color w:val="auto"/>
              </w:rPr>
            </w:pPr>
            <w:r>
              <w:rPr>
                <w:rFonts w:ascii="Arial" w:cs="Arial" w:eastAsia="Arial" w:hAnsi="Arial"/>
                <w:sz w:val="20"/>
                <w:szCs w:val="20"/>
                <w:color w:val="3E3935"/>
              </w:rPr>
              <w:t>Devin N. Wenig</w:t>
            </w:r>
          </w:p>
        </w:tc>
        <w:tc>
          <w:tcPr>
            <w:tcW w:w="2480" w:type="dxa"/>
            <w:vAlign w:val="bottom"/>
          </w:tcPr>
          <w:p>
            <w:pPr>
              <w:jc w:val="right"/>
              <w:ind w:right="242"/>
              <w:spacing w:after="0"/>
              <w:rPr>
                <w:sz w:val="20"/>
                <w:szCs w:val="20"/>
                <w:color w:val="auto"/>
              </w:rPr>
            </w:pPr>
            <w:r>
              <w:rPr>
                <w:rFonts w:ascii="Arial" w:cs="Arial" w:eastAsia="Arial" w:hAnsi="Arial"/>
                <w:sz w:val="20"/>
                <w:szCs w:val="20"/>
                <w:color w:val="3E3935"/>
              </w:rPr>
              <w:t>182,500</w:t>
            </w:r>
          </w:p>
        </w:tc>
        <w:tc>
          <w:tcPr>
            <w:tcW w:w="2160" w:type="dxa"/>
            <w:vAlign w:val="bottom"/>
          </w:tcPr>
          <w:p>
            <w:pPr>
              <w:jc w:val="right"/>
              <w:ind w:right="241"/>
              <w:spacing w:after="0"/>
              <w:rPr>
                <w:sz w:val="20"/>
                <w:szCs w:val="20"/>
                <w:color w:val="auto"/>
              </w:rPr>
            </w:pPr>
            <w:r>
              <w:rPr>
                <w:rFonts w:ascii="Arial" w:cs="Arial" w:eastAsia="Arial" w:hAnsi="Arial"/>
                <w:sz w:val="20"/>
                <w:szCs w:val="20"/>
                <w:color w:val="3E3935"/>
              </w:rPr>
              <w:t>127,529</w:t>
            </w:r>
          </w:p>
        </w:tc>
        <w:tc>
          <w:tcPr>
            <w:tcW w:w="2220" w:type="dxa"/>
            <w:vAlign w:val="bottom"/>
          </w:tcPr>
          <w:p>
            <w:pPr>
              <w:jc w:val="right"/>
              <w:ind w:right="202"/>
              <w:spacing w:after="0"/>
              <w:rPr>
                <w:sz w:val="20"/>
                <w:szCs w:val="20"/>
                <w:color w:val="auto"/>
              </w:rPr>
            </w:pPr>
            <w:r>
              <w:rPr>
                <w:rFonts w:ascii="Arial" w:cs="Arial" w:eastAsia="Arial" w:hAnsi="Arial"/>
                <w:sz w:val="20"/>
                <w:szCs w:val="20"/>
                <w:color w:val="3E3935"/>
              </w:rPr>
              <w:t>28,263</w:t>
            </w:r>
          </w:p>
        </w:tc>
        <w:tc>
          <w:tcPr>
            <w:tcW w:w="1200" w:type="dxa"/>
            <w:vAlign w:val="bottom"/>
          </w:tcPr>
          <w:p>
            <w:pPr>
              <w:jc w:val="right"/>
              <w:ind w:right="81"/>
              <w:spacing w:after="0"/>
              <w:rPr>
                <w:sz w:val="20"/>
                <w:szCs w:val="20"/>
                <w:color w:val="auto"/>
              </w:rPr>
            </w:pPr>
            <w:r>
              <w:rPr>
                <w:rFonts w:ascii="Arial" w:cs="Arial" w:eastAsia="Arial" w:hAnsi="Arial"/>
                <w:sz w:val="20"/>
                <w:szCs w:val="20"/>
                <w:color w:val="3E3935"/>
              </w:rPr>
              <w:t>338,292</w:t>
            </w:r>
          </w:p>
        </w:tc>
        <w:tc>
          <w:tcPr>
            <w:tcW w:w="0" w:type="dxa"/>
            <w:vAlign w:val="bottom"/>
          </w:tcPr>
          <w:p>
            <w:pPr>
              <w:spacing w:after="0"/>
              <w:rPr>
                <w:sz w:val="1"/>
                <w:szCs w:val="1"/>
                <w:color w:val="auto"/>
              </w:rPr>
            </w:pPr>
          </w:p>
        </w:tc>
      </w:tr>
      <w:tr>
        <w:trPr>
          <w:trHeight w:val="58"/>
        </w:trPr>
        <w:tc>
          <w:tcPr>
            <w:tcW w:w="2960" w:type="dxa"/>
            <w:vAlign w:val="bottom"/>
            <w:tcBorders>
              <w:bottom w:val="single" w:sz="8" w:color="3E3935"/>
            </w:tcBorders>
          </w:tcPr>
          <w:p>
            <w:pPr>
              <w:spacing w:after="0"/>
              <w:rPr>
                <w:sz w:val="5"/>
                <w:szCs w:val="5"/>
                <w:color w:val="auto"/>
              </w:rPr>
            </w:pPr>
          </w:p>
        </w:tc>
        <w:tc>
          <w:tcPr>
            <w:tcW w:w="2480" w:type="dxa"/>
            <w:vAlign w:val="bottom"/>
            <w:tcBorders>
              <w:bottom w:val="single" w:sz="8" w:color="3E3935"/>
            </w:tcBorders>
          </w:tcPr>
          <w:p>
            <w:pPr>
              <w:spacing w:after="0"/>
              <w:rPr>
                <w:sz w:val="5"/>
                <w:szCs w:val="5"/>
                <w:color w:val="auto"/>
              </w:rPr>
            </w:pPr>
          </w:p>
        </w:tc>
        <w:tc>
          <w:tcPr>
            <w:tcW w:w="2160" w:type="dxa"/>
            <w:vAlign w:val="bottom"/>
            <w:tcBorders>
              <w:bottom w:val="single" w:sz="8" w:color="3E3935"/>
            </w:tcBorders>
          </w:tcPr>
          <w:p>
            <w:pPr>
              <w:spacing w:after="0"/>
              <w:rPr>
                <w:sz w:val="5"/>
                <w:szCs w:val="5"/>
                <w:color w:val="auto"/>
              </w:rPr>
            </w:pPr>
          </w:p>
        </w:tc>
        <w:tc>
          <w:tcPr>
            <w:tcW w:w="2220" w:type="dxa"/>
            <w:vAlign w:val="bottom"/>
            <w:tcBorders>
              <w:bottom w:val="single" w:sz="8" w:color="3E3935"/>
            </w:tcBorders>
          </w:tcPr>
          <w:p>
            <w:pPr>
              <w:spacing w:after="0"/>
              <w:rPr>
                <w:sz w:val="5"/>
                <w:szCs w:val="5"/>
                <w:color w:val="auto"/>
              </w:rPr>
            </w:pPr>
          </w:p>
        </w:tc>
        <w:tc>
          <w:tcPr>
            <w:tcW w:w="1200" w:type="dxa"/>
            <w:vAlign w:val="bottom"/>
            <w:tcBorders>
              <w:bottom w:val="single" w:sz="8" w:color="3E3935"/>
            </w:tcBorders>
          </w:tcPr>
          <w:p>
            <w:pPr>
              <w:spacing w:after="0"/>
              <w:rPr>
                <w:sz w:val="5"/>
                <w:szCs w:val="5"/>
                <w:color w:val="auto"/>
              </w:rPr>
            </w:pPr>
          </w:p>
        </w:tc>
        <w:tc>
          <w:tcPr>
            <w:tcW w:w="0" w:type="dxa"/>
            <w:vAlign w:val="bottom"/>
          </w:tcPr>
          <w:p>
            <w:pPr>
              <w:spacing w:after="0"/>
              <w:rPr>
                <w:sz w:val="1"/>
                <w:szCs w:val="1"/>
                <w:color w:val="auto"/>
              </w:rPr>
            </w:pPr>
          </w:p>
        </w:tc>
      </w:tr>
      <w:tr>
        <w:trPr>
          <w:trHeight w:val="358"/>
        </w:trPr>
        <w:tc>
          <w:tcPr>
            <w:tcW w:w="2960" w:type="dxa"/>
            <w:vAlign w:val="bottom"/>
            <w:tcBorders>
              <w:bottom w:val="single" w:sz="8" w:color="0071CE"/>
            </w:tcBorders>
          </w:tcPr>
          <w:p>
            <w:pPr>
              <w:ind w:left="80"/>
              <w:spacing w:after="0"/>
              <w:rPr>
                <w:sz w:val="20"/>
                <w:szCs w:val="20"/>
                <w:color w:val="auto"/>
              </w:rPr>
            </w:pPr>
            <w:r>
              <w:rPr>
                <w:rFonts w:ascii="Arial" w:cs="Arial" w:eastAsia="Arial" w:hAnsi="Arial"/>
                <w:sz w:val="20"/>
                <w:szCs w:val="20"/>
                <w:color w:val="3E3935"/>
              </w:rPr>
              <w:t>Margaret C. Whitman</w:t>
            </w:r>
            <w:r>
              <w:rPr>
                <w:rFonts w:ascii="Arial" w:cs="Arial" w:eastAsia="Arial" w:hAnsi="Arial"/>
                <w:sz w:val="29"/>
                <w:szCs w:val="29"/>
                <w:color w:val="3E3935"/>
                <w:vertAlign w:val="superscript"/>
              </w:rPr>
              <w:t>(8)</w:t>
            </w:r>
          </w:p>
        </w:tc>
        <w:tc>
          <w:tcPr>
            <w:tcW w:w="2480" w:type="dxa"/>
            <w:vAlign w:val="bottom"/>
            <w:tcBorders>
              <w:bottom w:val="single" w:sz="8" w:color="0071CE"/>
            </w:tcBorders>
          </w:tcPr>
          <w:p>
            <w:pPr>
              <w:jc w:val="right"/>
              <w:ind w:right="242"/>
              <w:spacing w:after="0"/>
              <w:rPr>
                <w:sz w:val="20"/>
                <w:szCs w:val="20"/>
                <w:color w:val="auto"/>
              </w:rPr>
            </w:pPr>
            <w:r>
              <w:rPr>
                <w:rFonts w:ascii="Arial" w:cs="Arial" w:eastAsia="Arial" w:hAnsi="Arial"/>
                <w:sz w:val="20"/>
                <w:szCs w:val="20"/>
                <w:color w:val="3E3935"/>
              </w:rPr>
              <w:t>79,850</w:t>
            </w:r>
          </w:p>
        </w:tc>
        <w:tc>
          <w:tcPr>
            <w:tcW w:w="2160" w:type="dxa"/>
            <w:vAlign w:val="bottom"/>
            <w:tcBorders>
              <w:bottom w:val="single" w:sz="8" w:color="0071CE"/>
            </w:tcBorders>
          </w:tcPr>
          <w:p>
            <w:pPr>
              <w:jc w:val="right"/>
              <w:ind w:right="241"/>
              <w:spacing w:after="0"/>
              <w:rPr>
                <w:sz w:val="20"/>
                <w:szCs w:val="20"/>
                <w:color w:val="auto"/>
              </w:rPr>
            </w:pPr>
            <w:r>
              <w:rPr>
                <w:rFonts w:ascii="Arial" w:cs="Arial" w:eastAsia="Arial" w:hAnsi="Arial"/>
                <w:sz w:val="20"/>
                <w:szCs w:val="20"/>
                <w:color w:val="3E3935"/>
              </w:rPr>
              <w:t>62,705</w:t>
            </w:r>
          </w:p>
        </w:tc>
        <w:tc>
          <w:tcPr>
            <w:tcW w:w="2220" w:type="dxa"/>
            <w:vAlign w:val="bottom"/>
            <w:tcBorders>
              <w:bottom w:val="single" w:sz="8" w:color="0071CE"/>
            </w:tcBorders>
          </w:tcPr>
          <w:p>
            <w:pPr>
              <w:jc w:val="right"/>
              <w:ind w:right="202"/>
              <w:spacing w:after="0"/>
              <w:rPr>
                <w:sz w:val="20"/>
                <w:szCs w:val="20"/>
                <w:color w:val="auto"/>
              </w:rPr>
            </w:pPr>
            <w:r>
              <w:rPr>
                <w:rFonts w:ascii="Arial" w:cs="Arial" w:eastAsia="Arial" w:hAnsi="Arial"/>
                <w:sz w:val="20"/>
                <w:szCs w:val="20"/>
                <w:color w:val="3E3935"/>
              </w:rPr>
              <w:t>2,432</w:t>
            </w:r>
          </w:p>
        </w:tc>
        <w:tc>
          <w:tcPr>
            <w:tcW w:w="1200" w:type="dxa"/>
            <w:vAlign w:val="bottom"/>
            <w:tcBorders>
              <w:bottom w:val="single" w:sz="8" w:color="0071CE"/>
            </w:tcBorders>
          </w:tcPr>
          <w:p>
            <w:pPr>
              <w:jc w:val="right"/>
              <w:ind w:right="81"/>
              <w:spacing w:after="0"/>
              <w:rPr>
                <w:sz w:val="20"/>
                <w:szCs w:val="20"/>
                <w:color w:val="auto"/>
              </w:rPr>
            </w:pPr>
            <w:r>
              <w:rPr>
                <w:rFonts w:ascii="Arial" w:cs="Arial" w:eastAsia="Arial" w:hAnsi="Arial"/>
                <w:sz w:val="20"/>
                <w:szCs w:val="20"/>
                <w:color w:val="3E3935"/>
              </w:rPr>
              <w:t>144,987</w:t>
            </w:r>
          </w:p>
        </w:tc>
        <w:tc>
          <w:tcPr>
            <w:tcW w:w="0" w:type="dxa"/>
            <w:vAlign w:val="bottom"/>
          </w:tcPr>
          <w:p>
            <w:pPr>
              <w:spacing w:after="0"/>
              <w:rPr>
                <w:sz w:val="1"/>
                <w:szCs w:val="1"/>
                <w:color w:val="auto"/>
              </w:rPr>
            </w:pPr>
          </w:p>
        </w:tc>
      </w:tr>
    </w:tbl>
    <w:p>
      <w:pPr>
        <w:spacing w:after="0" w:line="105" w:lineRule="exact"/>
        <w:rPr>
          <w:sz w:val="20"/>
          <w:szCs w:val="20"/>
          <w:color w:val="auto"/>
        </w:rPr>
      </w:pPr>
    </w:p>
    <w:p>
      <w:pPr>
        <w:jc w:val="both"/>
        <w:ind w:left="540" w:hanging="424"/>
        <w:spacing w:after="0" w:line="246" w:lineRule="auto"/>
        <w:tabs>
          <w:tab w:leader="none" w:pos="540" w:val="left"/>
        </w:tabs>
        <w:numPr>
          <w:ilvl w:val="0"/>
          <w:numId w:val="30"/>
        </w:numPr>
        <w:rPr>
          <w:rFonts w:ascii="Arial" w:cs="Arial" w:eastAsia="Arial" w:hAnsi="Arial"/>
          <w:sz w:val="18"/>
          <w:szCs w:val="18"/>
          <w:i w:val="1"/>
          <w:iCs w:val="1"/>
          <w:color w:val="3E3935"/>
        </w:rPr>
      </w:pPr>
      <w:r>
        <w:rPr>
          <w:rFonts w:ascii="Arial" w:cs="Arial" w:eastAsia="Arial" w:hAnsi="Arial"/>
          <w:sz w:val="18"/>
          <w:szCs w:val="18"/>
          <w:i w:val="1"/>
          <w:iCs w:val="1"/>
          <w:color w:val="3E3935"/>
        </w:rPr>
        <w:t>As described above, a director may elect to defer all or a portion of their annual cash retainer into DSUs. This column reflects director compensation eligible to be paid in cash, which consists of 50 percent (for 2022) of the annual Board retainer and any applicable fees for committee chairs, the Independent Lead Director, and in the case of Mr. Bush and Mr. Wenig, for service on the Cruise LLC board of directors. Each of the following directors elected to</w:t>
      </w:r>
    </w:p>
    <w:p>
      <w:pPr>
        <w:sectPr>
          <w:pgSz w:w="11900" w:h="16838" w:orient="portrait"/>
          <w:cols w:equalWidth="0" w:num="1">
            <w:col w:w="11140"/>
          </w:cols>
          <w:pgMar w:left="320" w:top="482" w:right="439" w:bottom="1440" w:gutter="0" w:footer="0" w:header="0"/>
        </w:sectPr>
      </w:pPr>
    </w:p>
    <w:p>
      <w:pPr>
        <w:spacing w:after="0" w:line="117" w:lineRule="exact"/>
        <w:rPr>
          <w:sz w:val="20"/>
          <w:szCs w:val="20"/>
          <w:color w:val="auto"/>
        </w:rPr>
      </w:pPr>
    </w:p>
    <w:p>
      <w:pPr>
        <w:ind w:left="10660"/>
        <w:spacing w:after="0"/>
        <w:rPr>
          <w:sz w:val="20"/>
          <w:szCs w:val="20"/>
          <w:color w:val="auto"/>
        </w:rPr>
      </w:pPr>
      <w:r>
        <w:rPr>
          <w:rFonts w:ascii="Arial" w:cs="Arial" w:eastAsia="Arial" w:hAnsi="Arial"/>
          <w:sz w:val="14"/>
          <w:szCs w:val="14"/>
          <w:color w:val="0071CE"/>
        </w:rPr>
        <w:t>25</w:t>
      </w:r>
    </w:p>
    <w:p>
      <w:pPr>
        <w:sectPr>
          <w:pgSz w:w="11900" w:h="16838" w:orient="portrait"/>
          <w:cols w:equalWidth="0" w:num="1">
            <w:col w:w="11140"/>
          </w:cols>
          <w:pgMar w:left="320" w:top="482" w:right="439" w:bottom="1440" w:gutter="0" w:footer="0" w:header="0"/>
          <w:type w:val="continuous"/>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11" w:lineRule="exact"/>
        <w:rPr>
          <w:sz w:val="20"/>
          <w:szCs w:val="20"/>
          <w:color w:val="auto"/>
        </w:rPr>
      </w:pPr>
    </w:p>
    <w:p>
      <w:pPr>
        <w:jc w:val="both"/>
        <w:ind w:left="540"/>
        <w:spacing w:after="0" w:line="252" w:lineRule="auto"/>
        <w:rPr>
          <w:sz w:val="20"/>
          <w:szCs w:val="20"/>
          <w:color w:val="auto"/>
        </w:rPr>
      </w:pPr>
      <w:r>
        <w:rPr>
          <w:rFonts w:ascii="Arial" w:cs="Arial" w:eastAsia="Arial" w:hAnsi="Arial"/>
          <w:sz w:val="18"/>
          <w:szCs w:val="18"/>
          <w:i w:val="1"/>
          <w:iCs w:val="1"/>
          <w:color w:val="3E3935"/>
        </w:rPr>
        <w:t>receive DSUs in lieu of such amounts eligible to be paid in cash in the following amounts: Mr. Bhusri — $152,500; Mr. Bush — $195,000; Ms. Crevoiserat — $57,950; Mr. Jimenez — $177,500; Mr. McNeill — $19,063; Ms. Mendillo — $68,625; Ms. Russo — $277,500; Ms. Stephenson — $82,500; Mr. Wenig — $182,500; and Ms. Whitman — $79,850.</w:t>
      </w:r>
    </w:p>
    <w:p>
      <w:pPr>
        <w:spacing w:after="0" w:line="77" w:lineRule="exact"/>
        <w:rPr>
          <w:sz w:val="20"/>
          <w:szCs w:val="20"/>
          <w:color w:val="auto"/>
        </w:rPr>
      </w:pPr>
    </w:p>
    <w:p>
      <w:pPr>
        <w:jc w:val="both"/>
        <w:ind w:left="540" w:right="20" w:hanging="424"/>
        <w:spacing w:after="0" w:line="246" w:lineRule="auto"/>
        <w:tabs>
          <w:tab w:leader="none" w:pos="540" w:val="left"/>
        </w:tabs>
        <w:numPr>
          <w:ilvl w:val="0"/>
          <w:numId w:val="31"/>
        </w:numPr>
        <w:rPr>
          <w:rFonts w:ascii="Arial" w:cs="Arial" w:eastAsia="Arial" w:hAnsi="Arial"/>
          <w:sz w:val="18"/>
          <w:szCs w:val="18"/>
          <w:i w:val="1"/>
          <w:iCs w:val="1"/>
          <w:color w:val="3E3935"/>
        </w:rPr>
      </w:pPr>
      <w:r>
        <w:rPr>
          <w:rFonts w:ascii="Arial" w:cs="Arial" w:eastAsia="Arial" w:hAnsi="Arial"/>
          <w:sz w:val="18"/>
          <w:szCs w:val="18"/>
          <w:i w:val="1"/>
          <w:iCs w:val="1"/>
          <w:color w:val="3E3935"/>
        </w:rPr>
        <w:t>Reflects aggregate grant date fair value of DSUs granted in 2022, which does not include any cash fees that directors voluntarily elected to receive as DSUs. Grant date fair value is calculated by multiplying the number of DSUs granted by the closing price of GM common stock on December 30, 2022, which was $33.64. The holders of DSUs may also receive dividend equivalents, which are reinvested in additional DSUs based on the market price of the common stock on the date the dividends are paid.</w:t>
      </w:r>
    </w:p>
    <w:p>
      <w:pPr>
        <w:spacing w:after="0" w:line="82" w:lineRule="exact"/>
        <w:rPr>
          <w:rFonts w:ascii="Arial" w:cs="Arial" w:eastAsia="Arial" w:hAnsi="Arial"/>
          <w:sz w:val="18"/>
          <w:szCs w:val="18"/>
          <w:i w:val="1"/>
          <w:iCs w:val="1"/>
          <w:color w:val="3E3935"/>
        </w:rPr>
      </w:pPr>
    </w:p>
    <w:p>
      <w:pPr>
        <w:ind w:left="540" w:hanging="424"/>
        <w:spacing w:after="0"/>
        <w:tabs>
          <w:tab w:leader="none" w:pos="540" w:val="left"/>
        </w:tabs>
        <w:numPr>
          <w:ilvl w:val="0"/>
          <w:numId w:val="31"/>
        </w:numPr>
        <w:rPr>
          <w:rFonts w:ascii="Arial" w:cs="Arial" w:eastAsia="Arial" w:hAnsi="Arial"/>
          <w:sz w:val="18"/>
          <w:szCs w:val="18"/>
          <w:i w:val="1"/>
          <w:iCs w:val="1"/>
          <w:color w:val="3E3935"/>
        </w:rPr>
      </w:pPr>
      <w:r>
        <w:rPr>
          <w:rFonts w:ascii="Arial" w:cs="Arial" w:eastAsia="Arial" w:hAnsi="Arial"/>
          <w:sz w:val="18"/>
          <w:szCs w:val="18"/>
          <w:i w:val="1"/>
          <w:iCs w:val="1"/>
          <w:color w:val="3E3935"/>
        </w:rPr>
        <w:t>The following table provides more information on the type and amount of benefits included in the All Other Compensation column.</w:t>
      </w:r>
    </w:p>
    <w:p>
      <w:pPr>
        <w:spacing w:after="0" w:line="235" w:lineRule="exact"/>
        <w:rPr>
          <w:sz w:val="20"/>
          <w:szCs w:val="20"/>
          <w:color w:val="auto"/>
        </w:rPr>
      </w:pPr>
    </w:p>
    <w:tbl>
      <w:tblPr>
        <w:tblLayout w:type="fixed"/>
        <w:tblInd w:w="560" w:type="dxa"/>
        <w:tblCellMar>
          <w:top w:w="0" w:type="dxa"/>
          <w:left w:w="0" w:type="dxa"/>
          <w:bottom w:w="0" w:type="dxa"/>
          <w:right w:w="0" w:type="dxa"/>
        </w:tblCellMar>
      </w:tblPr>
      <w:tr>
        <w:trPr>
          <w:trHeight w:val="219"/>
        </w:trPr>
        <w:tc>
          <w:tcPr>
            <w:tcW w:w="4420" w:type="dxa"/>
            <w:vAlign w:val="bottom"/>
            <w:tcBorders>
              <w:top w:val="single" w:sz="8" w:color="00C1DE"/>
            </w:tcBorders>
          </w:tcPr>
          <w:p>
            <w:pPr>
              <w:spacing w:after="0"/>
              <w:rPr>
                <w:sz w:val="19"/>
                <w:szCs w:val="19"/>
                <w:color w:val="auto"/>
              </w:rPr>
            </w:pPr>
          </w:p>
        </w:tc>
        <w:tc>
          <w:tcPr>
            <w:tcW w:w="3600" w:type="dxa"/>
            <w:vAlign w:val="bottom"/>
            <w:tcBorders>
              <w:top w:val="single" w:sz="8" w:color="00C1DE"/>
            </w:tcBorders>
          </w:tcPr>
          <w:p>
            <w:pPr>
              <w:jc w:val="right"/>
              <w:ind w:right="122"/>
              <w:spacing w:after="0" w:line="219" w:lineRule="exact"/>
              <w:rPr>
                <w:sz w:val="20"/>
                <w:szCs w:val="20"/>
                <w:color w:val="auto"/>
              </w:rPr>
            </w:pPr>
            <w:r>
              <w:rPr>
                <w:rFonts w:ascii="Arial" w:cs="Arial" w:eastAsia="Arial" w:hAnsi="Arial"/>
                <w:sz w:val="20"/>
                <w:szCs w:val="20"/>
                <w:b w:val="1"/>
                <w:bCs w:val="1"/>
                <w:color w:val="00C1DE"/>
              </w:rPr>
              <w:t>Company</w:t>
            </w:r>
          </w:p>
        </w:tc>
        <w:tc>
          <w:tcPr>
            <w:tcW w:w="1120" w:type="dxa"/>
            <w:vAlign w:val="bottom"/>
            <w:tcBorders>
              <w:top w:val="single" w:sz="8" w:color="00C1DE"/>
            </w:tcBorders>
          </w:tcPr>
          <w:p>
            <w:pPr>
              <w:spacing w:after="0"/>
              <w:rPr>
                <w:sz w:val="19"/>
                <w:szCs w:val="19"/>
                <w:color w:val="auto"/>
              </w:rPr>
            </w:pPr>
          </w:p>
        </w:tc>
        <w:tc>
          <w:tcPr>
            <w:tcW w:w="980" w:type="dxa"/>
            <w:vAlign w:val="bottom"/>
            <w:tcBorders>
              <w:top w:val="single" w:sz="8" w:color="00C1DE"/>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420" w:type="dxa"/>
            <w:vAlign w:val="bottom"/>
          </w:tcPr>
          <w:p>
            <w:pPr>
              <w:spacing w:after="0"/>
              <w:rPr>
                <w:sz w:val="18"/>
                <w:szCs w:val="18"/>
                <w:color w:val="auto"/>
              </w:rPr>
            </w:pPr>
          </w:p>
        </w:tc>
        <w:tc>
          <w:tcPr>
            <w:tcW w:w="3600" w:type="dxa"/>
            <w:vAlign w:val="bottom"/>
          </w:tcPr>
          <w:p>
            <w:pPr>
              <w:jc w:val="right"/>
              <w:ind w:right="122"/>
              <w:spacing w:after="0" w:line="216" w:lineRule="exact"/>
              <w:rPr>
                <w:sz w:val="20"/>
                <w:szCs w:val="20"/>
                <w:color w:val="auto"/>
              </w:rPr>
            </w:pPr>
            <w:r>
              <w:rPr>
                <w:rFonts w:ascii="Arial" w:cs="Arial" w:eastAsia="Arial" w:hAnsi="Arial"/>
                <w:sz w:val="20"/>
                <w:szCs w:val="20"/>
                <w:b w:val="1"/>
                <w:bCs w:val="1"/>
                <w:color w:val="00C1DE"/>
              </w:rPr>
              <w:t>Vehicle</w:t>
            </w:r>
          </w:p>
        </w:tc>
        <w:tc>
          <w:tcPr>
            <w:tcW w:w="1120" w:type="dxa"/>
            <w:vAlign w:val="bottom"/>
            <w:vMerge w:val="restart"/>
          </w:tcPr>
          <w:p>
            <w:pPr>
              <w:jc w:val="right"/>
              <w:ind w:right="61"/>
              <w:spacing w:after="0"/>
              <w:rPr>
                <w:sz w:val="20"/>
                <w:szCs w:val="20"/>
                <w:color w:val="auto"/>
              </w:rPr>
            </w:pPr>
            <w:r>
              <w:rPr>
                <w:rFonts w:ascii="Arial" w:cs="Arial" w:eastAsia="Arial" w:hAnsi="Arial"/>
                <w:sz w:val="20"/>
                <w:szCs w:val="20"/>
                <w:b w:val="1"/>
                <w:bCs w:val="1"/>
                <w:color w:val="00C1DE"/>
              </w:rPr>
              <w:t>Other</w:t>
            </w:r>
            <w:r>
              <w:rPr>
                <w:rFonts w:ascii="Arial" w:cs="Arial" w:eastAsia="Arial" w:hAnsi="Arial"/>
                <w:sz w:val="29"/>
                <w:szCs w:val="29"/>
                <w:b w:val="1"/>
                <w:bCs w:val="1"/>
                <w:color w:val="00C1DE"/>
                <w:vertAlign w:val="superscript"/>
              </w:rPr>
              <w:t>(b)</w:t>
            </w:r>
          </w:p>
        </w:tc>
        <w:tc>
          <w:tcPr>
            <w:tcW w:w="980" w:type="dxa"/>
            <w:vAlign w:val="bottom"/>
            <w:vMerge w:val="restart"/>
          </w:tcPr>
          <w:p>
            <w:pPr>
              <w:jc w:val="right"/>
              <w:ind w:right="101"/>
              <w:spacing w:after="0"/>
              <w:rPr>
                <w:sz w:val="20"/>
                <w:szCs w:val="20"/>
                <w:color w:val="auto"/>
              </w:rPr>
            </w:pPr>
            <w:r>
              <w:rPr>
                <w:rFonts w:ascii="Arial" w:cs="Arial" w:eastAsia="Arial" w:hAnsi="Arial"/>
                <w:sz w:val="20"/>
                <w:szCs w:val="20"/>
                <w:b w:val="1"/>
                <w:bCs w:val="1"/>
                <w:color w:val="00C1DE"/>
              </w:rPr>
              <w:t>Total</w:t>
            </w:r>
          </w:p>
        </w:tc>
        <w:tc>
          <w:tcPr>
            <w:tcW w:w="0" w:type="dxa"/>
            <w:vAlign w:val="bottom"/>
          </w:tcPr>
          <w:p>
            <w:pPr>
              <w:spacing w:after="0"/>
              <w:rPr>
                <w:sz w:val="1"/>
                <w:szCs w:val="1"/>
                <w:color w:val="auto"/>
              </w:rPr>
            </w:pPr>
          </w:p>
        </w:tc>
      </w:tr>
      <w:tr>
        <w:trPr>
          <w:trHeight w:val="216"/>
        </w:trPr>
        <w:tc>
          <w:tcPr>
            <w:tcW w:w="4420" w:type="dxa"/>
            <w:vAlign w:val="bottom"/>
            <w:vMerge w:val="restart"/>
          </w:tcPr>
          <w:p>
            <w:pPr>
              <w:ind w:left="120"/>
              <w:spacing w:after="0"/>
              <w:rPr>
                <w:sz w:val="20"/>
                <w:szCs w:val="20"/>
                <w:color w:val="auto"/>
              </w:rPr>
            </w:pPr>
            <w:r>
              <w:rPr>
                <w:rFonts w:ascii="Arial" w:cs="Arial" w:eastAsia="Arial" w:hAnsi="Arial"/>
                <w:sz w:val="20"/>
                <w:szCs w:val="20"/>
                <w:b w:val="1"/>
                <w:bCs w:val="1"/>
                <w:color w:val="00C1DE"/>
              </w:rPr>
              <w:t>Director</w:t>
            </w:r>
          </w:p>
        </w:tc>
        <w:tc>
          <w:tcPr>
            <w:tcW w:w="3600" w:type="dxa"/>
            <w:vAlign w:val="bottom"/>
          </w:tcPr>
          <w:p>
            <w:pPr>
              <w:jc w:val="right"/>
              <w:ind w:right="122"/>
              <w:spacing w:after="0" w:line="216" w:lineRule="exact"/>
              <w:rPr>
                <w:sz w:val="20"/>
                <w:szCs w:val="20"/>
                <w:color w:val="auto"/>
              </w:rPr>
            </w:pPr>
            <w:r>
              <w:rPr>
                <w:rFonts w:ascii="Arial" w:cs="Arial" w:eastAsia="Arial" w:hAnsi="Arial"/>
                <w:sz w:val="17"/>
                <w:szCs w:val="17"/>
                <w:b w:val="1"/>
                <w:bCs w:val="1"/>
                <w:color w:val="00C1DE"/>
              </w:rPr>
              <w:t>Program</w:t>
            </w:r>
            <w:r>
              <w:rPr>
                <w:rFonts w:ascii="Arial" w:cs="Arial" w:eastAsia="Arial" w:hAnsi="Arial"/>
                <w:sz w:val="25"/>
                <w:szCs w:val="25"/>
                <w:b w:val="1"/>
                <w:bCs w:val="1"/>
                <w:color w:val="00C1DE"/>
                <w:vertAlign w:val="superscript"/>
              </w:rPr>
              <w:t>(a)</w:t>
            </w:r>
          </w:p>
        </w:tc>
        <w:tc>
          <w:tcPr>
            <w:tcW w:w="1120" w:type="dxa"/>
            <w:vAlign w:val="bottom"/>
            <w:vMerge w:val="continue"/>
          </w:tcPr>
          <w:p>
            <w:pPr>
              <w:spacing w:after="0"/>
              <w:rPr>
                <w:sz w:val="18"/>
                <w:szCs w:val="18"/>
                <w:color w:val="auto"/>
              </w:rPr>
            </w:pPr>
          </w:p>
        </w:tc>
        <w:tc>
          <w:tcPr>
            <w:tcW w:w="9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7"/>
        </w:trPr>
        <w:tc>
          <w:tcPr>
            <w:tcW w:w="4420" w:type="dxa"/>
            <w:vAlign w:val="bottom"/>
            <w:tcBorders>
              <w:bottom w:val="single" w:sz="8" w:color="00C1DE"/>
            </w:tcBorders>
            <w:vMerge w:val="continue"/>
          </w:tcPr>
          <w:p>
            <w:pPr>
              <w:spacing w:after="0"/>
              <w:rPr>
                <w:sz w:val="24"/>
                <w:szCs w:val="24"/>
                <w:color w:val="auto"/>
              </w:rPr>
            </w:pPr>
          </w:p>
        </w:tc>
        <w:tc>
          <w:tcPr>
            <w:tcW w:w="3600" w:type="dxa"/>
            <w:vAlign w:val="bottom"/>
            <w:tcBorders>
              <w:bottom w:val="single" w:sz="8" w:color="00C1DE"/>
            </w:tcBorders>
          </w:tcPr>
          <w:p>
            <w:pPr>
              <w:jc w:val="right"/>
              <w:ind w:right="122"/>
              <w:spacing w:after="0"/>
              <w:rPr>
                <w:sz w:val="20"/>
                <w:szCs w:val="20"/>
                <w:color w:val="auto"/>
              </w:rPr>
            </w:pPr>
            <w:r>
              <w:rPr>
                <w:rFonts w:ascii="Arial" w:cs="Arial" w:eastAsia="Arial" w:hAnsi="Arial"/>
                <w:sz w:val="20"/>
                <w:szCs w:val="20"/>
                <w:b w:val="1"/>
                <w:bCs w:val="1"/>
                <w:color w:val="00C1DE"/>
              </w:rPr>
              <w:t>($)</w:t>
            </w:r>
          </w:p>
        </w:tc>
        <w:tc>
          <w:tcPr>
            <w:tcW w:w="1120" w:type="dxa"/>
            <w:vAlign w:val="bottom"/>
            <w:tcBorders>
              <w:bottom w:val="single" w:sz="8" w:color="00C1DE"/>
            </w:tcBorders>
          </w:tcPr>
          <w:p>
            <w:pPr>
              <w:jc w:val="right"/>
              <w:ind w:right="61"/>
              <w:spacing w:after="0"/>
              <w:rPr>
                <w:sz w:val="20"/>
                <w:szCs w:val="20"/>
                <w:color w:val="auto"/>
              </w:rPr>
            </w:pPr>
            <w:r>
              <w:rPr>
                <w:rFonts w:ascii="Arial" w:cs="Arial" w:eastAsia="Arial" w:hAnsi="Arial"/>
                <w:sz w:val="20"/>
                <w:szCs w:val="20"/>
                <w:b w:val="1"/>
                <w:bCs w:val="1"/>
                <w:color w:val="00C1DE"/>
              </w:rPr>
              <w:t>($)</w:t>
            </w:r>
          </w:p>
        </w:tc>
        <w:tc>
          <w:tcPr>
            <w:tcW w:w="980" w:type="dxa"/>
            <w:vAlign w:val="bottom"/>
            <w:tcBorders>
              <w:bottom w:val="single" w:sz="8" w:color="00C1DE"/>
            </w:tcBorders>
          </w:tcPr>
          <w:p>
            <w:pPr>
              <w:jc w:val="right"/>
              <w:ind w:right="101"/>
              <w:spacing w:after="0"/>
              <w:rPr>
                <w:sz w:val="20"/>
                <w:szCs w:val="20"/>
                <w:color w:val="auto"/>
              </w:rPr>
            </w:pPr>
            <w:r>
              <w:rPr>
                <w:rFonts w:ascii="Arial" w:cs="Arial" w:eastAsia="Arial" w:hAnsi="Arial"/>
                <w:sz w:val="20"/>
                <w:szCs w:val="20"/>
                <w:b w:val="1"/>
                <w:bCs w:val="1"/>
                <w:color w:val="00C1DE"/>
              </w:rPr>
              <w:t>($)</w:t>
            </w:r>
          </w:p>
        </w:tc>
        <w:tc>
          <w:tcPr>
            <w:tcW w:w="0" w:type="dxa"/>
            <w:vAlign w:val="bottom"/>
          </w:tcPr>
          <w:p>
            <w:pPr>
              <w:spacing w:after="0"/>
              <w:rPr>
                <w:sz w:val="1"/>
                <w:szCs w:val="1"/>
                <w:color w:val="auto"/>
              </w:rPr>
            </w:pPr>
          </w:p>
        </w:tc>
      </w:tr>
      <w:tr>
        <w:trPr>
          <w:trHeight w:val="304"/>
        </w:trPr>
        <w:tc>
          <w:tcPr>
            <w:tcW w:w="4420" w:type="dxa"/>
            <w:vAlign w:val="bottom"/>
          </w:tcPr>
          <w:p>
            <w:pPr>
              <w:ind w:left="100"/>
              <w:spacing w:after="0"/>
              <w:rPr>
                <w:sz w:val="20"/>
                <w:szCs w:val="20"/>
                <w:color w:val="auto"/>
              </w:rPr>
            </w:pPr>
            <w:r>
              <w:rPr>
                <w:rFonts w:ascii="Arial" w:cs="Arial" w:eastAsia="Arial" w:hAnsi="Arial"/>
                <w:sz w:val="20"/>
                <w:szCs w:val="20"/>
                <w:color w:val="3E3935"/>
              </w:rPr>
              <w:t>Aneel Bhusri</w:t>
            </w:r>
          </w:p>
        </w:tc>
        <w:tc>
          <w:tcPr>
            <w:tcW w:w="3600" w:type="dxa"/>
            <w:vAlign w:val="bottom"/>
          </w:tcPr>
          <w:p>
            <w:pPr>
              <w:jc w:val="right"/>
              <w:ind w:right="122"/>
              <w:spacing w:after="0"/>
              <w:rPr>
                <w:sz w:val="20"/>
                <w:szCs w:val="20"/>
                <w:color w:val="auto"/>
              </w:rPr>
            </w:pPr>
            <w:r>
              <w:rPr>
                <w:rFonts w:ascii="Arial" w:cs="Arial" w:eastAsia="Arial" w:hAnsi="Arial"/>
                <w:sz w:val="20"/>
                <w:szCs w:val="20"/>
                <w:color w:val="3E3935"/>
              </w:rPr>
              <w:t>10,729</w:t>
            </w:r>
          </w:p>
        </w:tc>
        <w:tc>
          <w:tcPr>
            <w:tcW w:w="1120" w:type="dxa"/>
            <w:vAlign w:val="bottom"/>
          </w:tcPr>
          <w:p>
            <w:pPr>
              <w:jc w:val="right"/>
              <w:ind w:right="61"/>
              <w:spacing w:after="0"/>
              <w:rPr>
                <w:sz w:val="20"/>
                <w:szCs w:val="20"/>
                <w:color w:val="auto"/>
              </w:rPr>
            </w:pPr>
            <w:r>
              <w:rPr>
                <w:rFonts w:ascii="Arial" w:cs="Arial" w:eastAsia="Arial" w:hAnsi="Arial"/>
                <w:sz w:val="20"/>
                <w:szCs w:val="20"/>
                <w:color w:val="3E3935"/>
              </w:rPr>
              <w:t>240</w:t>
            </w:r>
          </w:p>
        </w:tc>
        <w:tc>
          <w:tcPr>
            <w:tcW w:w="980" w:type="dxa"/>
            <w:vAlign w:val="bottom"/>
          </w:tcPr>
          <w:p>
            <w:pPr>
              <w:jc w:val="right"/>
              <w:ind w:right="101"/>
              <w:spacing w:after="0"/>
              <w:rPr>
                <w:sz w:val="20"/>
                <w:szCs w:val="20"/>
                <w:color w:val="auto"/>
              </w:rPr>
            </w:pPr>
            <w:r>
              <w:rPr>
                <w:rFonts w:ascii="Arial" w:cs="Arial" w:eastAsia="Arial" w:hAnsi="Arial"/>
                <w:sz w:val="20"/>
                <w:szCs w:val="20"/>
                <w:color w:val="3E3935"/>
              </w:rPr>
              <w:t>10,969</w:t>
            </w:r>
          </w:p>
        </w:tc>
        <w:tc>
          <w:tcPr>
            <w:tcW w:w="0" w:type="dxa"/>
            <w:vAlign w:val="bottom"/>
          </w:tcPr>
          <w:p>
            <w:pPr>
              <w:spacing w:after="0"/>
              <w:rPr>
                <w:sz w:val="1"/>
                <w:szCs w:val="1"/>
                <w:color w:val="auto"/>
              </w:rPr>
            </w:pPr>
          </w:p>
        </w:tc>
      </w:tr>
      <w:tr>
        <w:trPr>
          <w:trHeight w:val="58"/>
        </w:trPr>
        <w:tc>
          <w:tcPr>
            <w:tcW w:w="4420" w:type="dxa"/>
            <w:vAlign w:val="bottom"/>
            <w:tcBorders>
              <w:bottom w:val="single" w:sz="8" w:color="3E3935"/>
            </w:tcBorders>
          </w:tcPr>
          <w:p>
            <w:pPr>
              <w:spacing w:after="0"/>
              <w:rPr>
                <w:sz w:val="5"/>
                <w:szCs w:val="5"/>
                <w:color w:val="auto"/>
              </w:rPr>
            </w:pPr>
          </w:p>
        </w:tc>
        <w:tc>
          <w:tcPr>
            <w:tcW w:w="3600" w:type="dxa"/>
            <w:vAlign w:val="bottom"/>
            <w:tcBorders>
              <w:bottom w:val="single" w:sz="8" w:color="3E3935"/>
            </w:tcBorders>
          </w:tcPr>
          <w:p>
            <w:pPr>
              <w:spacing w:after="0"/>
              <w:rPr>
                <w:sz w:val="5"/>
                <w:szCs w:val="5"/>
                <w:color w:val="auto"/>
              </w:rPr>
            </w:pPr>
          </w:p>
        </w:tc>
        <w:tc>
          <w:tcPr>
            <w:tcW w:w="1120" w:type="dxa"/>
            <w:vAlign w:val="bottom"/>
            <w:tcBorders>
              <w:bottom w:val="single" w:sz="8" w:color="3E3935"/>
            </w:tcBorders>
          </w:tcPr>
          <w:p>
            <w:pPr>
              <w:spacing w:after="0"/>
              <w:rPr>
                <w:sz w:val="5"/>
                <w:szCs w:val="5"/>
                <w:color w:val="auto"/>
              </w:rPr>
            </w:pPr>
          </w:p>
        </w:tc>
        <w:tc>
          <w:tcPr>
            <w:tcW w:w="980" w:type="dxa"/>
            <w:vAlign w:val="bottom"/>
            <w:tcBorders>
              <w:bottom w:val="single" w:sz="8" w:color="3E3935"/>
            </w:tcBorders>
          </w:tcPr>
          <w:p>
            <w:pPr>
              <w:spacing w:after="0"/>
              <w:rPr>
                <w:sz w:val="5"/>
                <w:szCs w:val="5"/>
                <w:color w:val="auto"/>
              </w:rPr>
            </w:pPr>
          </w:p>
        </w:tc>
        <w:tc>
          <w:tcPr>
            <w:tcW w:w="0" w:type="dxa"/>
            <w:vAlign w:val="bottom"/>
          </w:tcPr>
          <w:p>
            <w:pPr>
              <w:spacing w:after="0"/>
              <w:rPr>
                <w:sz w:val="1"/>
                <w:szCs w:val="1"/>
                <w:color w:val="auto"/>
              </w:rPr>
            </w:pPr>
          </w:p>
        </w:tc>
      </w:tr>
      <w:tr>
        <w:trPr>
          <w:trHeight w:val="301"/>
        </w:trPr>
        <w:tc>
          <w:tcPr>
            <w:tcW w:w="4420" w:type="dxa"/>
            <w:vAlign w:val="bottom"/>
          </w:tcPr>
          <w:p>
            <w:pPr>
              <w:ind w:left="100"/>
              <w:spacing w:after="0"/>
              <w:rPr>
                <w:sz w:val="20"/>
                <w:szCs w:val="20"/>
                <w:color w:val="auto"/>
              </w:rPr>
            </w:pPr>
            <w:r>
              <w:rPr>
                <w:rFonts w:ascii="Arial" w:cs="Arial" w:eastAsia="Arial" w:hAnsi="Arial"/>
                <w:sz w:val="20"/>
                <w:szCs w:val="20"/>
                <w:color w:val="3E3935"/>
              </w:rPr>
              <w:t>Wesley G. Bush</w:t>
            </w:r>
          </w:p>
        </w:tc>
        <w:tc>
          <w:tcPr>
            <w:tcW w:w="3600" w:type="dxa"/>
            <w:vAlign w:val="bottom"/>
          </w:tcPr>
          <w:p>
            <w:pPr>
              <w:jc w:val="right"/>
              <w:ind w:right="122"/>
              <w:spacing w:after="0"/>
              <w:rPr>
                <w:sz w:val="20"/>
                <w:szCs w:val="20"/>
                <w:color w:val="auto"/>
              </w:rPr>
            </w:pPr>
            <w:r>
              <w:rPr>
                <w:rFonts w:ascii="Arial" w:cs="Arial" w:eastAsia="Arial" w:hAnsi="Arial"/>
                <w:sz w:val="20"/>
                <w:szCs w:val="20"/>
                <w:color w:val="3E3935"/>
              </w:rPr>
              <w:t>15,250</w:t>
            </w:r>
          </w:p>
        </w:tc>
        <w:tc>
          <w:tcPr>
            <w:tcW w:w="1120" w:type="dxa"/>
            <w:vAlign w:val="bottom"/>
          </w:tcPr>
          <w:p>
            <w:pPr>
              <w:jc w:val="right"/>
              <w:ind w:right="61"/>
              <w:spacing w:after="0"/>
              <w:rPr>
                <w:sz w:val="20"/>
                <w:szCs w:val="20"/>
                <w:color w:val="auto"/>
              </w:rPr>
            </w:pPr>
            <w:r>
              <w:rPr>
                <w:rFonts w:ascii="Arial" w:cs="Arial" w:eastAsia="Arial" w:hAnsi="Arial"/>
                <w:sz w:val="20"/>
                <w:szCs w:val="20"/>
                <w:color w:val="3E3935"/>
              </w:rPr>
              <w:t>240</w:t>
            </w:r>
          </w:p>
        </w:tc>
        <w:tc>
          <w:tcPr>
            <w:tcW w:w="980" w:type="dxa"/>
            <w:vAlign w:val="bottom"/>
          </w:tcPr>
          <w:p>
            <w:pPr>
              <w:jc w:val="right"/>
              <w:ind w:right="101"/>
              <w:spacing w:after="0"/>
              <w:rPr>
                <w:sz w:val="20"/>
                <w:szCs w:val="20"/>
                <w:color w:val="auto"/>
              </w:rPr>
            </w:pPr>
            <w:r>
              <w:rPr>
                <w:rFonts w:ascii="Arial" w:cs="Arial" w:eastAsia="Arial" w:hAnsi="Arial"/>
                <w:sz w:val="20"/>
                <w:szCs w:val="20"/>
                <w:color w:val="3E3935"/>
              </w:rPr>
              <w:t>15,490</w:t>
            </w:r>
          </w:p>
        </w:tc>
        <w:tc>
          <w:tcPr>
            <w:tcW w:w="0" w:type="dxa"/>
            <w:vAlign w:val="bottom"/>
          </w:tcPr>
          <w:p>
            <w:pPr>
              <w:spacing w:after="0"/>
              <w:rPr>
                <w:sz w:val="1"/>
                <w:szCs w:val="1"/>
                <w:color w:val="auto"/>
              </w:rPr>
            </w:pPr>
          </w:p>
        </w:tc>
      </w:tr>
      <w:tr>
        <w:trPr>
          <w:trHeight w:val="58"/>
        </w:trPr>
        <w:tc>
          <w:tcPr>
            <w:tcW w:w="4420" w:type="dxa"/>
            <w:vAlign w:val="bottom"/>
            <w:tcBorders>
              <w:bottom w:val="single" w:sz="8" w:color="3E3935"/>
            </w:tcBorders>
          </w:tcPr>
          <w:p>
            <w:pPr>
              <w:spacing w:after="0"/>
              <w:rPr>
                <w:sz w:val="5"/>
                <w:szCs w:val="5"/>
                <w:color w:val="auto"/>
              </w:rPr>
            </w:pPr>
          </w:p>
        </w:tc>
        <w:tc>
          <w:tcPr>
            <w:tcW w:w="3600" w:type="dxa"/>
            <w:vAlign w:val="bottom"/>
            <w:tcBorders>
              <w:bottom w:val="single" w:sz="8" w:color="3E3935"/>
            </w:tcBorders>
          </w:tcPr>
          <w:p>
            <w:pPr>
              <w:spacing w:after="0"/>
              <w:rPr>
                <w:sz w:val="5"/>
                <w:szCs w:val="5"/>
                <w:color w:val="auto"/>
              </w:rPr>
            </w:pPr>
          </w:p>
        </w:tc>
        <w:tc>
          <w:tcPr>
            <w:tcW w:w="1120" w:type="dxa"/>
            <w:vAlign w:val="bottom"/>
            <w:tcBorders>
              <w:bottom w:val="single" w:sz="8" w:color="3E3935"/>
            </w:tcBorders>
          </w:tcPr>
          <w:p>
            <w:pPr>
              <w:spacing w:after="0"/>
              <w:rPr>
                <w:sz w:val="5"/>
                <w:szCs w:val="5"/>
                <w:color w:val="auto"/>
              </w:rPr>
            </w:pPr>
          </w:p>
        </w:tc>
        <w:tc>
          <w:tcPr>
            <w:tcW w:w="980" w:type="dxa"/>
            <w:vAlign w:val="bottom"/>
            <w:tcBorders>
              <w:bottom w:val="single" w:sz="8" w:color="3E3935"/>
            </w:tcBorders>
          </w:tcPr>
          <w:p>
            <w:pPr>
              <w:spacing w:after="0"/>
              <w:rPr>
                <w:sz w:val="5"/>
                <w:szCs w:val="5"/>
                <w:color w:val="auto"/>
              </w:rPr>
            </w:pPr>
          </w:p>
        </w:tc>
        <w:tc>
          <w:tcPr>
            <w:tcW w:w="0" w:type="dxa"/>
            <w:vAlign w:val="bottom"/>
          </w:tcPr>
          <w:p>
            <w:pPr>
              <w:spacing w:after="0"/>
              <w:rPr>
                <w:sz w:val="1"/>
                <w:szCs w:val="1"/>
                <w:color w:val="auto"/>
              </w:rPr>
            </w:pPr>
          </w:p>
        </w:tc>
      </w:tr>
      <w:tr>
        <w:trPr>
          <w:trHeight w:val="301"/>
        </w:trPr>
        <w:tc>
          <w:tcPr>
            <w:tcW w:w="4420" w:type="dxa"/>
            <w:vAlign w:val="bottom"/>
          </w:tcPr>
          <w:p>
            <w:pPr>
              <w:ind w:left="100"/>
              <w:spacing w:after="0"/>
              <w:rPr>
                <w:sz w:val="20"/>
                <w:szCs w:val="20"/>
                <w:color w:val="auto"/>
              </w:rPr>
            </w:pPr>
            <w:r>
              <w:rPr>
                <w:rFonts w:ascii="Arial" w:cs="Arial" w:eastAsia="Arial" w:hAnsi="Arial"/>
                <w:sz w:val="20"/>
                <w:szCs w:val="20"/>
                <w:color w:val="3E3935"/>
              </w:rPr>
              <w:t>Joanne C. Crevoiserat</w:t>
            </w:r>
          </w:p>
        </w:tc>
        <w:tc>
          <w:tcPr>
            <w:tcW w:w="3600" w:type="dxa"/>
            <w:vAlign w:val="bottom"/>
          </w:tcPr>
          <w:p>
            <w:pPr>
              <w:jc w:val="right"/>
              <w:ind w:right="122"/>
              <w:spacing w:after="0"/>
              <w:rPr>
                <w:sz w:val="20"/>
                <w:szCs w:val="20"/>
                <w:color w:val="auto"/>
              </w:rPr>
            </w:pPr>
            <w:r>
              <w:rPr>
                <w:rFonts w:ascii="Arial" w:cs="Arial" w:eastAsia="Arial" w:hAnsi="Arial"/>
                <w:sz w:val="20"/>
                <w:szCs w:val="20"/>
                <w:color w:val="3E3935"/>
              </w:rPr>
              <w:t>2,146</w:t>
            </w:r>
          </w:p>
        </w:tc>
        <w:tc>
          <w:tcPr>
            <w:tcW w:w="1120" w:type="dxa"/>
            <w:vAlign w:val="bottom"/>
          </w:tcPr>
          <w:p>
            <w:pPr>
              <w:jc w:val="right"/>
              <w:ind w:right="61"/>
              <w:spacing w:after="0"/>
              <w:rPr>
                <w:sz w:val="20"/>
                <w:szCs w:val="20"/>
                <w:color w:val="auto"/>
              </w:rPr>
            </w:pPr>
            <w:r>
              <w:rPr>
                <w:rFonts w:ascii="Arial" w:cs="Arial" w:eastAsia="Arial" w:hAnsi="Arial"/>
                <w:sz w:val="20"/>
                <w:szCs w:val="20"/>
                <w:color w:val="3E3935"/>
              </w:rPr>
              <w:t>80</w:t>
            </w:r>
          </w:p>
        </w:tc>
        <w:tc>
          <w:tcPr>
            <w:tcW w:w="980" w:type="dxa"/>
            <w:vAlign w:val="bottom"/>
          </w:tcPr>
          <w:p>
            <w:pPr>
              <w:jc w:val="right"/>
              <w:ind w:right="101"/>
              <w:spacing w:after="0"/>
              <w:rPr>
                <w:sz w:val="20"/>
                <w:szCs w:val="20"/>
                <w:color w:val="auto"/>
              </w:rPr>
            </w:pPr>
            <w:r>
              <w:rPr>
                <w:rFonts w:ascii="Arial" w:cs="Arial" w:eastAsia="Arial" w:hAnsi="Arial"/>
                <w:sz w:val="20"/>
                <w:szCs w:val="20"/>
                <w:color w:val="3E3935"/>
              </w:rPr>
              <w:t>2,226</w:t>
            </w:r>
          </w:p>
        </w:tc>
        <w:tc>
          <w:tcPr>
            <w:tcW w:w="0" w:type="dxa"/>
            <w:vAlign w:val="bottom"/>
          </w:tcPr>
          <w:p>
            <w:pPr>
              <w:spacing w:after="0"/>
              <w:rPr>
                <w:sz w:val="1"/>
                <w:szCs w:val="1"/>
                <w:color w:val="auto"/>
              </w:rPr>
            </w:pPr>
          </w:p>
        </w:tc>
      </w:tr>
      <w:tr>
        <w:trPr>
          <w:trHeight w:val="57"/>
        </w:trPr>
        <w:tc>
          <w:tcPr>
            <w:tcW w:w="4420" w:type="dxa"/>
            <w:vAlign w:val="bottom"/>
            <w:tcBorders>
              <w:bottom w:val="single" w:sz="8" w:color="3E3935"/>
            </w:tcBorders>
          </w:tcPr>
          <w:p>
            <w:pPr>
              <w:spacing w:after="0"/>
              <w:rPr>
                <w:sz w:val="5"/>
                <w:szCs w:val="5"/>
                <w:color w:val="auto"/>
              </w:rPr>
            </w:pPr>
          </w:p>
        </w:tc>
        <w:tc>
          <w:tcPr>
            <w:tcW w:w="3600" w:type="dxa"/>
            <w:vAlign w:val="bottom"/>
            <w:tcBorders>
              <w:bottom w:val="single" w:sz="8" w:color="3E3935"/>
            </w:tcBorders>
          </w:tcPr>
          <w:p>
            <w:pPr>
              <w:spacing w:after="0"/>
              <w:rPr>
                <w:sz w:val="5"/>
                <w:szCs w:val="5"/>
                <w:color w:val="auto"/>
              </w:rPr>
            </w:pPr>
          </w:p>
        </w:tc>
        <w:tc>
          <w:tcPr>
            <w:tcW w:w="1120" w:type="dxa"/>
            <w:vAlign w:val="bottom"/>
            <w:tcBorders>
              <w:bottom w:val="single" w:sz="8" w:color="3E3935"/>
            </w:tcBorders>
          </w:tcPr>
          <w:p>
            <w:pPr>
              <w:spacing w:after="0"/>
              <w:rPr>
                <w:sz w:val="5"/>
                <w:szCs w:val="5"/>
                <w:color w:val="auto"/>
              </w:rPr>
            </w:pPr>
          </w:p>
        </w:tc>
        <w:tc>
          <w:tcPr>
            <w:tcW w:w="980" w:type="dxa"/>
            <w:vAlign w:val="bottom"/>
            <w:tcBorders>
              <w:bottom w:val="single" w:sz="8" w:color="3E3935"/>
            </w:tcBorders>
          </w:tcPr>
          <w:p>
            <w:pPr>
              <w:spacing w:after="0"/>
              <w:rPr>
                <w:sz w:val="5"/>
                <w:szCs w:val="5"/>
                <w:color w:val="auto"/>
              </w:rPr>
            </w:pPr>
          </w:p>
        </w:tc>
        <w:tc>
          <w:tcPr>
            <w:tcW w:w="0" w:type="dxa"/>
            <w:vAlign w:val="bottom"/>
          </w:tcPr>
          <w:p>
            <w:pPr>
              <w:spacing w:after="0"/>
              <w:rPr>
                <w:sz w:val="1"/>
                <w:szCs w:val="1"/>
                <w:color w:val="auto"/>
              </w:rPr>
            </w:pPr>
          </w:p>
        </w:tc>
      </w:tr>
      <w:tr>
        <w:trPr>
          <w:trHeight w:val="301"/>
        </w:trPr>
        <w:tc>
          <w:tcPr>
            <w:tcW w:w="4420" w:type="dxa"/>
            <w:vAlign w:val="bottom"/>
          </w:tcPr>
          <w:p>
            <w:pPr>
              <w:ind w:left="100"/>
              <w:spacing w:after="0"/>
              <w:rPr>
                <w:sz w:val="20"/>
                <w:szCs w:val="20"/>
                <w:color w:val="auto"/>
              </w:rPr>
            </w:pPr>
            <w:r>
              <w:rPr>
                <w:rFonts w:ascii="Arial" w:cs="Arial" w:eastAsia="Arial" w:hAnsi="Arial"/>
                <w:sz w:val="20"/>
                <w:szCs w:val="20"/>
                <w:color w:val="3E3935"/>
              </w:rPr>
              <w:t>Linda R. Gooden</w:t>
            </w:r>
          </w:p>
        </w:tc>
        <w:tc>
          <w:tcPr>
            <w:tcW w:w="3600" w:type="dxa"/>
            <w:vAlign w:val="bottom"/>
          </w:tcPr>
          <w:p>
            <w:pPr>
              <w:jc w:val="right"/>
              <w:ind w:right="122"/>
              <w:spacing w:after="0"/>
              <w:rPr>
                <w:sz w:val="20"/>
                <w:szCs w:val="20"/>
                <w:color w:val="auto"/>
              </w:rPr>
            </w:pPr>
            <w:r>
              <w:rPr>
                <w:rFonts w:ascii="Arial" w:cs="Arial" w:eastAsia="Arial" w:hAnsi="Arial"/>
                <w:sz w:val="20"/>
                <w:szCs w:val="20"/>
                <w:color w:val="3E3935"/>
              </w:rPr>
              <w:t>18,583</w:t>
            </w:r>
          </w:p>
        </w:tc>
        <w:tc>
          <w:tcPr>
            <w:tcW w:w="1120" w:type="dxa"/>
            <w:vAlign w:val="bottom"/>
          </w:tcPr>
          <w:p>
            <w:pPr>
              <w:jc w:val="right"/>
              <w:ind w:right="61"/>
              <w:spacing w:after="0"/>
              <w:rPr>
                <w:sz w:val="20"/>
                <w:szCs w:val="20"/>
                <w:color w:val="auto"/>
              </w:rPr>
            </w:pPr>
            <w:r>
              <w:rPr>
                <w:rFonts w:ascii="Arial" w:cs="Arial" w:eastAsia="Arial" w:hAnsi="Arial"/>
                <w:sz w:val="20"/>
                <w:szCs w:val="20"/>
                <w:color w:val="3E3935"/>
              </w:rPr>
              <w:t>240</w:t>
            </w:r>
          </w:p>
        </w:tc>
        <w:tc>
          <w:tcPr>
            <w:tcW w:w="980" w:type="dxa"/>
            <w:vAlign w:val="bottom"/>
          </w:tcPr>
          <w:p>
            <w:pPr>
              <w:jc w:val="right"/>
              <w:ind w:right="101"/>
              <w:spacing w:after="0"/>
              <w:rPr>
                <w:sz w:val="20"/>
                <w:szCs w:val="20"/>
                <w:color w:val="auto"/>
              </w:rPr>
            </w:pPr>
            <w:r>
              <w:rPr>
                <w:rFonts w:ascii="Arial" w:cs="Arial" w:eastAsia="Arial" w:hAnsi="Arial"/>
                <w:sz w:val="20"/>
                <w:szCs w:val="20"/>
                <w:color w:val="3E3935"/>
              </w:rPr>
              <w:t>18,823</w:t>
            </w:r>
          </w:p>
        </w:tc>
        <w:tc>
          <w:tcPr>
            <w:tcW w:w="0" w:type="dxa"/>
            <w:vAlign w:val="bottom"/>
          </w:tcPr>
          <w:p>
            <w:pPr>
              <w:spacing w:after="0"/>
              <w:rPr>
                <w:sz w:val="1"/>
                <w:szCs w:val="1"/>
                <w:color w:val="auto"/>
              </w:rPr>
            </w:pPr>
          </w:p>
        </w:tc>
      </w:tr>
      <w:tr>
        <w:trPr>
          <w:trHeight w:val="58"/>
        </w:trPr>
        <w:tc>
          <w:tcPr>
            <w:tcW w:w="4420" w:type="dxa"/>
            <w:vAlign w:val="bottom"/>
            <w:tcBorders>
              <w:bottom w:val="single" w:sz="8" w:color="3E3935"/>
            </w:tcBorders>
          </w:tcPr>
          <w:p>
            <w:pPr>
              <w:spacing w:after="0"/>
              <w:rPr>
                <w:sz w:val="5"/>
                <w:szCs w:val="5"/>
                <w:color w:val="auto"/>
              </w:rPr>
            </w:pPr>
          </w:p>
        </w:tc>
        <w:tc>
          <w:tcPr>
            <w:tcW w:w="3600" w:type="dxa"/>
            <w:vAlign w:val="bottom"/>
            <w:tcBorders>
              <w:bottom w:val="single" w:sz="8" w:color="3E3935"/>
            </w:tcBorders>
          </w:tcPr>
          <w:p>
            <w:pPr>
              <w:spacing w:after="0"/>
              <w:rPr>
                <w:sz w:val="5"/>
                <w:szCs w:val="5"/>
                <w:color w:val="auto"/>
              </w:rPr>
            </w:pPr>
          </w:p>
        </w:tc>
        <w:tc>
          <w:tcPr>
            <w:tcW w:w="1120" w:type="dxa"/>
            <w:vAlign w:val="bottom"/>
            <w:tcBorders>
              <w:bottom w:val="single" w:sz="8" w:color="3E3935"/>
            </w:tcBorders>
          </w:tcPr>
          <w:p>
            <w:pPr>
              <w:spacing w:after="0"/>
              <w:rPr>
                <w:sz w:val="5"/>
                <w:szCs w:val="5"/>
                <w:color w:val="auto"/>
              </w:rPr>
            </w:pPr>
          </w:p>
        </w:tc>
        <w:tc>
          <w:tcPr>
            <w:tcW w:w="980" w:type="dxa"/>
            <w:vAlign w:val="bottom"/>
            <w:tcBorders>
              <w:bottom w:val="single" w:sz="8" w:color="3E3935"/>
            </w:tcBorders>
          </w:tcPr>
          <w:p>
            <w:pPr>
              <w:spacing w:after="0"/>
              <w:rPr>
                <w:sz w:val="5"/>
                <w:szCs w:val="5"/>
                <w:color w:val="auto"/>
              </w:rPr>
            </w:pPr>
          </w:p>
        </w:tc>
        <w:tc>
          <w:tcPr>
            <w:tcW w:w="0" w:type="dxa"/>
            <w:vAlign w:val="bottom"/>
          </w:tcPr>
          <w:p>
            <w:pPr>
              <w:spacing w:after="0"/>
              <w:rPr>
                <w:sz w:val="1"/>
                <w:szCs w:val="1"/>
                <w:color w:val="auto"/>
              </w:rPr>
            </w:pPr>
          </w:p>
        </w:tc>
      </w:tr>
      <w:tr>
        <w:trPr>
          <w:trHeight w:val="301"/>
        </w:trPr>
        <w:tc>
          <w:tcPr>
            <w:tcW w:w="4420" w:type="dxa"/>
            <w:vAlign w:val="bottom"/>
          </w:tcPr>
          <w:p>
            <w:pPr>
              <w:ind w:left="100"/>
              <w:spacing w:after="0"/>
              <w:rPr>
                <w:sz w:val="20"/>
                <w:szCs w:val="20"/>
                <w:color w:val="auto"/>
              </w:rPr>
            </w:pPr>
            <w:r>
              <w:rPr>
                <w:rFonts w:ascii="Arial" w:cs="Arial" w:eastAsia="Arial" w:hAnsi="Arial"/>
                <w:sz w:val="20"/>
                <w:szCs w:val="20"/>
                <w:color w:val="3E3935"/>
              </w:rPr>
              <w:t>Joseph Jimenez</w:t>
            </w:r>
          </w:p>
        </w:tc>
        <w:tc>
          <w:tcPr>
            <w:tcW w:w="3600" w:type="dxa"/>
            <w:vAlign w:val="bottom"/>
          </w:tcPr>
          <w:p>
            <w:pPr>
              <w:jc w:val="right"/>
              <w:ind w:right="122"/>
              <w:spacing w:after="0"/>
              <w:rPr>
                <w:sz w:val="20"/>
                <w:szCs w:val="20"/>
                <w:color w:val="auto"/>
              </w:rPr>
            </w:pPr>
            <w:r>
              <w:rPr>
                <w:rFonts w:ascii="Arial" w:cs="Arial" w:eastAsia="Arial" w:hAnsi="Arial"/>
                <w:sz w:val="20"/>
                <w:szCs w:val="20"/>
                <w:color w:val="3E3935"/>
              </w:rPr>
              <w:t>42,500</w:t>
            </w:r>
          </w:p>
        </w:tc>
        <w:tc>
          <w:tcPr>
            <w:tcW w:w="1120" w:type="dxa"/>
            <w:vAlign w:val="bottom"/>
          </w:tcPr>
          <w:p>
            <w:pPr>
              <w:jc w:val="right"/>
              <w:ind w:right="61"/>
              <w:spacing w:after="0"/>
              <w:rPr>
                <w:sz w:val="20"/>
                <w:szCs w:val="20"/>
                <w:color w:val="auto"/>
              </w:rPr>
            </w:pPr>
            <w:r>
              <w:rPr>
                <w:rFonts w:ascii="Arial" w:cs="Arial" w:eastAsia="Arial" w:hAnsi="Arial"/>
                <w:sz w:val="20"/>
                <w:szCs w:val="20"/>
                <w:color w:val="3E3935"/>
              </w:rPr>
              <w:t>240</w:t>
            </w:r>
          </w:p>
        </w:tc>
        <w:tc>
          <w:tcPr>
            <w:tcW w:w="980" w:type="dxa"/>
            <w:vAlign w:val="bottom"/>
          </w:tcPr>
          <w:p>
            <w:pPr>
              <w:jc w:val="right"/>
              <w:ind w:right="101"/>
              <w:spacing w:after="0"/>
              <w:rPr>
                <w:sz w:val="20"/>
                <w:szCs w:val="20"/>
                <w:color w:val="auto"/>
              </w:rPr>
            </w:pPr>
            <w:r>
              <w:rPr>
                <w:rFonts w:ascii="Arial" w:cs="Arial" w:eastAsia="Arial" w:hAnsi="Arial"/>
                <w:sz w:val="20"/>
                <w:szCs w:val="20"/>
                <w:color w:val="3E3935"/>
              </w:rPr>
              <w:t>42,740</w:t>
            </w:r>
          </w:p>
        </w:tc>
        <w:tc>
          <w:tcPr>
            <w:tcW w:w="0" w:type="dxa"/>
            <w:vAlign w:val="bottom"/>
          </w:tcPr>
          <w:p>
            <w:pPr>
              <w:spacing w:after="0"/>
              <w:rPr>
                <w:sz w:val="1"/>
                <w:szCs w:val="1"/>
                <w:color w:val="auto"/>
              </w:rPr>
            </w:pPr>
          </w:p>
        </w:tc>
      </w:tr>
      <w:tr>
        <w:trPr>
          <w:trHeight w:val="58"/>
        </w:trPr>
        <w:tc>
          <w:tcPr>
            <w:tcW w:w="4420" w:type="dxa"/>
            <w:vAlign w:val="bottom"/>
            <w:tcBorders>
              <w:bottom w:val="single" w:sz="8" w:color="3E3935"/>
            </w:tcBorders>
          </w:tcPr>
          <w:p>
            <w:pPr>
              <w:spacing w:after="0"/>
              <w:rPr>
                <w:sz w:val="5"/>
                <w:szCs w:val="5"/>
                <w:color w:val="auto"/>
              </w:rPr>
            </w:pPr>
          </w:p>
        </w:tc>
        <w:tc>
          <w:tcPr>
            <w:tcW w:w="3600" w:type="dxa"/>
            <w:vAlign w:val="bottom"/>
            <w:tcBorders>
              <w:bottom w:val="single" w:sz="8" w:color="3E3935"/>
            </w:tcBorders>
          </w:tcPr>
          <w:p>
            <w:pPr>
              <w:spacing w:after="0"/>
              <w:rPr>
                <w:sz w:val="5"/>
                <w:szCs w:val="5"/>
                <w:color w:val="auto"/>
              </w:rPr>
            </w:pPr>
          </w:p>
        </w:tc>
        <w:tc>
          <w:tcPr>
            <w:tcW w:w="1120" w:type="dxa"/>
            <w:vAlign w:val="bottom"/>
            <w:tcBorders>
              <w:bottom w:val="single" w:sz="8" w:color="3E3935"/>
            </w:tcBorders>
          </w:tcPr>
          <w:p>
            <w:pPr>
              <w:spacing w:after="0"/>
              <w:rPr>
                <w:sz w:val="5"/>
                <w:szCs w:val="5"/>
                <w:color w:val="auto"/>
              </w:rPr>
            </w:pPr>
          </w:p>
        </w:tc>
        <w:tc>
          <w:tcPr>
            <w:tcW w:w="980" w:type="dxa"/>
            <w:vAlign w:val="bottom"/>
            <w:tcBorders>
              <w:bottom w:val="single" w:sz="8" w:color="3E3935"/>
            </w:tcBorders>
          </w:tcPr>
          <w:p>
            <w:pPr>
              <w:spacing w:after="0"/>
              <w:rPr>
                <w:sz w:val="5"/>
                <w:szCs w:val="5"/>
                <w:color w:val="auto"/>
              </w:rPr>
            </w:pPr>
          </w:p>
        </w:tc>
        <w:tc>
          <w:tcPr>
            <w:tcW w:w="0" w:type="dxa"/>
            <w:vAlign w:val="bottom"/>
          </w:tcPr>
          <w:p>
            <w:pPr>
              <w:spacing w:after="0"/>
              <w:rPr>
                <w:sz w:val="1"/>
                <w:szCs w:val="1"/>
                <w:color w:val="auto"/>
              </w:rPr>
            </w:pPr>
          </w:p>
        </w:tc>
      </w:tr>
      <w:tr>
        <w:trPr>
          <w:trHeight w:val="300"/>
        </w:trPr>
        <w:tc>
          <w:tcPr>
            <w:tcW w:w="4420" w:type="dxa"/>
            <w:vAlign w:val="bottom"/>
          </w:tcPr>
          <w:p>
            <w:pPr>
              <w:ind w:left="100"/>
              <w:spacing w:after="0"/>
              <w:rPr>
                <w:sz w:val="20"/>
                <w:szCs w:val="20"/>
                <w:color w:val="auto"/>
              </w:rPr>
            </w:pPr>
            <w:r>
              <w:rPr>
                <w:rFonts w:ascii="Arial" w:cs="Arial" w:eastAsia="Arial" w:hAnsi="Arial"/>
                <w:sz w:val="20"/>
                <w:szCs w:val="20"/>
                <w:color w:val="3E3935"/>
              </w:rPr>
              <w:t>Jonathan McNeill</w:t>
            </w:r>
          </w:p>
        </w:tc>
        <w:tc>
          <w:tcPr>
            <w:tcW w:w="3600" w:type="dxa"/>
            <w:vAlign w:val="bottom"/>
          </w:tcPr>
          <w:p>
            <w:pPr>
              <w:jc w:val="right"/>
              <w:ind w:right="122"/>
              <w:spacing w:after="0"/>
              <w:rPr>
                <w:sz w:val="20"/>
                <w:szCs w:val="20"/>
                <w:color w:val="auto"/>
              </w:rPr>
            </w:pPr>
            <w:r>
              <w:rPr>
                <w:rFonts w:ascii="Arial" w:cs="Arial" w:eastAsia="Arial" w:hAnsi="Arial"/>
                <w:sz w:val="20"/>
                <w:szCs w:val="20"/>
                <w:color w:val="3E3935"/>
              </w:rPr>
              <w:t>—</w:t>
            </w:r>
          </w:p>
        </w:tc>
        <w:tc>
          <w:tcPr>
            <w:tcW w:w="1120" w:type="dxa"/>
            <w:vAlign w:val="bottom"/>
          </w:tcPr>
          <w:p>
            <w:pPr>
              <w:jc w:val="right"/>
              <w:ind w:right="61"/>
              <w:spacing w:after="0"/>
              <w:rPr>
                <w:sz w:val="20"/>
                <w:szCs w:val="20"/>
                <w:color w:val="auto"/>
              </w:rPr>
            </w:pPr>
            <w:r>
              <w:rPr>
                <w:rFonts w:ascii="Arial" w:cs="Arial" w:eastAsia="Arial" w:hAnsi="Arial"/>
                <w:sz w:val="20"/>
                <w:szCs w:val="20"/>
                <w:color w:val="3E3935"/>
              </w:rPr>
              <w:t>60</w:t>
            </w:r>
          </w:p>
        </w:tc>
        <w:tc>
          <w:tcPr>
            <w:tcW w:w="980" w:type="dxa"/>
            <w:vAlign w:val="bottom"/>
          </w:tcPr>
          <w:p>
            <w:pPr>
              <w:jc w:val="right"/>
              <w:ind w:right="101"/>
              <w:spacing w:after="0"/>
              <w:rPr>
                <w:sz w:val="20"/>
                <w:szCs w:val="20"/>
                <w:color w:val="auto"/>
              </w:rPr>
            </w:pPr>
            <w:r>
              <w:rPr>
                <w:rFonts w:ascii="Arial" w:cs="Arial" w:eastAsia="Arial" w:hAnsi="Arial"/>
                <w:sz w:val="20"/>
                <w:szCs w:val="20"/>
                <w:color w:val="3E3935"/>
              </w:rPr>
              <w:t>60</w:t>
            </w:r>
          </w:p>
        </w:tc>
        <w:tc>
          <w:tcPr>
            <w:tcW w:w="0" w:type="dxa"/>
            <w:vAlign w:val="bottom"/>
          </w:tcPr>
          <w:p>
            <w:pPr>
              <w:spacing w:after="0"/>
              <w:rPr>
                <w:sz w:val="1"/>
                <w:szCs w:val="1"/>
                <w:color w:val="auto"/>
              </w:rPr>
            </w:pPr>
          </w:p>
        </w:tc>
      </w:tr>
      <w:tr>
        <w:trPr>
          <w:trHeight w:val="58"/>
        </w:trPr>
        <w:tc>
          <w:tcPr>
            <w:tcW w:w="4420" w:type="dxa"/>
            <w:vAlign w:val="bottom"/>
            <w:tcBorders>
              <w:bottom w:val="single" w:sz="8" w:color="3E3935"/>
            </w:tcBorders>
          </w:tcPr>
          <w:p>
            <w:pPr>
              <w:spacing w:after="0"/>
              <w:rPr>
                <w:sz w:val="5"/>
                <w:szCs w:val="5"/>
                <w:color w:val="auto"/>
              </w:rPr>
            </w:pPr>
          </w:p>
        </w:tc>
        <w:tc>
          <w:tcPr>
            <w:tcW w:w="3600" w:type="dxa"/>
            <w:vAlign w:val="bottom"/>
            <w:tcBorders>
              <w:bottom w:val="single" w:sz="8" w:color="3E3935"/>
            </w:tcBorders>
          </w:tcPr>
          <w:p>
            <w:pPr>
              <w:spacing w:after="0"/>
              <w:rPr>
                <w:sz w:val="5"/>
                <w:szCs w:val="5"/>
                <w:color w:val="auto"/>
              </w:rPr>
            </w:pPr>
          </w:p>
        </w:tc>
        <w:tc>
          <w:tcPr>
            <w:tcW w:w="1120" w:type="dxa"/>
            <w:vAlign w:val="bottom"/>
            <w:tcBorders>
              <w:bottom w:val="single" w:sz="8" w:color="3E3935"/>
            </w:tcBorders>
          </w:tcPr>
          <w:p>
            <w:pPr>
              <w:spacing w:after="0"/>
              <w:rPr>
                <w:sz w:val="5"/>
                <w:szCs w:val="5"/>
                <w:color w:val="auto"/>
              </w:rPr>
            </w:pPr>
          </w:p>
        </w:tc>
        <w:tc>
          <w:tcPr>
            <w:tcW w:w="980" w:type="dxa"/>
            <w:vAlign w:val="bottom"/>
            <w:tcBorders>
              <w:bottom w:val="single" w:sz="8" w:color="3E3935"/>
            </w:tcBorders>
          </w:tcPr>
          <w:p>
            <w:pPr>
              <w:spacing w:after="0"/>
              <w:rPr>
                <w:sz w:val="5"/>
                <w:szCs w:val="5"/>
                <w:color w:val="auto"/>
              </w:rPr>
            </w:pPr>
          </w:p>
        </w:tc>
        <w:tc>
          <w:tcPr>
            <w:tcW w:w="0" w:type="dxa"/>
            <w:vAlign w:val="bottom"/>
          </w:tcPr>
          <w:p>
            <w:pPr>
              <w:spacing w:after="0"/>
              <w:rPr>
                <w:sz w:val="1"/>
                <w:szCs w:val="1"/>
                <w:color w:val="auto"/>
              </w:rPr>
            </w:pPr>
          </w:p>
        </w:tc>
      </w:tr>
      <w:tr>
        <w:trPr>
          <w:trHeight w:val="301"/>
        </w:trPr>
        <w:tc>
          <w:tcPr>
            <w:tcW w:w="4420" w:type="dxa"/>
            <w:vAlign w:val="bottom"/>
          </w:tcPr>
          <w:p>
            <w:pPr>
              <w:ind w:left="100"/>
              <w:spacing w:after="0"/>
              <w:rPr>
                <w:sz w:val="20"/>
                <w:szCs w:val="20"/>
                <w:color w:val="auto"/>
              </w:rPr>
            </w:pPr>
            <w:r>
              <w:rPr>
                <w:rFonts w:ascii="Arial" w:cs="Arial" w:eastAsia="Arial" w:hAnsi="Arial"/>
                <w:sz w:val="20"/>
                <w:szCs w:val="20"/>
                <w:color w:val="3E3935"/>
              </w:rPr>
              <w:t>Jane L. Mendillo</w:t>
            </w:r>
          </w:p>
        </w:tc>
        <w:tc>
          <w:tcPr>
            <w:tcW w:w="3600" w:type="dxa"/>
            <w:vAlign w:val="bottom"/>
          </w:tcPr>
          <w:p>
            <w:pPr>
              <w:jc w:val="right"/>
              <w:ind w:right="122"/>
              <w:spacing w:after="0"/>
              <w:rPr>
                <w:sz w:val="20"/>
                <w:szCs w:val="20"/>
                <w:color w:val="auto"/>
              </w:rPr>
            </w:pPr>
            <w:r>
              <w:rPr>
                <w:rFonts w:ascii="Arial" w:cs="Arial" w:eastAsia="Arial" w:hAnsi="Arial"/>
                <w:sz w:val="20"/>
                <w:szCs w:val="20"/>
                <w:color w:val="3E3935"/>
              </w:rPr>
              <w:t>14,750</w:t>
            </w:r>
          </w:p>
        </w:tc>
        <w:tc>
          <w:tcPr>
            <w:tcW w:w="1120" w:type="dxa"/>
            <w:vAlign w:val="bottom"/>
          </w:tcPr>
          <w:p>
            <w:pPr>
              <w:jc w:val="right"/>
              <w:ind w:right="61"/>
              <w:spacing w:after="0"/>
              <w:rPr>
                <w:sz w:val="20"/>
                <w:szCs w:val="20"/>
                <w:color w:val="auto"/>
              </w:rPr>
            </w:pPr>
            <w:r>
              <w:rPr>
                <w:rFonts w:ascii="Arial" w:cs="Arial" w:eastAsia="Arial" w:hAnsi="Arial"/>
                <w:sz w:val="20"/>
                <w:szCs w:val="20"/>
                <w:color w:val="3E3935"/>
              </w:rPr>
              <w:t>120</w:t>
            </w:r>
          </w:p>
        </w:tc>
        <w:tc>
          <w:tcPr>
            <w:tcW w:w="980" w:type="dxa"/>
            <w:vAlign w:val="bottom"/>
          </w:tcPr>
          <w:p>
            <w:pPr>
              <w:jc w:val="right"/>
              <w:ind w:right="101"/>
              <w:spacing w:after="0"/>
              <w:rPr>
                <w:sz w:val="20"/>
                <w:szCs w:val="20"/>
                <w:color w:val="auto"/>
              </w:rPr>
            </w:pPr>
            <w:r>
              <w:rPr>
                <w:rFonts w:ascii="Arial" w:cs="Arial" w:eastAsia="Arial" w:hAnsi="Arial"/>
                <w:sz w:val="20"/>
                <w:szCs w:val="20"/>
                <w:color w:val="3E3935"/>
              </w:rPr>
              <w:t>14,870</w:t>
            </w:r>
          </w:p>
        </w:tc>
        <w:tc>
          <w:tcPr>
            <w:tcW w:w="0" w:type="dxa"/>
            <w:vAlign w:val="bottom"/>
          </w:tcPr>
          <w:p>
            <w:pPr>
              <w:spacing w:after="0"/>
              <w:rPr>
                <w:sz w:val="1"/>
                <w:szCs w:val="1"/>
                <w:color w:val="auto"/>
              </w:rPr>
            </w:pPr>
          </w:p>
        </w:tc>
      </w:tr>
      <w:tr>
        <w:trPr>
          <w:trHeight w:val="57"/>
        </w:trPr>
        <w:tc>
          <w:tcPr>
            <w:tcW w:w="4420" w:type="dxa"/>
            <w:vAlign w:val="bottom"/>
            <w:tcBorders>
              <w:bottom w:val="single" w:sz="8" w:color="3E3935"/>
            </w:tcBorders>
          </w:tcPr>
          <w:p>
            <w:pPr>
              <w:spacing w:after="0"/>
              <w:rPr>
                <w:sz w:val="5"/>
                <w:szCs w:val="5"/>
                <w:color w:val="auto"/>
              </w:rPr>
            </w:pPr>
          </w:p>
        </w:tc>
        <w:tc>
          <w:tcPr>
            <w:tcW w:w="3600" w:type="dxa"/>
            <w:vAlign w:val="bottom"/>
            <w:tcBorders>
              <w:bottom w:val="single" w:sz="8" w:color="3E3935"/>
            </w:tcBorders>
          </w:tcPr>
          <w:p>
            <w:pPr>
              <w:spacing w:after="0"/>
              <w:rPr>
                <w:sz w:val="5"/>
                <w:szCs w:val="5"/>
                <w:color w:val="auto"/>
              </w:rPr>
            </w:pPr>
          </w:p>
        </w:tc>
        <w:tc>
          <w:tcPr>
            <w:tcW w:w="1120" w:type="dxa"/>
            <w:vAlign w:val="bottom"/>
            <w:tcBorders>
              <w:bottom w:val="single" w:sz="8" w:color="3E3935"/>
            </w:tcBorders>
          </w:tcPr>
          <w:p>
            <w:pPr>
              <w:spacing w:after="0"/>
              <w:rPr>
                <w:sz w:val="5"/>
                <w:szCs w:val="5"/>
                <w:color w:val="auto"/>
              </w:rPr>
            </w:pPr>
          </w:p>
        </w:tc>
        <w:tc>
          <w:tcPr>
            <w:tcW w:w="980" w:type="dxa"/>
            <w:vAlign w:val="bottom"/>
            <w:tcBorders>
              <w:bottom w:val="single" w:sz="8" w:color="3E3935"/>
            </w:tcBorders>
          </w:tcPr>
          <w:p>
            <w:pPr>
              <w:spacing w:after="0"/>
              <w:rPr>
                <w:sz w:val="5"/>
                <w:szCs w:val="5"/>
                <w:color w:val="auto"/>
              </w:rPr>
            </w:pPr>
          </w:p>
        </w:tc>
        <w:tc>
          <w:tcPr>
            <w:tcW w:w="0" w:type="dxa"/>
            <w:vAlign w:val="bottom"/>
          </w:tcPr>
          <w:p>
            <w:pPr>
              <w:spacing w:after="0"/>
              <w:rPr>
                <w:sz w:val="1"/>
                <w:szCs w:val="1"/>
                <w:color w:val="auto"/>
              </w:rPr>
            </w:pPr>
          </w:p>
        </w:tc>
      </w:tr>
      <w:tr>
        <w:trPr>
          <w:trHeight w:val="301"/>
        </w:trPr>
        <w:tc>
          <w:tcPr>
            <w:tcW w:w="4420" w:type="dxa"/>
            <w:vAlign w:val="bottom"/>
          </w:tcPr>
          <w:p>
            <w:pPr>
              <w:ind w:left="100"/>
              <w:spacing w:after="0"/>
              <w:rPr>
                <w:sz w:val="20"/>
                <w:szCs w:val="20"/>
                <w:color w:val="auto"/>
              </w:rPr>
            </w:pPr>
            <w:r>
              <w:rPr>
                <w:rFonts w:ascii="Arial" w:cs="Arial" w:eastAsia="Arial" w:hAnsi="Arial"/>
                <w:sz w:val="20"/>
                <w:szCs w:val="20"/>
                <w:color w:val="3E3935"/>
              </w:rPr>
              <w:t>Judith A. Miscik</w:t>
            </w:r>
          </w:p>
        </w:tc>
        <w:tc>
          <w:tcPr>
            <w:tcW w:w="3600" w:type="dxa"/>
            <w:vAlign w:val="bottom"/>
          </w:tcPr>
          <w:p>
            <w:pPr>
              <w:jc w:val="right"/>
              <w:ind w:right="122"/>
              <w:spacing w:after="0"/>
              <w:rPr>
                <w:sz w:val="20"/>
                <w:szCs w:val="20"/>
                <w:color w:val="auto"/>
              </w:rPr>
            </w:pPr>
            <w:r>
              <w:rPr>
                <w:rFonts w:ascii="Arial" w:cs="Arial" w:eastAsia="Arial" w:hAnsi="Arial"/>
                <w:sz w:val="20"/>
                <w:szCs w:val="20"/>
                <w:color w:val="3E3935"/>
              </w:rPr>
              <w:t>16,579</w:t>
            </w:r>
          </w:p>
        </w:tc>
        <w:tc>
          <w:tcPr>
            <w:tcW w:w="1120" w:type="dxa"/>
            <w:vAlign w:val="bottom"/>
          </w:tcPr>
          <w:p>
            <w:pPr>
              <w:jc w:val="right"/>
              <w:ind w:right="61"/>
              <w:spacing w:after="0"/>
              <w:rPr>
                <w:sz w:val="20"/>
                <w:szCs w:val="20"/>
                <w:color w:val="auto"/>
              </w:rPr>
            </w:pPr>
            <w:r>
              <w:rPr>
                <w:rFonts w:ascii="Arial" w:cs="Arial" w:eastAsia="Arial" w:hAnsi="Arial"/>
                <w:sz w:val="20"/>
                <w:szCs w:val="20"/>
                <w:color w:val="3E3935"/>
              </w:rPr>
              <w:t>240</w:t>
            </w:r>
          </w:p>
        </w:tc>
        <w:tc>
          <w:tcPr>
            <w:tcW w:w="980" w:type="dxa"/>
            <w:vAlign w:val="bottom"/>
          </w:tcPr>
          <w:p>
            <w:pPr>
              <w:jc w:val="right"/>
              <w:ind w:right="101"/>
              <w:spacing w:after="0"/>
              <w:rPr>
                <w:sz w:val="20"/>
                <w:szCs w:val="20"/>
                <w:color w:val="auto"/>
              </w:rPr>
            </w:pPr>
            <w:r>
              <w:rPr>
                <w:rFonts w:ascii="Arial" w:cs="Arial" w:eastAsia="Arial" w:hAnsi="Arial"/>
                <w:sz w:val="20"/>
                <w:szCs w:val="20"/>
                <w:color w:val="3E3935"/>
              </w:rPr>
              <w:t>16,819</w:t>
            </w:r>
          </w:p>
        </w:tc>
        <w:tc>
          <w:tcPr>
            <w:tcW w:w="0" w:type="dxa"/>
            <w:vAlign w:val="bottom"/>
          </w:tcPr>
          <w:p>
            <w:pPr>
              <w:spacing w:after="0"/>
              <w:rPr>
                <w:sz w:val="1"/>
                <w:szCs w:val="1"/>
                <w:color w:val="auto"/>
              </w:rPr>
            </w:pPr>
          </w:p>
        </w:tc>
      </w:tr>
      <w:tr>
        <w:trPr>
          <w:trHeight w:val="57"/>
        </w:trPr>
        <w:tc>
          <w:tcPr>
            <w:tcW w:w="4420" w:type="dxa"/>
            <w:vAlign w:val="bottom"/>
            <w:tcBorders>
              <w:bottom w:val="single" w:sz="8" w:color="3E3935"/>
            </w:tcBorders>
          </w:tcPr>
          <w:p>
            <w:pPr>
              <w:spacing w:after="0"/>
              <w:rPr>
                <w:sz w:val="5"/>
                <w:szCs w:val="5"/>
                <w:color w:val="auto"/>
              </w:rPr>
            </w:pPr>
          </w:p>
        </w:tc>
        <w:tc>
          <w:tcPr>
            <w:tcW w:w="3600" w:type="dxa"/>
            <w:vAlign w:val="bottom"/>
            <w:tcBorders>
              <w:bottom w:val="single" w:sz="8" w:color="3E3935"/>
            </w:tcBorders>
          </w:tcPr>
          <w:p>
            <w:pPr>
              <w:spacing w:after="0"/>
              <w:rPr>
                <w:sz w:val="5"/>
                <w:szCs w:val="5"/>
                <w:color w:val="auto"/>
              </w:rPr>
            </w:pPr>
          </w:p>
        </w:tc>
        <w:tc>
          <w:tcPr>
            <w:tcW w:w="1120" w:type="dxa"/>
            <w:vAlign w:val="bottom"/>
            <w:tcBorders>
              <w:bottom w:val="single" w:sz="8" w:color="3E3935"/>
            </w:tcBorders>
          </w:tcPr>
          <w:p>
            <w:pPr>
              <w:spacing w:after="0"/>
              <w:rPr>
                <w:sz w:val="5"/>
                <w:szCs w:val="5"/>
                <w:color w:val="auto"/>
              </w:rPr>
            </w:pPr>
          </w:p>
        </w:tc>
        <w:tc>
          <w:tcPr>
            <w:tcW w:w="980" w:type="dxa"/>
            <w:vAlign w:val="bottom"/>
            <w:tcBorders>
              <w:bottom w:val="single" w:sz="8" w:color="3E3935"/>
            </w:tcBorders>
          </w:tcPr>
          <w:p>
            <w:pPr>
              <w:spacing w:after="0"/>
              <w:rPr>
                <w:sz w:val="5"/>
                <w:szCs w:val="5"/>
                <w:color w:val="auto"/>
              </w:rPr>
            </w:pPr>
          </w:p>
        </w:tc>
        <w:tc>
          <w:tcPr>
            <w:tcW w:w="0" w:type="dxa"/>
            <w:vAlign w:val="bottom"/>
          </w:tcPr>
          <w:p>
            <w:pPr>
              <w:spacing w:after="0"/>
              <w:rPr>
                <w:sz w:val="1"/>
                <w:szCs w:val="1"/>
                <w:color w:val="auto"/>
              </w:rPr>
            </w:pPr>
          </w:p>
        </w:tc>
      </w:tr>
      <w:tr>
        <w:trPr>
          <w:trHeight w:val="301"/>
        </w:trPr>
        <w:tc>
          <w:tcPr>
            <w:tcW w:w="4420" w:type="dxa"/>
            <w:vAlign w:val="bottom"/>
          </w:tcPr>
          <w:p>
            <w:pPr>
              <w:ind w:left="100"/>
              <w:spacing w:after="0"/>
              <w:rPr>
                <w:sz w:val="20"/>
                <w:szCs w:val="20"/>
                <w:color w:val="auto"/>
              </w:rPr>
            </w:pPr>
            <w:r>
              <w:rPr>
                <w:rFonts w:ascii="Arial" w:cs="Arial" w:eastAsia="Arial" w:hAnsi="Arial"/>
                <w:sz w:val="20"/>
                <w:szCs w:val="20"/>
                <w:color w:val="3E3935"/>
              </w:rPr>
              <w:t>Patricia F. Russo</w:t>
            </w:r>
          </w:p>
        </w:tc>
        <w:tc>
          <w:tcPr>
            <w:tcW w:w="3600" w:type="dxa"/>
            <w:vAlign w:val="bottom"/>
          </w:tcPr>
          <w:p>
            <w:pPr>
              <w:jc w:val="right"/>
              <w:ind w:right="122"/>
              <w:spacing w:after="0"/>
              <w:rPr>
                <w:sz w:val="20"/>
                <w:szCs w:val="20"/>
                <w:color w:val="auto"/>
              </w:rPr>
            </w:pPr>
            <w:r>
              <w:rPr>
                <w:rFonts w:ascii="Arial" w:cs="Arial" w:eastAsia="Arial" w:hAnsi="Arial"/>
                <w:sz w:val="20"/>
                <w:szCs w:val="20"/>
                <w:color w:val="3E3935"/>
              </w:rPr>
              <w:t>23,483</w:t>
            </w:r>
          </w:p>
        </w:tc>
        <w:tc>
          <w:tcPr>
            <w:tcW w:w="1120" w:type="dxa"/>
            <w:vAlign w:val="bottom"/>
          </w:tcPr>
          <w:p>
            <w:pPr>
              <w:jc w:val="right"/>
              <w:ind w:right="61"/>
              <w:spacing w:after="0"/>
              <w:rPr>
                <w:sz w:val="20"/>
                <w:szCs w:val="20"/>
                <w:color w:val="auto"/>
              </w:rPr>
            </w:pPr>
            <w:r>
              <w:rPr>
                <w:rFonts w:ascii="Arial" w:cs="Arial" w:eastAsia="Arial" w:hAnsi="Arial"/>
                <w:sz w:val="20"/>
                <w:szCs w:val="20"/>
                <w:color w:val="3E3935"/>
              </w:rPr>
              <w:t>240</w:t>
            </w:r>
          </w:p>
        </w:tc>
        <w:tc>
          <w:tcPr>
            <w:tcW w:w="980" w:type="dxa"/>
            <w:vAlign w:val="bottom"/>
          </w:tcPr>
          <w:p>
            <w:pPr>
              <w:jc w:val="right"/>
              <w:ind w:right="101"/>
              <w:spacing w:after="0"/>
              <w:rPr>
                <w:sz w:val="20"/>
                <w:szCs w:val="20"/>
                <w:color w:val="auto"/>
              </w:rPr>
            </w:pPr>
            <w:r>
              <w:rPr>
                <w:rFonts w:ascii="Arial" w:cs="Arial" w:eastAsia="Arial" w:hAnsi="Arial"/>
                <w:sz w:val="20"/>
                <w:szCs w:val="20"/>
                <w:color w:val="3E3935"/>
              </w:rPr>
              <w:t>23,723</w:t>
            </w:r>
          </w:p>
        </w:tc>
        <w:tc>
          <w:tcPr>
            <w:tcW w:w="0" w:type="dxa"/>
            <w:vAlign w:val="bottom"/>
          </w:tcPr>
          <w:p>
            <w:pPr>
              <w:spacing w:after="0"/>
              <w:rPr>
                <w:sz w:val="1"/>
                <w:szCs w:val="1"/>
                <w:color w:val="auto"/>
              </w:rPr>
            </w:pPr>
          </w:p>
        </w:tc>
      </w:tr>
      <w:tr>
        <w:trPr>
          <w:trHeight w:val="58"/>
        </w:trPr>
        <w:tc>
          <w:tcPr>
            <w:tcW w:w="4420" w:type="dxa"/>
            <w:vAlign w:val="bottom"/>
            <w:tcBorders>
              <w:bottom w:val="single" w:sz="8" w:color="3E3935"/>
            </w:tcBorders>
          </w:tcPr>
          <w:p>
            <w:pPr>
              <w:spacing w:after="0"/>
              <w:rPr>
                <w:sz w:val="5"/>
                <w:szCs w:val="5"/>
                <w:color w:val="auto"/>
              </w:rPr>
            </w:pPr>
          </w:p>
        </w:tc>
        <w:tc>
          <w:tcPr>
            <w:tcW w:w="3600" w:type="dxa"/>
            <w:vAlign w:val="bottom"/>
            <w:tcBorders>
              <w:bottom w:val="single" w:sz="8" w:color="3E3935"/>
            </w:tcBorders>
          </w:tcPr>
          <w:p>
            <w:pPr>
              <w:spacing w:after="0"/>
              <w:rPr>
                <w:sz w:val="5"/>
                <w:szCs w:val="5"/>
                <w:color w:val="auto"/>
              </w:rPr>
            </w:pPr>
          </w:p>
        </w:tc>
        <w:tc>
          <w:tcPr>
            <w:tcW w:w="1120" w:type="dxa"/>
            <w:vAlign w:val="bottom"/>
            <w:tcBorders>
              <w:bottom w:val="single" w:sz="8" w:color="3E3935"/>
            </w:tcBorders>
          </w:tcPr>
          <w:p>
            <w:pPr>
              <w:spacing w:after="0"/>
              <w:rPr>
                <w:sz w:val="5"/>
                <w:szCs w:val="5"/>
                <w:color w:val="auto"/>
              </w:rPr>
            </w:pPr>
          </w:p>
        </w:tc>
        <w:tc>
          <w:tcPr>
            <w:tcW w:w="980" w:type="dxa"/>
            <w:vAlign w:val="bottom"/>
            <w:tcBorders>
              <w:bottom w:val="single" w:sz="8" w:color="3E3935"/>
            </w:tcBorders>
          </w:tcPr>
          <w:p>
            <w:pPr>
              <w:spacing w:after="0"/>
              <w:rPr>
                <w:sz w:val="5"/>
                <w:szCs w:val="5"/>
                <w:color w:val="auto"/>
              </w:rPr>
            </w:pPr>
          </w:p>
        </w:tc>
        <w:tc>
          <w:tcPr>
            <w:tcW w:w="0" w:type="dxa"/>
            <w:vAlign w:val="bottom"/>
          </w:tcPr>
          <w:p>
            <w:pPr>
              <w:spacing w:after="0"/>
              <w:rPr>
                <w:sz w:val="1"/>
                <w:szCs w:val="1"/>
                <w:color w:val="auto"/>
              </w:rPr>
            </w:pPr>
          </w:p>
        </w:tc>
      </w:tr>
      <w:tr>
        <w:trPr>
          <w:trHeight w:val="300"/>
        </w:trPr>
        <w:tc>
          <w:tcPr>
            <w:tcW w:w="4420" w:type="dxa"/>
            <w:vAlign w:val="bottom"/>
          </w:tcPr>
          <w:p>
            <w:pPr>
              <w:ind w:left="100"/>
              <w:spacing w:after="0"/>
              <w:rPr>
                <w:sz w:val="20"/>
                <w:szCs w:val="20"/>
                <w:color w:val="auto"/>
              </w:rPr>
            </w:pPr>
            <w:r>
              <w:rPr>
                <w:rFonts w:ascii="Arial" w:cs="Arial" w:eastAsia="Arial" w:hAnsi="Arial"/>
                <w:sz w:val="20"/>
                <w:szCs w:val="20"/>
                <w:color w:val="3E3935"/>
              </w:rPr>
              <w:t>Thomas M. Schoewe</w:t>
            </w:r>
          </w:p>
        </w:tc>
        <w:tc>
          <w:tcPr>
            <w:tcW w:w="3600" w:type="dxa"/>
            <w:vAlign w:val="bottom"/>
          </w:tcPr>
          <w:p>
            <w:pPr>
              <w:jc w:val="right"/>
              <w:ind w:right="122"/>
              <w:spacing w:after="0"/>
              <w:rPr>
                <w:sz w:val="20"/>
                <w:szCs w:val="20"/>
                <w:color w:val="auto"/>
              </w:rPr>
            </w:pPr>
            <w:r>
              <w:rPr>
                <w:rFonts w:ascii="Arial" w:cs="Arial" w:eastAsia="Arial" w:hAnsi="Arial"/>
                <w:sz w:val="20"/>
                <w:szCs w:val="20"/>
                <w:color w:val="3E3935"/>
              </w:rPr>
              <w:t>45,000</w:t>
            </w:r>
          </w:p>
        </w:tc>
        <w:tc>
          <w:tcPr>
            <w:tcW w:w="1120" w:type="dxa"/>
            <w:vAlign w:val="bottom"/>
          </w:tcPr>
          <w:p>
            <w:pPr>
              <w:jc w:val="right"/>
              <w:ind w:right="61"/>
              <w:spacing w:after="0"/>
              <w:rPr>
                <w:sz w:val="20"/>
                <w:szCs w:val="20"/>
                <w:color w:val="auto"/>
              </w:rPr>
            </w:pPr>
            <w:r>
              <w:rPr>
                <w:rFonts w:ascii="Arial" w:cs="Arial" w:eastAsia="Arial" w:hAnsi="Arial"/>
                <w:sz w:val="20"/>
                <w:szCs w:val="20"/>
                <w:color w:val="3E3935"/>
              </w:rPr>
              <w:t>240</w:t>
            </w:r>
          </w:p>
        </w:tc>
        <w:tc>
          <w:tcPr>
            <w:tcW w:w="980" w:type="dxa"/>
            <w:vAlign w:val="bottom"/>
          </w:tcPr>
          <w:p>
            <w:pPr>
              <w:jc w:val="right"/>
              <w:ind w:right="101"/>
              <w:spacing w:after="0"/>
              <w:rPr>
                <w:sz w:val="20"/>
                <w:szCs w:val="20"/>
                <w:color w:val="auto"/>
              </w:rPr>
            </w:pPr>
            <w:r>
              <w:rPr>
                <w:rFonts w:ascii="Arial" w:cs="Arial" w:eastAsia="Arial" w:hAnsi="Arial"/>
                <w:sz w:val="20"/>
                <w:szCs w:val="20"/>
                <w:color w:val="3E3935"/>
              </w:rPr>
              <w:t>45,240</w:t>
            </w:r>
          </w:p>
        </w:tc>
        <w:tc>
          <w:tcPr>
            <w:tcW w:w="0" w:type="dxa"/>
            <w:vAlign w:val="bottom"/>
          </w:tcPr>
          <w:p>
            <w:pPr>
              <w:spacing w:after="0"/>
              <w:rPr>
                <w:sz w:val="1"/>
                <w:szCs w:val="1"/>
                <w:color w:val="auto"/>
              </w:rPr>
            </w:pPr>
          </w:p>
        </w:tc>
      </w:tr>
      <w:tr>
        <w:trPr>
          <w:trHeight w:val="58"/>
        </w:trPr>
        <w:tc>
          <w:tcPr>
            <w:tcW w:w="4420" w:type="dxa"/>
            <w:vAlign w:val="bottom"/>
            <w:tcBorders>
              <w:bottom w:val="single" w:sz="8" w:color="3E3935"/>
            </w:tcBorders>
          </w:tcPr>
          <w:p>
            <w:pPr>
              <w:spacing w:after="0"/>
              <w:rPr>
                <w:sz w:val="5"/>
                <w:szCs w:val="5"/>
                <w:color w:val="auto"/>
              </w:rPr>
            </w:pPr>
          </w:p>
        </w:tc>
        <w:tc>
          <w:tcPr>
            <w:tcW w:w="3600" w:type="dxa"/>
            <w:vAlign w:val="bottom"/>
            <w:tcBorders>
              <w:bottom w:val="single" w:sz="8" w:color="3E3935"/>
            </w:tcBorders>
          </w:tcPr>
          <w:p>
            <w:pPr>
              <w:spacing w:after="0"/>
              <w:rPr>
                <w:sz w:val="5"/>
                <w:szCs w:val="5"/>
                <w:color w:val="auto"/>
              </w:rPr>
            </w:pPr>
          </w:p>
        </w:tc>
        <w:tc>
          <w:tcPr>
            <w:tcW w:w="1120" w:type="dxa"/>
            <w:vAlign w:val="bottom"/>
            <w:tcBorders>
              <w:bottom w:val="single" w:sz="8" w:color="3E3935"/>
            </w:tcBorders>
          </w:tcPr>
          <w:p>
            <w:pPr>
              <w:spacing w:after="0"/>
              <w:rPr>
                <w:sz w:val="5"/>
                <w:szCs w:val="5"/>
                <w:color w:val="auto"/>
              </w:rPr>
            </w:pPr>
          </w:p>
        </w:tc>
        <w:tc>
          <w:tcPr>
            <w:tcW w:w="980" w:type="dxa"/>
            <w:vAlign w:val="bottom"/>
            <w:tcBorders>
              <w:bottom w:val="single" w:sz="8" w:color="3E3935"/>
            </w:tcBorders>
          </w:tcPr>
          <w:p>
            <w:pPr>
              <w:spacing w:after="0"/>
              <w:rPr>
                <w:sz w:val="5"/>
                <w:szCs w:val="5"/>
                <w:color w:val="auto"/>
              </w:rPr>
            </w:pPr>
          </w:p>
        </w:tc>
        <w:tc>
          <w:tcPr>
            <w:tcW w:w="0" w:type="dxa"/>
            <w:vAlign w:val="bottom"/>
          </w:tcPr>
          <w:p>
            <w:pPr>
              <w:spacing w:after="0"/>
              <w:rPr>
                <w:sz w:val="1"/>
                <w:szCs w:val="1"/>
                <w:color w:val="auto"/>
              </w:rPr>
            </w:pPr>
          </w:p>
        </w:tc>
      </w:tr>
      <w:tr>
        <w:trPr>
          <w:trHeight w:val="300"/>
        </w:trPr>
        <w:tc>
          <w:tcPr>
            <w:tcW w:w="4420" w:type="dxa"/>
            <w:vAlign w:val="bottom"/>
          </w:tcPr>
          <w:p>
            <w:pPr>
              <w:ind w:left="100"/>
              <w:spacing w:after="0"/>
              <w:rPr>
                <w:sz w:val="20"/>
                <w:szCs w:val="20"/>
                <w:color w:val="auto"/>
              </w:rPr>
            </w:pPr>
            <w:r>
              <w:rPr>
                <w:rFonts w:ascii="Arial" w:cs="Arial" w:eastAsia="Arial" w:hAnsi="Arial"/>
                <w:sz w:val="20"/>
                <w:szCs w:val="20"/>
                <w:color w:val="3E3935"/>
              </w:rPr>
              <w:t>Carol M. Stephenson</w:t>
            </w:r>
          </w:p>
        </w:tc>
        <w:tc>
          <w:tcPr>
            <w:tcW w:w="3600" w:type="dxa"/>
            <w:vAlign w:val="bottom"/>
          </w:tcPr>
          <w:p>
            <w:pPr>
              <w:jc w:val="right"/>
              <w:ind w:right="122"/>
              <w:spacing w:after="0"/>
              <w:rPr>
                <w:sz w:val="20"/>
                <w:szCs w:val="20"/>
                <w:color w:val="auto"/>
              </w:rPr>
            </w:pPr>
            <w:r>
              <w:rPr>
                <w:rFonts w:ascii="Arial" w:cs="Arial" w:eastAsia="Arial" w:hAnsi="Arial"/>
                <w:sz w:val="20"/>
                <w:szCs w:val="20"/>
                <w:color w:val="3E3935"/>
              </w:rPr>
              <w:t>33,688</w:t>
            </w:r>
          </w:p>
        </w:tc>
        <w:tc>
          <w:tcPr>
            <w:tcW w:w="1120" w:type="dxa"/>
            <w:vAlign w:val="bottom"/>
          </w:tcPr>
          <w:p>
            <w:pPr>
              <w:jc w:val="right"/>
              <w:ind w:right="61"/>
              <w:spacing w:after="0"/>
              <w:rPr>
                <w:sz w:val="20"/>
                <w:szCs w:val="20"/>
                <w:color w:val="auto"/>
              </w:rPr>
            </w:pPr>
            <w:r>
              <w:rPr>
                <w:rFonts w:ascii="Arial" w:cs="Arial" w:eastAsia="Arial" w:hAnsi="Arial"/>
                <w:sz w:val="20"/>
                <w:szCs w:val="20"/>
                <w:color w:val="3E3935"/>
              </w:rPr>
              <w:t>240</w:t>
            </w:r>
          </w:p>
        </w:tc>
        <w:tc>
          <w:tcPr>
            <w:tcW w:w="980" w:type="dxa"/>
            <w:vAlign w:val="bottom"/>
          </w:tcPr>
          <w:p>
            <w:pPr>
              <w:jc w:val="right"/>
              <w:ind w:right="101"/>
              <w:spacing w:after="0"/>
              <w:rPr>
                <w:sz w:val="20"/>
                <w:szCs w:val="20"/>
                <w:color w:val="auto"/>
              </w:rPr>
            </w:pPr>
            <w:r>
              <w:rPr>
                <w:rFonts w:ascii="Arial" w:cs="Arial" w:eastAsia="Arial" w:hAnsi="Arial"/>
                <w:sz w:val="20"/>
                <w:szCs w:val="20"/>
                <w:color w:val="3E3935"/>
              </w:rPr>
              <w:t>33,928</w:t>
            </w:r>
          </w:p>
        </w:tc>
        <w:tc>
          <w:tcPr>
            <w:tcW w:w="0" w:type="dxa"/>
            <w:vAlign w:val="bottom"/>
          </w:tcPr>
          <w:p>
            <w:pPr>
              <w:spacing w:after="0"/>
              <w:rPr>
                <w:sz w:val="1"/>
                <w:szCs w:val="1"/>
                <w:color w:val="auto"/>
              </w:rPr>
            </w:pPr>
          </w:p>
        </w:tc>
      </w:tr>
      <w:tr>
        <w:trPr>
          <w:trHeight w:val="58"/>
        </w:trPr>
        <w:tc>
          <w:tcPr>
            <w:tcW w:w="4420" w:type="dxa"/>
            <w:vAlign w:val="bottom"/>
            <w:tcBorders>
              <w:bottom w:val="single" w:sz="8" w:color="3E3935"/>
            </w:tcBorders>
          </w:tcPr>
          <w:p>
            <w:pPr>
              <w:spacing w:after="0"/>
              <w:rPr>
                <w:sz w:val="5"/>
                <w:szCs w:val="5"/>
                <w:color w:val="auto"/>
              </w:rPr>
            </w:pPr>
          </w:p>
        </w:tc>
        <w:tc>
          <w:tcPr>
            <w:tcW w:w="3600" w:type="dxa"/>
            <w:vAlign w:val="bottom"/>
            <w:tcBorders>
              <w:bottom w:val="single" w:sz="8" w:color="3E3935"/>
            </w:tcBorders>
          </w:tcPr>
          <w:p>
            <w:pPr>
              <w:spacing w:after="0"/>
              <w:rPr>
                <w:sz w:val="5"/>
                <w:szCs w:val="5"/>
                <w:color w:val="auto"/>
              </w:rPr>
            </w:pPr>
          </w:p>
        </w:tc>
        <w:tc>
          <w:tcPr>
            <w:tcW w:w="1120" w:type="dxa"/>
            <w:vAlign w:val="bottom"/>
            <w:tcBorders>
              <w:bottom w:val="single" w:sz="8" w:color="3E3935"/>
            </w:tcBorders>
          </w:tcPr>
          <w:p>
            <w:pPr>
              <w:spacing w:after="0"/>
              <w:rPr>
                <w:sz w:val="5"/>
                <w:szCs w:val="5"/>
                <w:color w:val="auto"/>
              </w:rPr>
            </w:pPr>
          </w:p>
        </w:tc>
        <w:tc>
          <w:tcPr>
            <w:tcW w:w="980" w:type="dxa"/>
            <w:vAlign w:val="bottom"/>
            <w:tcBorders>
              <w:bottom w:val="single" w:sz="8" w:color="3E3935"/>
            </w:tcBorders>
          </w:tcPr>
          <w:p>
            <w:pPr>
              <w:spacing w:after="0"/>
              <w:rPr>
                <w:sz w:val="5"/>
                <w:szCs w:val="5"/>
                <w:color w:val="auto"/>
              </w:rPr>
            </w:pPr>
          </w:p>
        </w:tc>
        <w:tc>
          <w:tcPr>
            <w:tcW w:w="0" w:type="dxa"/>
            <w:vAlign w:val="bottom"/>
          </w:tcPr>
          <w:p>
            <w:pPr>
              <w:spacing w:after="0"/>
              <w:rPr>
                <w:sz w:val="1"/>
                <w:szCs w:val="1"/>
                <w:color w:val="auto"/>
              </w:rPr>
            </w:pPr>
          </w:p>
        </w:tc>
      </w:tr>
      <w:tr>
        <w:trPr>
          <w:trHeight w:val="300"/>
        </w:trPr>
        <w:tc>
          <w:tcPr>
            <w:tcW w:w="4420" w:type="dxa"/>
            <w:vAlign w:val="bottom"/>
          </w:tcPr>
          <w:p>
            <w:pPr>
              <w:ind w:left="100"/>
              <w:spacing w:after="0"/>
              <w:rPr>
                <w:sz w:val="20"/>
                <w:szCs w:val="20"/>
                <w:color w:val="auto"/>
              </w:rPr>
            </w:pPr>
            <w:r>
              <w:rPr>
                <w:rFonts w:ascii="Arial" w:cs="Arial" w:eastAsia="Arial" w:hAnsi="Arial"/>
                <w:sz w:val="20"/>
                <w:szCs w:val="20"/>
                <w:color w:val="3E3935"/>
              </w:rPr>
              <w:t>Mark A. Tatum</w:t>
            </w:r>
          </w:p>
        </w:tc>
        <w:tc>
          <w:tcPr>
            <w:tcW w:w="3600" w:type="dxa"/>
            <w:vAlign w:val="bottom"/>
          </w:tcPr>
          <w:p>
            <w:pPr>
              <w:jc w:val="right"/>
              <w:ind w:right="122"/>
              <w:spacing w:after="0"/>
              <w:rPr>
                <w:sz w:val="20"/>
                <w:szCs w:val="20"/>
                <w:color w:val="auto"/>
              </w:rPr>
            </w:pPr>
            <w:r>
              <w:rPr>
                <w:rFonts w:ascii="Arial" w:cs="Arial" w:eastAsia="Arial" w:hAnsi="Arial"/>
                <w:sz w:val="20"/>
                <w:szCs w:val="20"/>
                <w:color w:val="3E3935"/>
              </w:rPr>
              <w:t>24,750</w:t>
            </w:r>
          </w:p>
        </w:tc>
        <w:tc>
          <w:tcPr>
            <w:tcW w:w="1120" w:type="dxa"/>
            <w:vAlign w:val="bottom"/>
          </w:tcPr>
          <w:p>
            <w:pPr>
              <w:jc w:val="right"/>
              <w:ind w:right="61"/>
              <w:spacing w:after="0"/>
              <w:rPr>
                <w:sz w:val="20"/>
                <w:szCs w:val="20"/>
                <w:color w:val="auto"/>
              </w:rPr>
            </w:pPr>
            <w:r>
              <w:rPr>
                <w:rFonts w:ascii="Arial" w:cs="Arial" w:eastAsia="Arial" w:hAnsi="Arial"/>
                <w:sz w:val="20"/>
                <w:szCs w:val="20"/>
                <w:color w:val="3E3935"/>
              </w:rPr>
              <w:t>240</w:t>
            </w:r>
          </w:p>
        </w:tc>
        <w:tc>
          <w:tcPr>
            <w:tcW w:w="980" w:type="dxa"/>
            <w:vAlign w:val="bottom"/>
          </w:tcPr>
          <w:p>
            <w:pPr>
              <w:jc w:val="right"/>
              <w:ind w:right="101"/>
              <w:spacing w:after="0"/>
              <w:rPr>
                <w:sz w:val="20"/>
                <w:szCs w:val="20"/>
                <w:color w:val="auto"/>
              </w:rPr>
            </w:pPr>
            <w:r>
              <w:rPr>
                <w:rFonts w:ascii="Arial" w:cs="Arial" w:eastAsia="Arial" w:hAnsi="Arial"/>
                <w:sz w:val="20"/>
                <w:szCs w:val="20"/>
                <w:color w:val="3E3935"/>
              </w:rPr>
              <w:t>24,990</w:t>
            </w:r>
          </w:p>
        </w:tc>
        <w:tc>
          <w:tcPr>
            <w:tcW w:w="0" w:type="dxa"/>
            <w:vAlign w:val="bottom"/>
          </w:tcPr>
          <w:p>
            <w:pPr>
              <w:spacing w:after="0"/>
              <w:rPr>
                <w:sz w:val="1"/>
                <w:szCs w:val="1"/>
                <w:color w:val="auto"/>
              </w:rPr>
            </w:pPr>
          </w:p>
        </w:tc>
      </w:tr>
      <w:tr>
        <w:trPr>
          <w:trHeight w:val="58"/>
        </w:trPr>
        <w:tc>
          <w:tcPr>
            <w:tcW w:w="4420" w:type="dxa"/>
            <w:vAlign w:val="bottom"/>
            <w:tcBorders>
              <w:bottom w:val="single" w:sz="8" w:color="3E3935"/>
            </w:tcBorders>
          </w:tcPr>
          <w:p>
            <w:pPr>
              <w:spacing w:after="0"/>
              <w:rPr>
                <w:sz w:val="5"/>
                <w:szCs w:val="5"/>
                <w:color w:val="auto"/>
              </w:rPr>
            </w:pPr>
          </w:p>
        </w:tc>
        <w:tc>
          <w:tcPr>
            <w:tcW w:w="3600" w:type="dxa"/>
            <w:vAlign w:val="bottom"/>
            <w:tcBorders>
              <w:bottom w:val="single" w:sz="8" w:color="3E3935"/>
            </w:tcBorders>
          </w:tcPr>
          <w:p>
            <w:pPr>
              <w:spacing w:after="0"/>
              <w:rPr>
                <w:sz w:val="5"/>
                <w:szCs w:val="5"/>
                <w:color w:val="auto"/>
              </w:rPr>
            </w:pPr>
          </w:p>
        </w:tc>
        <w:tc>
          <w:tcPr>
            <w:tcW w:w="1120" w:type="dxa"/>
            <w:vAlign w:val="bottom"/>
            <w:tcBorders>
              <w:bottom w:val="single" w:sz="8" w:color="3E3935"/>
            </w:tcBorders>
          </w:tcPr>
          <w:p>
            <w:pPr>
              <w:spacing w:after="0"/>
              <w:rPr>
                <w:sz w:val="5"/>
                <w:szCs w:val="5"/>
                <w:color w:val="auto"/>
              </w:rPr>
            </w:pPr>
          </w:p>
        </w:tc>
        <w:tc>
          <w:tcPr>
            <w:tcW w:w="980" w:type="dxa"/>
            <w:vAlign w:val="bottom"/>
            <w:tcBorders>
              <w:bottom w:val="single" w:sz="8" w:color="3E3935"/>
            </w:tcBorders>
          </w:tcPr>
          <w:p>
            <w:pPr>
              <w:spacing w:after="0"/>
              <w:rPr>
                <w:sz w:val="5"/>
                <w:szCs w:val="5"/>
                <w:color w:val="auto"/>
              </w:rPr>
            </w:pPr>
          </w:p>
        </w:tc>
        <w:tc>
          <w:tcPr>
            <w:tcW w:w="0" w:type="dxa"/>
            <w:vAlign w:val="bottom"/>
          </w:tcPr>
          <w:p>
            <w:pPr>
              <w:spacing w:after="0"/>
              <w:rPr>
                <w:sz w:val="1"/>
                <w:szCs w:val="1"/>
                <w:color w:val="auto"/>
              </w:rPr>
            </w:pPr>
          </w:p>
        </w:tc>
      </w:tr>
      <w:tr>
        <w:trPr>
          <w:trHeight w:val="301"/>
        </w:trPr>
        <w:tc>
          <w:tcPr>
            <w:tcW w:w="4420" w:type="dxa"/>
            <w:vAlign w:val="bottom"/>
          </w:tcPr>
          <w:p>
            <w:pPr>
              <w:ind w:left="100"/>
              <w:spacing w:after="0"/>
              <w:rPr>
                <w:sz w:val="20"/>
                <w:szCs w:val="20"/>
                <w:color w:val="auto"/>
              </w:rPr>
            </w:pPr>
            <w:r>
              <w:rPr>
                <w:rFonts w:ascii="Arial" w:cs="Arial" w:eastAsia="Arial" w:hAnsi="Arial"/>
                <w:sz w:val="20"/>
                <w:szCs w:val="20"/>
                <w:color w:val="3E3935"/>
              </w:rPr>
              <w:t>Devin N. Wenig</w:t>
            </w:r>
          </w:p>
        </w:tc>
        <w:tc>
          <w:tcPr>
            <w:tcW w:w="3600" w:type="dxa"/>
            <w:vAlign w:val="bottom"/>
          </w:tcPr>
          <w:p>
            <w:pPr>
              <w:jc w:val="right"/>
              <w:ind w:right="122"/>
              <w:spacing w:after="0"/>
              <w:rPr>
                <w:sz w:val="20"/>
                <w:szCs w:val="20"/>
                <w:color w:val="auto"/>
              </w:rPr>
            </w:pPr>
            <w:r>
              <w:rPr>
                <w:rFonts w:ascii="Arial" w:cs="Arial" w:eastAsia="Arial" w:hAnsi="Arial"/>
                <w:sz w:val="20"/>
                <w:szCs w:val="20"/>
                <w:color w:val="3E3935"/>
              </w:rPr>
              <w:t>28,023</w:t>
            </w:r>
          </w:p>
        </w:tc>
        <w:tc>
          <w:tcPr>
            <w:tcW w:w="1120" w:type="dxa"/>
            <w:vAlign w:val="bottom"/>
          </w:tcPr>
          <w:p>
            <w:pPr>
              <w:jc w:val="right"/>
              <w:ind w:right="61"/>
              <w:spacing w:after="0"/>
              <w:rPr>
                <w:sz w:val="20"/>
                <w:szCs w:val="20"/>
                <w:color w:val="auto"/>
              </w:rPr>
            </w:pPr>
            <w:r>
              <w:rPr>
                <w:rFonts w:ascii="Arial" w:cs="Arial" w:eastAsia="Arial" w:hAnsi="Arial"/>
                <w:sz w:val="20"/>
                <w:szCs w:val="20"/>
                <w:color w:val="3E3935"/>
              </w:rPr>
              <w:t>240</w:t>
            </w:r>
          </w:p>
        </w:tc>
        <w:tc>
          <w:tcPr>
            <w:tcW w:w="980" w:type="dxa"/>
            <w:vAlign w:val="bottom"/>
          </w:tcPr>
          <w:p>
            <w:pPr>
              <w:jc w:val="right"/>
              <w:ind w:right="101"/>
              <w:spacing w:after="0"/>
              <w:rPr>
                <w:sz w:val="20"/>
                <w:szCs w:val="20"/>
                <w:color w:val="auto"/>
              </w:rPr>
            </w:pPr>
            <w:r>
              <w:rPr>
                <w:rFonts w:ascii="Arial" w:cs="Arial" w:eastAsia="Arial" w:hAnsi="Arial"/>
                <w:sz w:val="20"/>
                <w:szCs w:val="20"/>
                <w:color w:val="3E3935"/>
              </w:rPr>
              <w:t>28,263</w:t>
            </w:r>
          </w:p>
        </w:tc>
        <w:tc>
          <w:tcPr>
            <w:tcW w:w="0" w:type="dxa"/>
            <w:vAlign w:val="bottom"/>
          </w:tcPr>
          <w:p>
            <w:pPr>
              <w:spacing w:after="0"/>
              <w:rPr>
                <w:sz w:val="1"/>
                <w:szCs w:val="1"/>
                <w:color w:val="auto"/>
              </w:rPr>
            </w:pPr>
          </w:p>
        </w:tc>
      </w:tr>
      <w:tr>
        <w:trPr>
          <w:trHeight w:val="57"/>
        </w:trPr>
        <w:tc>
          <w:tcPr>
            <w:tcW w:w="4420" w:type="dxa"/>
            <w:vAlign w:val="bottom"/>
            <w:tcBorders>
              <w:bottom w:val="single" w:sz="8" w:color="3E3935"/>
            </w:tcBorders>
          </w:tcPr>
          <w:p>
            <w:pPr>
              <w:spacing w:after="0"/>
              <w:rPr>
                <w:sz w:val="5"/>
                <w:szCs w:val="5"/>
                <w:color w:val="auto"/>
              </w:rPr>
            </w:pPr>
          </w:p>
        </w:tc>
        <w:tc>
          <w:tcPr>
            <w:tcW w:w="3600" w:type="dxa"/>
            <w:vAlign w:val="bottom"/>
            <w:tcBorders>
              <w:bottom w:val="single" w:sz="8" w:color="3E3935"/>
            </w:tcBorders>
          </w:tcPr>
          <w:p>
            <w:pPr>
              <w:spacing w:after="0"/>
              <w:rPr>
                <w:sz w:val="5"/>
                <w:szCs w:val="5"/>
                <w:color w:val="auto"/>
              </w:rPr>
            </w:pPr>
          </w:p>
        </w:tc>
        <w:tc>
          <w:tcPr>
            <w:tcW w:w="1120" w:type="dxa"/>
            <w:vAlign w:val="bottom"/>
            <w:tcBorders>
              <w:bottom w:val="single" w:sz="8" w:color="3E3935"/>
            </w:tcBorders>
          </w:tcPr>
          <w:p>
            <w:pPr>
              <w:spacing w:after="0"/>
              <w:rPr>
                <w:sz w:val="5"/>
                <w:szCs w:val="5"/>
                <w:color w:val="auto"/>
              </w:rPr>
            </w:pPr>
          </w:p>
        </w:tc>
        <w:tc>
          <w:tcPr>
            <w:tcW w:w="980" w:type="dxa"/>
            <w:vAlign w:val="bottom"/>
            <w:tcBorders>
              <w:bottom w:val="single" w:sz="8" w:color="3E3935"/>
            </w:tcBorders>
          </w:tcPr>
          <w:p>
            <w:pPr>
              <w:spacing w:after="0"/>
              <w:rPr>
                <w:sz w:val="5"/>
                <w:szCs w:val="5"/>
                <w:color w:val="auto"/>
              </w:rPr>
            </w:pPr>
          </w:p>
        </w:tc>
        <w:tc>
          <w:tcPr>
            <w:tcW w:w="0" w:type="dxa"/>
            <w:vAlign w:val="bottom"/>
          </w:tcPr>
          <w:p>
            <w:pPr>
              <w:spacing w:after="0"/>
              <w:rPr>
                <w:sz w:val="1"/>
                <w:szCs w:val="1"/>
                <w:color w:val="auto"/>
              </w:rPr>
            </w:pPr>
          </w:p>
        </w:tc>
      </w:tr>
      <w:tr>
        <w:trPr>
          <w:trHeight w:val="301"/>
        </w:trPr>
        <w:tc>
          <w:tcPr>
            <w:tcW w:w="4420" w:type="dxa"/>
            <w:vAlign w:val="bottom"/>
          </w:tcPr>
          <w:p>
            <w:pPr>
              <w:ind w:left="100"/>
              <w:spacing w:after="0"/>
              <w:rPr>
                <w:sz w:val="20"/>
                <w:szCs w:val="20"/>
                <w:color w:val="auto"/>
              </w:rPr>
            </w:pPr>
            <w:r>
              <w:rPr>
                <w:rFonts w:ascii="Arial" w:cs="Arial" w:eastAsia="Arial" w:hAnsi="Arial"/>
                <w:sz w:val="20"/>
                <w:szCs w:val="20"/>
                <w:color w:val="3E3935"/>
              </w:rPr>
              <w:t>Margaret C. Whitman</w:t>
            </w:r>
          </w:p>
        </w:tc>
        <w:tc>
          <w:tcPr>
            <w:tcW w:w="3600" w:type="dxa"/>
            <w:vAlign w:val="bottom"/>
          </w:tcPr>
          <w:p>
            <w:pPr>
              <w:jc w:val="right"/>
              <w:ind w:right="122"/>
              <w:spacing w:after="0"/>
              <w:rPr>
                <w:sz w:val="20"/>
                <w:szCs w:val="20"/>
                <w:color w:val="auto"/>
              </w:rPr>
            </w:pPr>
            <w:r>
              <w:rPr>
                <w:rFonts w:ascii="Arial" w:cs="Arial" w:eastAsia="Arial" w:hAnsi="Arial"/>
                <w:sz w:val="20"/>
                <w:szCs w:val="20"/>
                <w:color w:val="3E3935"/>
              </w:rPr>
              <w:t>2,292</w:t>
            </w:r>
          </w:p>
        </w:tc>
        <w:tc>
          <w:tcPr>
            <w:tcW w:w="1120" w:type="dxa"/>
            <w:vAlign w:val="bottom"/>
          </w:tcPr>
          <w:p>
            <w:pPr>
              <w:jc w:val="right"/>
              <w:ind w:right="61"/>
              <w:spacing w:after="0"/>
              <w:rPr>
                <w:sz w:val="20"/>
                <w:szCs w:val="20"/>
                <w:color w:val="auto"/>
              </w:rPr>
            </w:pPr>
            <w:r>
              <w:rPr>
                <w:rFonts w:ascii="Arial" w:cs="Arial" w:eastAsia="Arial" w:hAnsi="Arial"/>
                <w:sz w:val="20"/>
                <w:szCs w:val="20"/>
                <w:color w:val="3E3935"/>
              </w:rPr>
              <w:t>140</w:t>
            </w:r>
          </w:p>
        </w:tc>
        <w:tc>
          <w:tcPr>
            <w:tcW w:w="980" w:type="dxa"/>
            <w:vAlign w:val="bottom"/>
          </w:tcPr>
          <w:p>
            <w:pPr>
              <w:jc w:val="right"/>
              <w:ind w:right="101"/>
              <w:spacing w:after="0"/>
              <w:rPr>
                <w:sz w:val="20"/>
                <w:szCs w:val="20"/>
                <w:color w:val="auto"/>
              </w:rPr>
            </w:pPr>
            <w:r>
              <w:rPr>
                <w:rFonts w:ascii="Arial" w:cs="Arial" w:eastAsia="Arial" w:hAnsi="Arial"/>
                <w:sz w:val="20"/>
                <w:szCs w:val="20"/>
                <w:color w:val="3E3935"/>
              </w:rPr>
              <w:t>2,432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wp:posOffset>
            </wp:positionH>
            <wp:positionV relativeFrom="paragraph">
              <wp:posOffset>36195</wp:posOffset>
            </wp:positionV>
            <wp:extent cx="6429375"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429375" cy="8890"/>
                    </a:xfrm>
                    <a:prstGeom prst="rect">
                      <a:avLst/>
                    </a:prstGeom>
                    <a:noFill/>
                  </pic:spPr>
                </pic:pic>
              </a:graphicData>
            </a:graphic>
          </wp:anchor>
        </w:drawing>
      </w:r>
    </w:p>
    <w:p>
      <w:pPr>
        <w:spacing w:after="0" w:line="115" w:lineRule="exact"/>
        <w:rPr>
          <w:sz w:val="20"/>
          <w:szCs w:val="20"/>
          <w:color w:val="auto"/>
        </w:rPr>
      </w:pPr>
    </w:p>
    <w:p>
      <w:pPr>
        <w:ind w:left="1080" w:right="460" w:hanging="532"/>
        <w:spacing w:after="0" w:line="243" w:lineRule="auto"/>
        <w:tabs>
          <w:tab w:leader="none" w:pos="1080" w:val="left"/>
        </w:tabs>
        <w:numPr>
          <w:ilvl w:val="1"/>
          <w:numId w:val="32"/>
        </w:numPr>
        <w:rPr>
          <w:rFonts w:ascii="Arial" w:cs="Arial" w:eastAsia="Arial" w:hAnsi="Arial"/>
          <w:sz w:val="18"/>
          <w:szCs w:val="18"/>
          <w:i w:val="1"/>
          <w:iCs w:val="1"/>
          <w:color w:val="3E3935"/>
        </w:rPr>
      </w:pPr>
      <w:r>
        <w:rPr>
          <w:rFonts w:ascii="Arial" w:cs="Arial" w:eastAsia="Arial" w:hAnsi="Arial"/>
          <w:sz w:val="18"/>
          <w:szCs w:val="18"/>
          <w:i w:val="1"/>
          <w:iCs w:val="1"/>
          <w:color w:val="3E3935"/>
        </w:rPr>
        <w:t>The Company vehicle program includes the estimated annual lease value of the Company vehicles driven by directors. We include the annual lease value because it is more reflective of the value of the Company vehicle perquisite than the Company’s incremental costs, which are generally significantly lower because the Company manufactures and ordinarily disposes of Company vehicles for a profit, resulting in minimal incremental costs, if any. Taxes related to imputed income are the responsibility of the director.</w:t>
      </w:r>
    </w:p>
    <w:p>
      <w:pPr>
        <w:spacing w:after="0" w:line="45" w:lineRule="exact"/>
        <w:rPr>
          <w:rFonts w:ascii="Arial" w:cs="Arial" w:eastAsia="Arial" w:hAnsi="Arial"/>
          <w:sz w:val="18"/>
          <w:szCs w:val="18"/>
          <w:i w:val="1"/>
          <w:iCs w:val="1"/>
          <w:color w:val="3E3935"/>
        </w:rPr>
      </w:pPr>
    </w:p>
    <w:p>
      <w:pPr>
        <w:ind w:left="1080" w:right="840" w:hanging="532"/>
        <w:spacing w:after="0" w:line="269" w:lineRule="auto"/>
        <w:tabs>
          <w:tab w:leader="none" w:pos="1080" w:val="left"/>
        </w:tabs>
        <w:numPr>
          <w:ilvl w:val="1"/>
          <w:numId w:val="32"/>
        </w:numPr>
        <w:rPr>
          <w:rFonts w:ascii="Arial" w:cs="Arial" w:eastAsia="Arial" w:hAnsi="Arial"/>
          <w:sz w:val="18"/>
          <w:szCs w:val="18"/>
          <w:i w:val="1"/>
          <w:iCs w:val="1"/>
          <w:color w:val="3E3935"/>
        </w:rPr>
      </w:pPr>
      <w:r>
        <w:rPr>
          <w:rFonts w:ascii="Arial" w:cs="Arial" w:eastAsia="Arial" w:hAnsi="Arial"/>
          <w:sz w:val="18"/>
          <w:szCs w:val="18"/>
          <w:i w:val="1"/>
          <w:iCs w:val="1"/>
          <w:color w:val="3E3935"/>
        </w:rPr>
        <w:t>Reflects the cost of premiums for providing personal accident insurance (annual premium cost of $240 per person is prorated, as applicable, for the period of service).</w:t>
      </w:r>
    </w:p>
    <w:p>
      <w:pPr>
        <w:spacing w:after="0" w:line="62" w:lineRule="exact"/>
        <w:rPr>
          <w:rFonts w:ascii="Arial" w:cs="Arial" w:eastAsia="Arial" w:hAnsi="Arial"/>
          <w:sz w:val="18"/>
          <w:szCs w:val="18"/>
          <w:i w:val="1"/>
          <w:iCs w:val="1"/>
          <w:color w:val="3E3935"/>
        </w:rPr>
      </w:pPr>
    </w:p>
    <w:p>
      <w:pPr>
        <w:ind w:left="540" w:hanging="424"/>
        <w:spacing w:after="0"/>
        <w:tabs>
          <w:tab w:leader="none" w:pos="540" w:val="left"/>
        </w:tabs>
        <w:numPr>
          <w:ilvl w:val="0"/>
          <w:numId w:val="33"/>
        </w:numPr>
        <w:rPr>
          <w:rFonts w:ascii="Arial" w:cs="Arial" w:eastAsia="Arial" w:hAnsi="Arial"/>
          <w:sz w:val="18"/>
          <w:szCs w:val="18"/>
          <w:i w:val="1"/>
          <w:iCs w:val="1"/>
          <w:color w:val="3E3935"/>
        </w:rPr>
      </w:pPr>
      <w:r>
        <w:rPr>
          <w:rFonts w:ascii="Arial" w:cs="Arial" w:eastAsia="Arial" w:hAnsi="Arial"/>
          <w:sz w:val="18"/>
          <w:szCs w:val="18"/>
          <w:i w:val="1"/>
          <w:iCs w:val="1"/>
          <w:color w:val="3E3935"/>
        </w:rPr>
        <w:t>Mr. Bush was appointed Chair of the Compensation Committee on June 13, 2022.</w:t>
      </w:r>
    </w:p>
    <w:p>
      <w:pPr>
        <w:spacing w:after="0" w:line="117" w:lineRule="exact"/>
        <w:rPr>
          <w:rFonts w:ascii="Arial" w:cs="Arial" w:eastAsia="Arial" w:hAnsi="Arial"/>
          <w:sz w:val="18"/>
          <w:szCs w:val="18"/>
          <w:i w:val="1"/>
          <w:iCs w:val="1"/>
          <w:color w:val="3E3935"/>
        </w:rPr>
      </w:pPr>
    </w:p>
    <w:p>
      <w:pPr>
        <w:ind w:left="540" w:hanging="424"/>
        <w:spacing w:after="0"/>
        <w:tabs>
          <w:tab w:leader="none" w:pos="540" w:val="left"/>
        </w:tabs>
        <w:numPr>
          <w:ilvl w:val="0"/>
          <w:numId w:val="33"/>
        </w:numPr>
        <w:rPr>
          <w:rFonts w:ascii="Arial" w:cs="Arial" w:eastAsia="Arial" w:hAnsi="Arial"/>
          <w:sz w:val="18"/>
          <w:szCs w:val="18"/>
          <w:i w:val="1"/>
          <w:iCs w:val="1"/>
          <w:color w:val="3E3935"/>
        </w:rPr>
      </w:pPr>
      <w:r>
        <w:rPr>
          <w:rFonts w:ascii="Arial" w:cs="Arial" w:eastAsia="Arial" w:hAnsi="Arial"/>
          <w:sz w:val="18"/>
          <w:szCs w:val="18"/>
          <w:i w:val="1"/>
          <w:iCs w:val="1"/>
          <w:color w:val="3E3935"/>
        </w:rPr>
        <w:t>Ms. Crevoiserat joined the Board on August 15, 2022.</w:t>
      </w:r>
    </w:p>
    <w:p>
      <w:pPr>
        <w:spacing w:after="0" w:line="117" w:lineRule="exact"/>
        <w:rPr>
          <w:rFonts w:ascii="Arial" w:cs="Arial" w:eastAsia="Arial" w:hAnsi="Arial"/>
          <w:sz w:val="18"/>
          <w:szCs w:val="18"/>
          <w:i w:val="1"/>
          <w:iCs w:val="1"/>
          <w:color w:val="3E3935"/>
        </w:rPr>
      </w:pPr>
    </w:p>
    <w:p>
      <w:pPr>
        <w:ind w:left="540" w:hanging="424"/>
        <w:spacing w:after="0"/>
        <w:tabs>
          <w:tab w:leader="none" w:pos="540" w:val="left"/>
        </w:tabs>
        <w:numPr>
          <w:ilvl w:val="0"/>
          <w:numId w:val="33"/>
        </w:numPr>
        <w:rPr>
          <w:rFonts w:ascii="Arial" w:cs="Arial" w:eastAsia="Arial" w:hAnsi="Arial"/>
          <w:sz w:val="18"/>
          <w:szCs w:val="18"/>
          <w:i w:val="1"/>
          <w:iCs w:val="1"/>
          <w:color w:val="3E3935"/>
        </w:rPr>
      </w:pPr>
      <w:r>
        <w:rPr>
          <w:rFonts w:ascii="Arial" w:cs="Arial" w:eastAsia="Arial" w:hAnsi="Arial"/>
          <w:sz w:val="18"/>
          <w:szCs w:val="18"/>
          <w:i w:val="1"/>
          <w:iCs w:val="1"/>
          <w:color w:val="3E3935"/>
        </w:rPr>
        <w:t>Mr. McNeill joined the Board on September 30, 2022.</w:t>
      </w:r>
    </w:p>
    <w:p>
      <w:pPr>
        <w:spacing w:after="0" w:line="117" w:lineRule="exact"/>
        <w:rPr>
          <w:rFonts w:ascii="Arial" w:cs="Arial" w:eastAsia="Arial" w:hAnsi="Arial"/>
          <w:sz w:val="18"/>
          <w:szCs w:val="18"/>
          <w:i w:val="1"/>
          <w:iCs w:val="1"/>
          <w:color w:val="3E3935"/>
        </w:rPr>
      </w:pPr>
    </w:p>
    <w:p>
      <w:pPr>
        <w:ind w:left="540" w:hanging="424"/>
        <w:spacing w:after="0"/>
        <w:tabs>
          <w:tab w:leader="none" w:pos="540" w:val="left"/>
        </w:tabs>
        <w:numPr>
          <w:ilvl w:val="0"/>
          <w:numId w:val="33"/>
        </w:numPr>
        <w:rPr>
          <w:rFonts w:ascii="Arial" w:cs="Arial" w:eastAsia="Arial" w:hAnsi="Arial"/>
          <w:sz w:val="18"/>
          <w:szCs w:val="18"/>
          <w:i w:val="1"/>
          <w:iCs w:val="1"/>
          <w:color w:val="3E3935"/>
        </w:rPr>
      </w:pPr>
      <w:r>
        <w:rPr>
          <w:rFonts w:ascii="Arial" w:cs="Arial" w:eastAsia="Arial" w:hAnsi="Arial"/>
          <w:sz w:val="18"/>
          <w:szCs w:val="18"/>
          <w:i w:val="1"/>
          <w:iCs w:val="1"/>
          <w:color w:val="3E3935"/>
        </w:rPr>
        <w:t>Ms. Mendillo retired from the Board on June 13, 2022.</w:t>
      </w:r>
    </w:p>
    <w:p>
      <w:pPr>
        <w:spacing w:after="0" w:line="117" w:lineRule="exact"/>
        <w:rPr>
          <w:rFonts w:ascii="Arial" w:cs="Arial" w:eastAsia="Arial" w:hAnsi="Arial"/>
          <w:sz w:val="18"/>
          <w:szCs w:val="18"/>
          <w:i w:val="1"/>
          <w:iCs w:val="1"/>
          <w:color w:val="3E3935"/>
        </w:rPr>
      </w:pPr>
    </w:p>
    <w:p>
      <w:pPr>
        <w:ind w:left="540" w:hanging="424"/>
        <w:spacing w:after="0"/>
        <w:tabs>
          <w:tab w:leader="none" w:pos="540" w:val="left"/>
        </w:tabs>
        <w:numPr>
          <w:ilvl w:val="0"/>
          <w:numId w:val="33"/>
        </w:numPr>
        <w:rPr>
          <w:rFonts w:ascii="Arial" w:cs="Arial" w:eastAsia="Arial" w:hAnsi="Arial"/>
          <w:sz w:val="18"/>
          <w:szCs w:val="18"/>
          <w:i w:val="1"/>
          <w:iCs w:val="1"/>
          <w:color w:val="3E3935"/>
        </w:rPr>
      </w:pPr>
      <w:r>
        <w:rPr>
          <w:rFonts w:ascii="Arial" w:cs="Arial" w:eastAsia="Arial" w:hAnsi="Arial"/>
          <w:sz w:val="18"/>
          <w:szCs w:val="18"/>
          <w:i w:val="1"/>
          <w:iCs w:val="1"/>
          <w:color w:val="3E3935"/>
        </w:rPr>
        <w:t>Ms. Whitman retired from the Board on July 15, 2022.</w:t>
      </w:r>
    </w:p>
    <w:p>
      <w:pPr>
        <w:spacing w:after="0" w:line="152" w:lineRule="exact"/>
        <w:rPr>
          <w:sz w:val="20"/>
          <w:szCs w:val="20"/>
          <w:color w:val="auto"/>
        </w:rPr>
      </w:pPr>
    </w:p>
    <w:p>
      <w:pPr>
        <w:ind w:left="120"/>
        <w:spacing w:after="0"/>
        <w:rPr>
          <w:sz w:val="20"/>
          <w:szCs w:val="20"/>
          <w:color w:val="auto"/>
        </w:rPr>
      </w:pPr>
      <w:r>
        <w:rPr>
          <w:rFonts w:ascii="Arial" w:cs="Arial" w:eastAsia="Arial" w:hAnsi="Arial"/>
          <w:sz w:val="14"/>
          <w:szCs w:val="14"/>
          <w:color w:val="0071CE"/>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wp:posOffset>
            </wp:positionH>
            <wp:positionV relativeFrom="paragraph">
              <wp:posOffset>-95885</wp:posOffset>
            </wp:positionV>
            <wp:extent cx="5983605" cy="10287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5983605" cy="102870"/>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right"/>
        <w:ind w:right="2519"/>
        <w:spacing w:after="0"/>
        <w:rPr>
          <w:sz w:val="20"/>
          <w:szCs w:val="20"/>
          <w:color w:val="auto"/>
        </w:rPr>
      </w:pPr>
      <w:r>
        <w:rPr>
          <w:rFonts w:ascii="Arial" w:cs="Arial" w:eastAsia="Arial" w:hAnsi="Arial"/>
          <w:sz w:val="20"/>
          <w:szCs w:val="20"/>
          <w:color w:val="3E3935"/>
        </w:rPr>
        <w:t>[THIS PAGE INTENTIONALLY LEFT BLANK]</w:t>
      </w:r>
    </w:p>
    <w:p>
      <w:pPr>
        <w:sectPr>
          <w:pgSz w:w="11900" w:h="16838" w:orient="portrait"/>
          <w:cols w:equalWidth="0" w:num="1">
            <w:col w:w="10139"/>
          </w:cols>
          <w:pgMar w:left="320" w:top="482" w:right="1440"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98" w:lineRule="exact"/>
        <w:rPr>
          <w:sz w:val="20"/>
          <w:szCs w:val="20"/>
          <w:color w:val="auto"/>
        </w:rPr>
      </w:pPr>
    </w:p>
    <w:p>
      <w:pPr>
        <w:ind w:left="120"/>
        <w:spacing w:after="0"/>
        <w:rPr>
          <w:sz w:val="20"/>
          <w:szCs w:val="20"/>
          <w:color w:val="auto"/>
        </w:rPr>
      </w:pPr>
      <w:r>
        <w:rPr>
          <w:rFonts w:ascii="Arial" w:cs="Arial" w:eastAsia="Arial" w:hAnsi="Arial"/>
          <w:sz w:val="32"/>
          <w:szCs w:val="32"/>
          <w:b w:val="1"/>
          <w:bCs w:val="1"/>
          <w:color w:val="0071CE"/>
        </w:rPr>
        <w:t>CORPORATE GOVERNANCE</w:t>
      </w:r>
    </w:p>
    <w:p>
      <w:pPr>
        <w:spacing w:after="0" w:line="157" w:lineRule="exact"/>
        <w:rPr>
          <w:sz w:val="20"/>
          <w:szCs w:val="20"/>
          <w:color w:val="auto"/>
        </w:rPr>
      </w:pPr>
    </w:p>
    <w:p>
      <w:pPr>
        <w:ind w:left="120"/>
        <w:spacing w:after="0"/>
        <w:rPr>
          <w:sz w:val="20"/>
          <w:szCs w:val="20"/>
          <w:color w:val="auto"/>
        </w:rPr>
      </w:pPr>
      <w:r>
        <w:rPr>
          <w:rFonts w:ascii="Arial" w:cs="Arial" w:eastAsia="Arial" w:hAnsi="Arial"/>
          <w:sz w:val="29"/>
          <w:szCs w:val="29"/>
          <w:color w:val="3E3935"/>
        </w:rPr>
        <w:t>The Board of Directors</w:t>
      </w:r>
    </w:p>
    <w:p>
      <w:pPr>
        <w:spacing w:after="0" w:line="217" w:lineRule="exact"/>
        <w:rPr>
          <w:sz w:val="20"/>
          <w:szCs w:val="20"/>
          <w:color w:val="auto"/>
        </w:rPr>
      </w:pPr>
    </w:p>
    <w:p>
      <w:pPr>
        <w:jc w:val="both"/>
        <w:ind w:left="120"/>
        <w:spacing w:after="0" w:line="242" w:lineRule="auto"/>
        <w:rPr>
          <w:sz w:val="20"/>
          <w:szCs w:val="20"/>
          <w:color w:val="auto"/>
        </w:rPr>
      </w:pPr>
      <w:r>
        <w:rPr>
          <w:rFonts w:ascii="Arial" w:cs="Arial" w:eastAsia="Arial" w:hAnsi="Arial"/>
          <w:sz w:val="19"/>
          <w:szCs w:val="19"/>
          <w:color w:val="3E3935"/>
        </w:rPr>
        <w:t>GM is governed by a Board of Directors and committees of the Board that meet throughout the year to ensure that the CEO and other senior management are operating the Company in a competent and ethical manner. The Board is elected by our shareholders to oversee and provide guidance on the Company’s business and affairs. It is the ultimate decision-making body of the Company, except for those matters reserved for shareholders by law or pursuant to the Company’s corporate governance documents. Among other things, the Board oversees the Company’s strategy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both"/>
        <w:ind w:right="20"/>
        <w:spacing w:after="0" w:line="242" w:lineRule="auto"/>
        <w:rPr>
          <w:sz w:val="20"/>
          <w:szCs w:val="20"/>
          <w:color w:val="auto"/>
        </w:rPr>
      </w:pPr>
      <w:r>
        <w:rPr>
          <w:rFonts w:ascii="Arial" w:cs="Arial" w:eastAsia="Arial" w:hAnsi="Arial"/>
          <w:sz w:val="19"/>
          <w:szCs w:val="19"/>
          <w:color w:val="3E3935"/>
        </w:rPr>
        <w:t>and execution of the strategic plan. In addition, it oversees management’s proper safeguarding of the assets of the Company, maintenance of appropriate financial and other internal controls, compliance with applicable laws and regulations, and proper governance. The Board is committed to sound corporate governance policies and practices that are designed and routinely assessed to enable the Company to operate its business responsibly, with integrity, and to position GM to compete more effectively, sustain its success, and build long-term shareholder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-3651885</wp:posOffset>
            </wp:positionH>
            <wp:positionV relativeFrom="paragraph">
              <wp:posOffset>-2618740</wp:posOffset>
            </wp:positionV>
            <wp:extent cx="7174865" cy="552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400" w:space="340"/>
            <w:col w:w="5400"/>
          </w:cols>
          <w:pgMar w:left="320" w:top="482" w:right="439" w:bottom="1440" w:gutter="0" w:footer="0" w:header="0"/>
        </w:sectPr>
      </w:pPr>
    </w:p>
    <w:p>
      <w:pPr>
        <w:spacing w:after="0" w:line="242" w:lineRule="exact"/>
        <w:rPr>
          <w:sz w:val="20"/>
          <w:szCs w:val="20"/>
          <w:color w:val="auto"/>
        </w:rPr>
      </w:pPr>
    </w:p>
    <w:p>
      <w:pPr>
        <w:ind w:left="660" w:hanging="544"/>
        <w:spacing w:after="0"/>
        <w:tabs>
          <w:tab w:leader="none" w:pos="660" w:val="left"/>
        </w:tabs>
        <w:numPr>
          <w:ilvl w:val="0"/>
          <w:numId w:val="34"/>
        </w:numPr>
        <w:rPr>
          <w:rFonts w:ascii="Times New Roman" w:cs="Times New Roman" w:eastAsia="Times New Roman" w:hAnsi="Times New Roman"/>
          <w:sz w:val="19"/>
          <w:szCs w:val="19"/>
          <w:color w:val="0071CE"/>
        </w:rPr>
      </w:pPr>
      <w:r>
        <w:rPr>
          <w:rFonts w:ascii="Arial" w:cs="Arial" w:eastAsia="Arial" w:hAnsi="Arial"/>
          <w:sz w:val="25"/>
          <w:szCs w:val="25"/>
          <w:color w:val="3E3935"/>
        </w:rPr>
        <w:t>Board Size</w:t>
      </w:r>
    </w:p>
    <w:p>
      <w:pPr>
        <w:spacing w:after="0" w:line="213" w:lineRule="exact"/>
        <w:rPr>
          <w:sz w:val="20"/>
          <w:szCs w:val="20"/>
          <w:color w:val="auto"/>
        </w:rPr>
      </w:pPr>
    </w:p>
    <w:p>
      <w:pPr>
        <w:jc w:val="both"/>
        <w:ind w:left="120"/>
        <w:spacing w:after="0" w:line="231" w:lineRule="auto"/>
        <w:rPr>
          <w:sz w:val="20"/>
          <w:szCs w:val="20"/>
          <w:color w:val="auto"/>
        </w:rPr>
      </w:pPr>
      <w:r>
        <w:rPr>
          <w:rFonts w:ascii="Arial" w:cs="Arial" w:eastAsia="Arial" w:hAnsi="Arial"/>
          <w:sz w:val="20"/>
          <w:szCs w:val="20"/>
          <w:color w:val="3E3935"/>
        </w:rPr>
        <w:t>The Board sets the number of directors from time to time by a resolution adopted by a majority of the Board. The Governance Committee reassesses the suitability of the Board’s size at least annually. The Board has the flexibility to increase or decrease the size of the Board as circumstances warrant, though the Company’s Certificate of Incorporation limits the total number of directors to 17. There are currently 13 members of the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both"/>
        <w:ind w:right="20"/>
        <w:spacing w:after="0" w:line="245" w:lineRule="auto"/>
        <w:rPr>
          <w:sz w:val="20"/>
          <w:szCs w:val="20"/>
          <w:color w:val="auto"/>
        </w:rPr>
      </w:pPr>
      <w:r>
        <w:rPr>
          <w:rFonts w:ascii="Arial" w:cs="Arial" w:eastAsia="Arial" w:hAnsi="Arial"/>
          <w:sz w:val="19"/>
          <w:szCs w:val="19"/>
          <w:color w:val="3E3935"/>
        </w:rPr>
        <w:t>Board. If all of the Board’s nominees are elected, the Board will be composed of 13 members immediately following the Annual Meeting as a result of Ms. Stephenson’s retirement and Vice Admiral Tighe’s election. If any nominee is unable to serve as a director, or if any director leaves the Board between annual meetings, the Board may reduce the number of directors or elect an individual to fill the resulting vacancy.</w:t>
      </w:r>
    </w:p>
    <w:p>
      <w:pPr>
        <w:spacing w:after="0" w:line="409" w:lineRule="exact"/>
        <w:rPr>
          <w:sz w:val="20"/>
          <w:szCs w:val="20"/>
          <w:color w:val="auto"/>
        </w:rPr>
      </w:pPr>
    </w:p>
    <w:p>
      <w:pPr>
        <w:sectPr>
          <w:pgSz w:w="11900" w:h="16838" w:orient="portrait"/>
          <w:cols w:equalWidth="0" w:num="2">
            <w:col w:w="5400" w:space="340"/>
            <w:col w:w="5400"/>
          </w:cols>
          <w:pgMar w:left="320" w:top="482" w:right="439" w:bottom="1440" w:gutter="0" w:footer="0" w:header="0"/>
          <w:type w:val="continuous"/>
        </w:sectPr>
      </w:pPr>
    </w:p>
    <w:p>
      <w:pPr>
        <w:spacing w:after="0" w:line="229" w:lineRule="exact"/>
        <w:rPr>
          <w:sz w:val="20"/>
          <w:szCs w:val="20"/>
          <w:color w:val="auto"/>
        </w:rPr>
      </w:pPr>
    </w:p>
    <w:p>
      <w:pPr>
        <w:ind w:left="660" w:hanging="544"/>
        <w:spacing w:after="0"/>
        <w:tabs>
          <w:tab w:leader="none" w:pos="660" w:val="left"/>
        </w:tabs>
        <w:numPr>
          <w:ilvl w:val="0"/>
          <w:numId w:val="35"/>
        </w:numPr>
        <w:rPr>
          <w:rFonts w:ascii="Times New Roman" w:cs="Times New Roman" w:eastAsia="Times New Roman" w:hAnsi="Times New Roman"/>
          <w:sz w:val="19"/>
          <w:szCs w:val="19"/>
          <w:color w:val="0071CE"/>
        </w:rPr>
      </w:pPr>
      <w:r>
        <w:rPr>
          <w:rFonts w:ascii="Arial" w:cs="Arial" w:eastAsia="Arial" w:hAnsi="Arial"/>
          <w:sz w:val="25"/>
          <w:szCs w:val="25"/>
          <w:color w:val="3E3935"/>
        </w:rPr>
        <w:t>Director Independence</w:t>
      </w:r>
    </w:p>
    <w:p>
      <w:pPr>
        <w:spacing w:after="0" w:line="213" w:lineRule="exact"/>
        <w:rPr>
          <w:sz w:val="20"/>
          <w:szCs w:val="20"/>
          <w:color w:val="auto"/>
        </w:rPr>
      </w:pPr>
    </w:p>
    <w:p>
      <w:pPr>
        <w:jc w:val="both"/>
        <w:ind w:left="120"/>
        <w:spacing w:after="0" w:line="229" w:lineRule="auto"/>
        <w:rPr>
          <w:sz w:val="20"/>
          <w:szCs w:val="20"/>
          <w:color w:val="auto"/>
        </w:rPr>
      </w:pPr>
      <w:r>
        <w:rPr>
          <w:rFonts w:ascii="Arial" w:cs="Arial" w:eastAsia="Arial" w:hAnsi="Arial"/>
          <w:sz w:val="20"/>
          <w:szCs w:val="20"/>
          <w:color w:val="3E3935"/>
        </w:rPr>
        <w:t>GM’s Bylaws and Corporate Governance Guidelines define our standards for director independence and reflect applicable NYSE and SEC requirements. At least two-thirds of our directors must be independent under these standards. In addition, all members of the Audit Committee and the Compensation Committee must meet heightened independence standards under applicable NYSE and SEC rules. For a director to be “independent,” they must have no disqualifying relationships, as defined in the NYSE standards, and the Board must determine that the director has no material relationship with the Company other than the individual’s service as a director.</w:t>
      </w:r>
    </w:p>
    <w:p>
      <w:pPr>
        <w:spacing w:after="0" w:line="107" w:lineRule="exact"/>
        <w:rPr>
          <w:sz w:val="20"/>
          <w:szCs w:val="20"/>
          <w:color w:val="auto"/>
        </w:rPr>
      </w:pPr>
    </w:p>
    <w:p>
      <w:pPr>
        <w:jc w:val="both"/>
        <w:ind w:left="120"/>
        <w:spacing w:after="0" w:line="234" w:lineRule="auto"/>
        <w:rPr>
          <w:sz w:val="20"/>
          <w:szCs w:val="20"/>
          <w:color w:val="auto"/>
        </w:rPr>
      </w:pPr>
      <w:r>
        <w:rPr>
          <w:rFonts w:ascii="Arial" w:cs="Arial" w:eastAsia="Arial" w:hAnsi="Arial"/>
          <w:sz w:val="20"/>
          <w:szCs w:val="20"/>
          <w:color w:val="3E3935"/>
        </w:rPr>
        <w:t>The Governance Committee completed its annual assessment in February 2023 regarding the independence of each director and made recommendations to the Board. Consistent with the standards described above, the Board has reviewed all relationships between the Company</w:t>
      </w:r>
    </w:p>
    <w:p>
      <w:pPr>
        <w:spacing w:after="0" w:line="268" w:lineRule="exact"/>
        <w:rPr>
          <w:sz w:val="20"/>
          <w:szCs w:val="20"/>
          <w:color w:val="auto"/>
        </w:rPr>
      </w:pPr>
    </w:p>
    <w:p>
      <w:pPr>
        <w:ind w:left="120"/>
        <w:spacing w:after="0"/>
        <w:rPr>
          <w:sz w:val="20"/>
          <w:szCs w:val="20"/>
          <w:color w:val="auto"/>
        </w:rPr>
      </w:pPr>
      <w:r>
        <w:rPr>
          <w:rFonts w:ascii="Arial" w:cs="Arial" w:eastAsia="Arial" w:hAnsi="Arial"/>
          <w:sz w:val="14"/>
          <w:szCs w:val="14"/>
          <w:color w:val="0071CE"/>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wp:posOffset>
            </wp:positionH>
            <wp:positionV relativeFrom="paragraph">
              <wp:posOffset>-95885</wp:posOffset>
            </wp:positionV>
            <wp:extent cx="5983605" cy="10287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5983605" cy="10287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both"/>
        <w:spacing w:after="0" w:line="230" w:lineRule="auto"/>
        <w:rPr>
          <w:sz w:val="20"/>
          <w:szCs w:val="20"/>
          <w:color w:val="auto"/>
        </w:rPr>
      </w:pPr>
      <w:r>
        <w:rPr>
          <w:rFonts w:ascii="Arial" w:cs="Arial" w:eastAsia="Arial" w:hAnsi="Arial"/>
          <w:sz w:val="20"/>
          <w:szCs w:val="20"/>
          <w:color w:val="3E3935"/>
        </w:rPr>
        <w:t>and each director and director nominee and considered all relevant quantitative and qualitative criteria. The Board has affirmatively determined that, other than Ms. Barra who serves as our CEO, all directors and director nominees are currently independent and, if applicable, were independent throughout 2022. In addition, the Board affirmatively determined that all of the director nominees who currently serve on the Audit Committee and the Compensation Committee are independent as required by the heightened NYSE and SEC criteria described above.</w:t>
      </w:r>
    </w:p>
    <w:p>
      <w:pPr>
        <w:spacing w:after="0" w:line="105" w:lineRule="exact"/>
        <w:rPr>
          <w:sz w:val="20"/>
          <w:szCs w:val="20"/>
          <w:color w:val="auto"/>
        </w:rPr>
      </w:pPr>
    </w:p>
    <w:p>
      <w:pPr>
        <w:jc w:val="both"/>
        <w:ind w:right="20"/>
        <w:spacing w:after="0" w:line="232" w:lineRule="auto"/>
        <w:rPr>
          <w:sz w:val="20"/>
          <w:szCs w:val="20"/>
          <w:color w:val="auto"/>
        </w:rPr>
      </w:pPr>
      <w:r>
        <w:rPr>
          <w:rFonts w:ascii="Arial" w:cs="Arial" w:eastAsia="Arial" w:hAnsi="Arial"/>
          <w:sz w:val="20"/>
          <w:szCs w:val="20"/>
          <w:color w:val="3E3935"/>
        </w:rPr>
        <w:t>In recommending to the Board that it determine each non-employee director is independent, the Governance Committee considered whether there were any other facts or circumstances that might impair a director’s independence. The Governance Committee also considered that GM, in the ordinary course of business during the last three years, has sold fleet vehicles to, and purchased</w:t>
      </w:r>
    </w:p>
    <w:p>
      <w:pPr>
        <w:sectPr>
          <w:pgSz w:w="11900" w:h="16838" w:orient="portrait"/>
          <w:cols w:equalWidth="0" w:num="2">
            <w:col w:w="5400" w:space="340"/>
            <w:col w:w="5400"/>
          </w:cols>
          <w:pgMar w:left="320" w:top="482" w:right="439" w:bottom="1440" w:gutter="0" w:footer="0" w:header="0"/>
          <w:type w:val="continuous"/>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360" w:lineRule="exact"/>
        <w:rPr>
          <w:sz w:val="20"/>
          <w:szCs w:val="20"/>
          <w:color w:val="auto"/>
        </w:rPr>
      </w:pPr>
    </w:p>
    <w:p>
      <w:pPr>
        <w:jc w:val="both"/>
        <w:ind w:left="120"/>
        <w:spacing w:after="0" w:line="233" w:lineRule="auto"/>
        <w:rPr>
          <w:sz w:val="20"/>
          <w:szCs w:val="20"/>
          <w:color w:val="auto"/>
        </w:rPr>
      </w:pPr>
      <w:r>
        <w:rPr>
          <w:rFonts w:ascii="Arial" w:cs="Arial" w:eastAsia="Arial" w:hAnsi="Arial"/>
          <w:sz w:val="20"/>
          <w:szCs w:val="20"/>
          <w:color w:val="3E3935"/>
        </w:rPr>
        <w:t>products and services from, companies at which some of our directors serve as non-employee directors or executives. The Board determined that these transactions were not material to GM or the other companies involved and that none of our directors had a material interest in the transactions with these companies. In each case,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7" w:lineRule="exact"/>
        <w:rPr>
          <w:sz w:val="20"/>
          <w:szCs w:val="20"/>
          <w:color w:val="auto"/>
        </w:rPr>
      </w:pPr>
    </w:p>
    <w:p>
      <w:pPr>
        <w:jc w:val="both"/>
        <w:ind w:right="20"/>
        <w:spacing w:after="0" w:line="234" w:lineRule="auto"/>
        <w:rPr>
          <w:sz w:val="20"/>
          <w:szCs w:val="20"/>
          <w:color w:val="auto"/>
        </w:rPr>
      </w:pPr>
      <w:r>
        <w:rPr>
          <w:rFonts w:ascii="Arial" w:cs="Arial" w:eastAsia="Arial" w:hAnsi="Arial"/>
          <w:sz w:val="20"/>
          <w:szCs w:val="20"/>
          <w:color w:val="3E3935"/>
        </w:rPr>
        <w:t>these transactions were in the ordinary course of business for GM and the other companies involved and were on terms and conditions available to similarly situated customers and suppliers. Therefore, the Board determined they did not impair such directors’ independence.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-3651885</wp:posOffset>
            </wp:positionH>
            <wp:positionV relativeFrom="paragraph">
              <wp:posOffset>-1289050</wp:posOffset>
            </wp:positionV>
            <wp:extent cx="7174865" cy="552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p>
    <w:p>
      <w:pPr>
        <w:spacing w:after="0" w:line="418" w:lineRule="exact"/>
        <w:rPr>
          <w:sz w:val="20"/>
          <w:szCs w:val="20"/>
          <w:color w:val="auto"/>
        </w:rPr>
      </w:pPr>
    </w:p>
    <w:p>
      <w:pPr>
        <w:sectPr>
          <w:pgSz w:w="11900" w:h="16838" w:orient="portrait"/>
          <w:cols w:equalWidth="0" w:num="2">
            <w:col w:w="5400" w:space="340"/>
            <w:col w:w="5400"/>
          </w:cols>
          <w:pgMar w:left="320" w:top="482" w:right="439" w:bottom="1440" w:gutter="0" w:footer="0" w:header="0"/>
        </w:sectPr>
      </w:pPr>
    </w:p>
    <w:p>
      <w:pPr>
        <w:spacing w:after="0" w:line="137" w:lineRule="exact"/>
        <w:rPr>
          <w:sz w:val="20"/>
          <w:szCs w:val="20"/>
          <w:color w:val="auto"/>
        </w:rPr>
      </w:pPr>
    </w:p>
    <w:p>
      <w:pPr>
        <w:ind w:left="120"/>
        <w:spacing w:after="0"/>
        <w:rPr>
          <w:sz w:val="20"/>
          <w:szCs w:val="20"/>
          <w:color w:val="auto"/>
        </w:rPr>
      </w:pPr>
      <w:r>
        <w:rPr>
          <w:rFonts w:ascii="Arial" w:cs="Arial" w:eastAsia="Arial" w:hAnsi="Arial"/>
          <w:sz w:val="28"/>
          <w:szCs w:val="28"/>
          <w:color w:val="3E3935"/>
        </w:rPr>
        <w:t>Board Leadership Structure and Composition</w:t>
      </w:r>
    </w:p>
    <w:p>
      <w:pPr>
        <w:sectPr>
          <w:pgSz w:w="11900" w:h="16838" w:orient="portrait"/>
          <w:cols w:equalWidth="0" w:num="1">
            <w:col w:w="11140"/>
          </w:cols>
          <w:pgMar w:left="320" w:top="482" w:right="439" w:bottom="1440" w:gutter="0" w:footer="0" w:header="0"/>
          <w:type w:val="continuous"/>
        </w:sectPr>
      </w:pPr>
    </w:p>
    <w:p>
      <w:pPr>
        <w:spacing w:after="0" w:line="229" w:lineRule="exact"/>
        <w:rPr>
          <w:sz w:val="20"/>
          <w:szCs w:val="20"/>
          <w:color w:val="auto"/>
        </w:rPr>
      </w:pPr>
    </w:p>
    <w:p>
      <w:pPr>
        <w:jc w:val="both"/>
        <w:ind w:left="120"/>
        <w:spacing w:after="0" w:line="231" w:lineRule="auto"/>
        <w:rPr>
          <w:sz w:val="20"/>
          <w:szCs w:val="20"/>
          <w:color w:val="auto"/>
        </w:rPr>
      </w:pPr>
      <w:r>
        <w:rPr>
          <w:rFonts w:ascii="Arial" w:cs="Arial" w:eastAsia="Arial" w:hAnsi="Arial"/>
          <w:sz w:val="20"/>
          <w:szCs w:val="20"/>
          <w:color w:val="3E3935"/>
        </w:rPr>
        <w:t>The Board has the flexibility to decide when the positions of Board Chair and CEO should be combined or whether an independent director should serve as Board Chair. This allows the Board to choose the leadership structure that it believes will best serve the interests of our shareholders at any particular time. In January 2016, the Board recombined the positions of Board Chair and CEO under the leadership of Ms. Barra and designated an Independent Lead Director.</w:t>
      </w:r>
    </w:p>
    <w:p>
      <w:pPr>
        <w:spacing w:after="0" w:line="106" w:lineRule="exact"/>
        <w:rPr>
          <w:sz w:val="20"/>
          <w:szCs w:val="20"/>
          <w:color w:val="auto"/>
        </w:rPr>
      </w:pPr>
    </w:p>
    <w:p>
      <w:pPr>
        <w:jc w:val="both"/>
        <w:ind w:left="120"/>
        <w:spacing w:after="0" w:line="237" w:lineRule="auto"/>
        <w:rPr>
          <w:sz w:val="20"/>
          <w:szCs w:val="20"/>
          <w:color w:val="auto"/>
        </w:rPr>
      </w:pPr>
      <w:r>
        <w:rPr>
          <w:rFonts w:ascii="Arial" w:cs="Arial" w:eastAsia="Arial" w:hAnsi="Arial"/>
          <w:sz w:val="20"/>
          <w:szCs w:val="20"/>
          <w:color w:val="3E3935"/>
        </w:rPr>
        <w:t>Since then, each year the Board has voted to elect Ms. Barra as Board Chair. The Board believes that Ms. Barra’s in-depth knowledge of GM’s business and vision for the future bring focused leadership</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jc w:val="both"/>
        <w:spacing w:after="0" w:line="237" w:lineRule="auto"/>
        <w:rPr>
          <w:sz w:val="20"/>
          <w:szCs w:val="20"/>
          <w:color w:val="auto"/>
        </w:rPr>
      </w:pPr>
      <w:r>
        <w:rPr>
          <w:rFonts w:ascii="Arial" w:cs="Arial" w:eastAsia="Arial" w:hAnsi="Arial"/>
          <w:sz w:val="20"/>
          <w:szCs w:val="20"/>
          <w:color w:val="3E3935"/>
        </w:rPr>
        <w:t>to the Board and, therefore, combining the role of Board Chair and CEO while electing a strong Independent Lead Director results in the optimal Board leadership structure for GM at this time.</w:t>
      </w:r>
    </w:p>
    <w:p>
      <w:pPr>
        <w:spacing w:after="0" w:line="104" w:lineRule="exact"/>
        <w:rPr>
          <w:sz w:val="20"/>
          <w:szCs w:val="20"/>
          <w:color w:val="auto"/>
        </w:rPr>
      </w:pPr>
    </w:p>
    <w:p>
      <w:pPr>
        <w:jc w:val="both"/>
        <w:spacing w:after="0" w:line="245" w:lineRule="auto"/>
        <w:rPr>
          <w:sz w:val="20"/>
          <w:szCs w:val="20"/>
          <w:color w:val="auto"/>
        </w:rPr>
      </w:pPr>
      <w:r>
        <w:rPr>
          <w:rFonts w:ascii="Arial" w:cs="Arial" w:eastAsia="Arial" w:hAnsi="Arial"/>
          <w:sz w:val="19"/>
          <w:szCs w:val="19"/>
          <w:color w:val="3E3935"/>
        </w:rPr>
        <w:t>Ms. Russo is the Board’s Independent Lead Director, a role she has held since 2021. Ms. Russo joined our Board in 2009 and previously served as the Independent Lead Director from 2010 to 2014. Her extensive knowledge of GM’s business and experience collaborating with our management team uniquely qualifies her to provide strong, independent leadership and strategic direction to the Board at this time.</w:t>
      </w:r>
    </w:p>
    <w:p>
      <w:pPr>
        <w:spacing w:after="0" w:line="411" w:lineRule="exact"/>
        <w:rPr>
          <w:sz w:val="20"/>
          <w:szCs w:val="20"/>
          <w:color w:val="auto"/>
        </w:rPr>
      </w:pPr>
    </w:p>
    <w:p>
      <w:pPr>
        <w:sectPr>
          <w:pgSz w:w="11900" w:h="16838" w:orient="portrait"/>
          <w:cols w:equalWidth="0" w:num="2">
            <w:col w:w="5400" w:space="340"/>
            <w:col w:w="5400"/>
          </w:cols>
          <w:pgMar w:left="320" w:top="482" w:right="439" w:bottom="1440" w:gutter="0" w:footer="0" w:header="0"/>
          <w:type w:val="continuous"/>
        </w:sectPr>
      </w:pPr>
    </w:p>
    <w:p>
      <w:pPr>
        <w:spacing w:after="0" w:line="227" w:lineRule="exact"/>
        <w:rPr>
          <w:sz w:val="20"/>
          <w:szCs w:val="20"/>
          <w:color w:val="auto"/>
        </w:rPr>
      </w:pPr>
    </w:p>
    <w:p>
      <w:pPr>
        <w:ind w:left="660" w:hanging="544"/>
        <w:spacing w:after="0"/>
        <w:tabs>
          <w:tab w:leader="none" w:pos="660" w:val="left"/>
        </w:tabs>
        <w:numPr>
          <w:ilvl w:val="0"/>
          <w:numId w:val="36"/>
        </w:numPr>
        <w:rPr>
          <w:rFonts w:ascii="Times New Roman" w:cs="Times New Roman" w:eastAsia="Times New Roman" w:hAnsi="Times New Roman"/>
          <w:sz w:val="19"/>
          <w:szCs w:val="19"/>
          <w:color w:val="0071CE"/>
        </w:rPr>
      </w:pPr>
      <w:r>
        <w:rPr>
          <w:rFonts w:ascii="Arial" w:cs="Arial" w:eastAsia="Arial" w:hAnsi="Arial"/>
          <w:sz w:val="25"/>
          <w:szCs w:val="25"/>
          <w:color w:val="3E3935"/>
        </w:rPr>
        <w:t>The Role of the Independent Lead Director</w:t>
      </w:r>
    </w:p>
    <w:p>
      <w:pPr>
        <w:spacing w:after="0" w:line="118" w:lineRule="exact"/>
        <w:rPr>
          <w:sz w:val="20"/>
          <w:szCs w:val="20"/>
          <w:color w:val="auto"/>
        </w:rPr>
      </w:pPr>
    </w:p>
    <w:p>
      <w:pPr>
        <w:jc w:val="both"/>
        <w:ind w:left="120" w:right="20"/>
        <w:spacing w:after="0" w:line="241" w:lineRule="auto"/>
        <w:rPr>
          <w:sz w:val="20"/>
          <w:szCs w:val="20"/>
          <w:color w:val="auto"/>
        </w:rPr>
      </w:pPr>
      <w:r>
        <w:rPr>
          <w:rFonts w:ascii="Arial" w:cs="Arial" w:eastAsia="Arial" w:hAnsi="Arial"/>
          <w:sz w:val="20"/>
          <w:szCs w:val="20"/>
          <w:color w:val="3E3935"/>
        </w:rPr>
        <w:t>The role of the Independent Lead Director is to provide strong, independent leadership to the Board and assist the other independent directors in overseeing and shaping the partnership between management and the Board. Below is a summary of the key duties and responsibilities of GM’s Independent Lead Director.</w:t>
      </w:r>
    </w:p>
    <w:p>
      <w:pPr>
        <w:sectPr>
          <w:pgSz w:w="11900" w:h="16838" w:orient="portrait"/>
          <w:cols w:equalWidth="0" w:num="1">
            <w:col w:w="11140"/>
          </w:cols>
          <w:pgMar w:left="320" w:top="482" w:right="439" w:bottom="1440" w:gutter="0" w:footer="0" w:header="0"/>
          <w:type w:val="continuous"/>
        </w:sectPr>
      </w:pPr>
    </w:p>
    <w:p>
      <w:pPr>
        <w:spacing w:after="0" w:line="206" w:lineRule="exact"/>
        <w:rPr>
          <w:sz w:val="20"/>
          <w:szCs w:val="20"/>
          <w:color w:val="auto"/>
        </w:rPr>
      </w:pPr>
    </w:p>
    <w:p>
      <w:pPr>
        <w:jc w:val="both"/>
        <w:ind w:left="480" w:hanging="215"/>
        <w:spacing w:after="0" w:line="250" w:lineRule="auto"/>
        <w:rPr>
          <w:sz w:val="20"/>
          <w:szCs w:val="20"/>
          <w:color w:val="auto"/>
        </w:rPr>
      </w:pPr>
      <w:r>
        <w:rPr>
          <w:rFonts w:ascii="Arial" w:cs="Arial" w:eastAsia="Arial" w:hAnsi="Arial"/>
          <w:sz w:val="20"/>
          <w:szCs w:val="20"/>
          <w:color w:val="00C1DE"/>
        </w:rPr>
        <w:t>•</w:t>
      </w:r>
      <w:r>
        <w:rPr>
          <w:rFonts w:ascii="Arial" w:cs="Arial" w:eastAsia="Arial" w:hAnsi="Arial"/>
          <w:sz w:val="19"/>
          <w:szCs w:val="19"/>
          <w:color w:val="3E3935"/>
        </w:rPr>
        <w:t xml:space="preserve">   Presiding over all Board meetings when the Board Chair</w:t>
      </w:r>
      <w:r>
        <w:rPr>
          <w:rFonts w:ascii="Arial" w:cs="Arial" w:eastAsia="Arial" w:hAnsi="Arial"/>
          <w:sz w:val="20"/>
          <w:szCs w:val="20"/>
          <w:color w:val="00C1DE"/>
        </w:rPr>
        <w:t xml:space="preserve"> </w:t>
      </w:r>
      <w:r>
        <w:rPr>
          <w:rFonts w:ascii="Arial" w:cs="Arial" w:eastAsia="Arial" w:hAnsi="Arial"/>
          <w:sz w:val="19"/>
          <w:szCs w:val="19"/>
          <w:color w:val="3E3935"/>
        </w:rPr>
        <w:t>is not present, including executive sessions of non-management directors, and advising the Board Chair of any actions taken;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-575945</wp:posOffset>
            </wp:positionV>
            <wp:extent cx="6995160" cy="27774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995160" cy="2777490"/>
                    </a:xfrm>
                    <a:prstGeom prst="rect">
                      <a:avLst/>
                    </a:prstGeom>
                    <a:noFill/>
                  </pic:spPr>
                </pic:pic>
              </a:graphicData>
            </a:graphic>
          </wp:anchor>
        </w:drawing>
      </w:r>
    </w:p>
    <w:p>
      <w:pPr>
        <w:spacing w:after="0" w:line="57" w:lineRule="exact"/>
        <w:rPr>
          <w:sz w:val="20"/>
          <w:szCs w:val="20"/>
          <w:color w:val="auto"/>
        </w:rPr>
      </w:pPr>
    </w:p>
    <w:p>
      <w:pPr>
        <w:jc w:val="both"/>
        <w:ind w:left="480" w:hanging="215"/>
        <w:spacing w:after="0" w:line="257" w:lineRule="auto"/>
        <w:rPr>
          <w:sz w:val="20"/>
          <w:szCs w:val="20"/>
          <w:color w:val="auto"/>
        </w:rPr>
      </w:pPr>
      <w:r>
        <w:rPr>
          <w:rFonts w:ascii="Arial" w:cs="Arial" w:eastAsia="Arial" w:hAnsi="Arial"/>
          <w:sz w:val="20"/>
          <w:szCs w:val="20"/>
          <w:color w:val="00C1DE"/>
        </w:rPr>
        <w:t>•</w:t>
      </w:r>
      <w:r>
        <w:rPr>
          <w:rFonts w:ascii="Arial" w:cs="Arial" w:eastAsia="Arial" w:hAnsi="Arial"/>
          <w:sz w:val="19"/>
          <w:szCs w:val="19"/>
          <w:color w:val="3E3935"/>
        </w:rPr>
        <w:t xml:space="preserve">   Providing Board leadership if circumstances arise in</w:t>
      </w:r>
      <w:r>
        <w:rPr>
          <w:rFonts w:ascii="Arial" w:cs="Arial" w:eastAsia="Arial" w:hAnsi="Arial"/>
          <w:sz w:val="20"/>
          <w:szCs w:val="20"/>
          <w:color w:val="00C1DE"/>
        </w:rPr>
        <w:t xml:space="preserve"> </w:t>
      </w:r>
      <w:r>
        <w:rPr>
          <w:rFonts w:ascii="Arial" w:cs="Arial" w:eastAsia="Arial" w:hAnsi="Arial"/>
          <w:sz w:val="19"/>
          <w:szCs w:val="19"/>
          <w:color w:val="3E3935"/>
        </w:rPr>
        <w:t>which the Board Chair actually has, potentially has, or is perceived to have, a conflict of interest;</w:t>
      </w:r>
    </w:p>
    <w:p>
      <w:pPr>
        <w:spacing w:after="0" w:line="69" w:lineRule="exact"/>
        <w:rPr>
          <w:sz w:val="20"/>
          <w:szCs w:val="20"/>
          <w:color w:val="auto"/>
        </w:rPr>
      </w:pPr>
    </w:p>
    <w:p>
      <w:pPr>
        <w:jc w:val="both"/>
        <w:ind w:left="480" w:hanging="215"/>
        <w:spacing w:after="0" w:line="237" w:lineRule="auto"/>
        <w:rPr>
          <w:sz w:val="20"/>
          <w:szCs w:val="20"/>
          <w:color w:val="auto"/>
        </w:rPr>
      </w:pPr>
      <w:r>
        <w:rPr>
          <w:rFonts w:ascii="Arial" w:cs="Arial" w:eastAsia="Arial" w:hAnsi="Arial"/>
          <w:sz w:val="20"/>
          <w:szCs w:val="20"/>
          <w:color w:val="00C1DE"/>
        </w:rPr>
        <w:t>•</w:t>
      </w:r>
      <w:r>
        <w:rPr>
          <w:rFonts w:ascii="Arial" w:cs="Arial" w:eastAsia="Arial" w:hAnsi="Arial"/>
          <w:sz w:val="19"/>
          <w:szCs w:val="19"/>
          <w:color w:val="3E3935"/>
        </w:rPr>
        <w:t xml:space="preserve">   Calling</w:t>
      </w:r>
      <w:r>
        <w:rPr>
          <w:sz w:val="20"/>
          <w:szCs w:val="20"/>
          <w:color w:val="auto"/>
        </w:rPr>
        <w:t xml:space="preserve"> </w:t>
      </w:r>
      <w:r>
        <w:rPr>
          <w:rFonts w:ascii="Arial" w:cs="Arial" w:eastAsia="Arial" w:hAnsi="Arial"/>
          <w:sz w:val="20"/>
          <w:szCs w:val="20"/>
          <w:color w:val="3E3935"/>
        </w:rPr>
        <w:t>executive sessions for non-management directors, relaying feedback from these sessions to the Board Chair, and implementing decisions made by the non-management directors;</w:t>
      </w:r>
    </w:p>
    <w:p>
      <w:pPr>
        <w:spacing w:after="0" w:line="91" w:lineRule="exact"/>
        <w:rPr>
          <w:sz w:val="20"/>
          <w:szCs w:val="20"/>
          <w:color w:val="auto"/>
        </w:rPr>
      </w:pPr>
    </w:p>
    <w:p>
      <w:pPr>
        <w:jc w:val="both"/>
        <w:ind w:left="480" w:hanging="215"/>
        <w:spacing w:after="0" w:line="237" w:lineRule="auto"/>
        <w:rPr>
          <w:sz w:val="20"/>
          <w:szCs w:val="20"/>
          <w:color w:val="auto"/>
        </w:rPr>
      </w:pPr>
      <w:r>
        <w:rPr>
          <w:rFonts w:ascii="Arial" w:cs="Arial" w:eastAsia="Arial" w:hAnsi="Arial"/>
          <w:sz w:val="20"/>
          <w:szCs w:val="20"/>
          <w:color w:val="00C1DE"/>
        </w:rPr>
        <w:t>•</w:t>
      </w:r>
      <w:r>
        <w:rPr>
          <w:rFonts w:ascii="Arial" w:cs="Arial" w:eastAsia="Arial" w:hAnsi="Arial"/>
          <w:sz w:val="19"/>
          <w:szCs w:val="19"/>
          <w:color w:val="3E3935"/>
        </w:rPr>
        <w:t xml:space="preserve">   Leading</w:t>
      </w:r>
      <w:r>
        <w:rPr>
          <w:sz w:val="20"/>
          <w:szCs w:val="20"/>
          <w:color w:val="auto"/>
        </w:rPr>
        <w:t xml:space="preserve"> </w:t>
      </w:r>
      <w:r>
        <w:rPr>
          <w:rFonts w:ascii="Arial" w:cs="Arial" w:eastAsia="Arial" w:hAnsi="Arial"/>
          <w:sz w:val="20"/>
          <w:szCs w:val="20"/>
          <w:color w:val="3E3935"/>
        </w:rPr>
        <w:t>non-management directors in the annual evaluation of the CEO’s performance, communicating the results of that evaluation to the CEO, and overseeing CEO succession planning;</w:t>
      </w:r>
    </w:p>
    <w:p>
      <w:pPr>
        <w:spacing w:after="0" w:line="91" w:lineRule="exact"/>
        <w:rPr>
          <w:sz w:val="20"/>
          <w:szCs w:val="20"/>
          <w:color w:val="auto"/>
        </w:rPr>
      </w:pPr>
    </w:p>
    <w:p>
      <w:pPr>
        <w:jc w:val="both"/>
        <w:ind w:left="480" w:hanging="215"/>
        <w:spacing w:after="0" w:line="278" w:lineRule="auto"/>
        <w:rPr>
          <w:sz w:val="20"/>
          <w:szCs w:val="20"/>
          <w:color w:val="auto"/>
        </w:rPr>
      </w:pPr>
      <w:r>
        <w:rPr>
          <w:rFonts w:ascii="Arial" w:cs="Arial" w:eastAsia="Arial" w:hAnsi="Arial"/>
          <w:sz w:val="20"/>
          <w:szCs w:val="20"/>
          <w:color w:val="00C1DE"/>
        </w:rPr>
        <w:t>•</w:t>
      </w:r>
      <w:r>
        <w:rPr>
          <w:rFonts w:ascii="Arial" w:cs="Arial" w:eastAsia="Arial" w:hAnsi="Arial"/>
          <w:sz w:val="19"/>
          <w:szCs w:val="19"/>
          <w:color w:val="3E3935"/>
        </w:rPr>
        <w:t xml:space="preserve">   Approving Board meeting agendas to ensure sufficient</w:t>
      </w:r>
      <w:r>
        <w:rPr>
          <w:rFonts w:ascii="Arial" w:cs="Arial" w:eastAsia="Arial" w:hAnsi="Arial"/>
          <w:sz w:val="20"/>
          <w:szCs w:val="20"/>
          <w:color w:val="00C1DE"/>
        </w:rPr>
        <w:t xml:space="preserve"> </w:t>
      </w:r>
      <w:r>
        <w:rPr>
          <w:rFonts w:ascii="Arial" w:cs="Arial" w:eastAsia="Arial" w:hAnsi="Arial"/>
          <w:sz w:val="19"/>
          <w:szCs w:val="19"/>
          <w:color w:val="3E3935"/>
        </w:rPr>
        <w:t>time for discussion of all items;</w:t>
      </w:r>
    </w:p>
    <w:p>
      <w:pPr>
        <w:spacing w:after="0" w:line="20" w:lineRule="exact"/>
        <w:rPr>
          <w:sz w:val="20"/>
          <w:szCs w:val="20"/>
          <w:color w:val="auto"/>
        </w:rPr>
      </w:pPr>
      <w:r>
        <w:rPr>
          <w:sz w:val="20"/>
          <w:szCs w:val="20"/>
          <w:color w:val="auto"/>
        </w:rPr>
        <w:br w:type="column"/>
      </w:r>
    </w:p>
    <w:p>
      <w:pPr>
        <w:spacing w:after="0" w:line="186" w:lineRule="exact"/>
        <w:rPr>
          <w:sz w:val="20"/>
          <w:szCs w:val="20"/>
          <w:color w:val="auto"/>
        </w:rPr>
      </w:pPr>
    </w:p>
    <w:p>
      <w:pPr>
        <w:jc w:val="both"/>
        <w:ind w:right="200" w:hanging="215"/>
        <w:spacing w:after="0" w:line="241" w:lineRule="auto"/>
        <w:rPr>
          <w:sz w:val="20"/>
          <w:szCs w:val="20"/>
          <w:color w:val="auto"/>
        </w:rPr>
      </w:pPr>
      <w:r>
        <w:rPr>
          <w:rFonts w:ascii="Arial" w:cs="Arial" w:eastAsia="Arial" w:hAnsi="Arial"/>
          <w:sz w:val="20"/>
          <w:szCs w:val="20"/>
          <w:color w:val="00C1DE"/>
        </w:rPr>
        <w:t>•</w:t>
      </w:r>
      <w:r>
        <w:rPr>
          <w:rFonts w:ascii="Arial" w:cs="Arial" w:eastAsia="Arial" w:hAnsi="Arial"/>
          <w:sz w:val="19"/>
          <w:szCs w:val="19"/>
          <w:color w:val="3E3935"/>
        </w:rPr>
        <w:t xml:space="preserve">   Advising</w:t>
      </w:r>
      <w:r>
        <w:rPr>
          <w:sz w:val="20"/>
          <w:szCs w:val="20"/>
          <w:color w:val="auto"/>
        </w:rPr>
        <w:t xml:space="preserve"> </w:t>
      </w:r>
      <w:r>
        <w:rPr>
          <w:rFonts w:ascii="Arial" w:cs="Arial" w:eastAsia="Arial" w:hAnsi="Arial"/>
          <w:sz w:val="20"/>
          <w:szCs w:val="20"/>
          <w:color w:val="3E3935"/>
        </w:rPr>
        <w:t>on the scope, quality, quantity, and timeliness of the flow of information between management and the Board;</w:t>
      </w:r>
    </w:p>
    <w:p>
      <w:pPr>
        <w:spacing w:after="0" w:line="90" w:lineRule="exact"/>
        <w:rPr>
          <w:sz w:val="20"/>
          <w:szCs w:val="20"/>
          <w:color w:val="auto"/>
        </w:rPr>
      </w:pPr>
    </w:p>
    <w:p>
      <w:pPr>
        <w:jc w:val="both"/>
        <w:ind w:right="200" w:hanging="215"/>
        <w:spacing w:after="0" w:line="244" w:lineRule="auto"/>
        <w:rPr>
          <w:sz w:val="20"/>
          <w:szCs w:val="20"/>
          <w:color w:val="auto"/>
        </w:rPr>
      </w:pPr>
      <w:r>
        <w:rPr>
          <w:rFonts w:ascii="Arial" w:cs="Arial" w:eastAsia="Arial" w:hAnsi="Arial"/>
          <w:sz w:val="20"/>
          <w:szCs w:val="20"/>
          <w:color w:val="00C1DE"/>
        </w:rPr>
        <w:t>•</w:t>
      </w:r>
      <w:r>
        <w:rPr>
          <w:rFonts w:ascii="Arial" w:cs="Arial" w:eastAsia="Arial" w:hAnsi="Arial"/>
          <w:sz w:val="19"/>
          <w:szCs w:val="19"/>
          <w:color w:val="3E3935"/>
        </w:rPr>
        <w:t xml:space="preserve">   Serving as a liaison between non-management</w:t>
      </w:r>
      <w:r>
        <w:rPr>
          <w:rFonts w:ascii="Arial" w:cs="Arial" w:eastAsia="Arial" w:hAnsi="Arial"/>
          <w:sz w:val="20"/>
          <w:szCs w:val="20"/>
          <w:color w:val="00C1DE"/>
        </w:rPr>
        <w:t xml:space="preserve"> </w:t>
      </w:r>
      <w:r>
        <w:rPr>
          <w:rFonts w:ascii="Arial" w:cs="Arial" w:eastAsia="Arial" w:hAnsi="Arial"/>
          <w:sz w:val="19"/>
          <w:szCs w:val="19"/>
          <w:color w:val="3E3935"/>
        </w:rPr>
        <w:t>directors and the Board Chair when requested to do so (although all non-management directors have direct and complete access to the Board Chair at any time they may deem necessary or appropriate);</w:t>
      </w:r>
    </w:p>
    <w:p>
      <w:pPr>
        <w:spacing w:after="0" w:line="81" w:lineRule="exact"/>
        <w:rPr>
          <w:sz w:val="20"/>
          <w:szCs w:val="20"/>
          <w:color w:val="auto"/>
        </w:rPr>
      </w:pPr>
    </w:p>
    <w:p>
      <w:pPr>
        <w:jc w:val="both"/>
        <w:ind w:right="200" w:hanging="215"/>
        <w:spacing w:after="0" w:line="251" w:lineRule="auto"/>
        <w:rPr>
          <w:sz w:val="20"/>
          <w:szCs w:val="20"/>
          <w:color w:val="auto"/>
        </w:rPr>
      </w:pPr>
      <w:r>
        <w:rPr>
          <w:rFonts w:ascii="Arial" w:cs="Arial" w:eastAsia="Arial" w:hAnsi="Arial"/>
          <w:sz w:val="20"/>
          <w:szCs w:val="20"/>
          <w:color w:val="00C1DE"/>
        </w:rPr>
        <w:t>•</w:t>
      </w:r>
      <w:r>
        <w:rPr>
          <w:rFonts w:ascii="Arial" w:cs="Arial" w:eastAsia="Arial" w:hAnsi="Arial"/>
          <w:sz w:val="19"/>
          <w:szCs w:val="19"/>
          <w:color w:val="3E3935"/>
        </w:rPr>
        <w:t xml:space="preserve">   Interviewing all director candidates and making</w:t>
      </w:r>
      <w:r>
        <w:rPr>
          <w:rFonts w:ascii="Arial" w:cs="Arial" w:eastAsia="Arial" w:hAnsi="Arial"/>
          <w:sz w:val="20"/>
          <w:szCs w:val="20"/>
          <w:color w:val="00C1DE"/>
        </w:rPr>
        <w:t xml:space="preserve"> </w:t>
      </w:r>
      <w:r>
        <w:rPr>
          <w:rFonts w:ascii="Arial" w:cs="Arial" w:eastAsia="Arial" w:hAnsi="Arial"/>
          <w:sz w:val="19"/>
          <w:szCs w:val="19"/>
          <w:color w:val="3E3935"/>
        </w:rPr>
        <w:t>recommendations to the Governance Committee and the Board;</w:t>
      </w:r>
    </w:p>
    <w:p>
      <w:pPr>
        <w:spacing w:after="0" w:line="73" w:lineRule="exact"/>
        <w:rPr>
          <w:sz w:val="20"/>
          <w:szCs w:val="20"/>
          <w:color w:val="auto"/>
        </w:rPr>
      </w:pPr>
    </w:p>
    <w:p>
      <w:pPr>
        <w:jc w:val="both"/>
        <w:ind w:right="200" w:hanging="215"/>
        <w:spacing w:after="0" w:line="257" w:lineRule="auto"/>
        <w:rPr>
          <w:sz w:val="20"/>
          <w:szCs w:val="20"/>
          <w:color w:val="auto"/>
        </w:rPr>
      </w:pPr>
      <w:r>
        <w:rPr>
          <w:rFonts w:ascii="Arial" w:cs="Arial" w:eastAsia="Arial" w:hAnsi="Arial"/>
          <w:sz w:val="20"/>
          <w:szCs w:val="20"/>
          <w:color w:val="00C1DE"/>
        </w:rPr>
        <w:t>•</w:t>
      </w:r>
      <w:r>
        <w:rPr>
          <w:rFonts w:ascii="Arial" w:cs="Arial" w:eastAsia="Arial" w:hAnsi="Arial"/>
          <w:sz w:val="19"/>
          <w:szCs w:val="19"/>
          <w:color w:val="3E3935"/>
        </w:rPr>
        <w:t xml:space="preserve">   Being available to advise the Board committee chairs</w:t>
      </w:r>
      <w:r>
        <w:rPr>
          <w:rFonts w:ascii="Arial" w:cs="Arial" w:eastAsia="Arial" w:hAnsi="Arial"/>
          <w:sz w:val="20"/>
          <w:szCs w:val="20"/>
          <w:color w:val="00C1DE"/>
        </w:rPr>
        <w:t xml:space="preserve"> </w:t>
      </w:r>
      <w:r>
        <w:rPr>
          <w:rFonts w:ascii="Arial" w:cs="Arial" w:eastAsia="Arial" w:hAnsi="Arial"/>
          <w:sz w:val="19"/>
          <w:szCs w:val="19"/>
          <w:color w:val="3E3935"/>
        </w:rPr>
        <w:t>in fulfilling their designated roles and responsibilities to the Board; and</w:t>
      </w:r>
    </w:p>
    <w:p>
      <w:pPr>
        <w:spacing w:after="0" w:line="69" w:lineRule="exact"/>
        <w:rPr>
          <w:sz w:val="20"/>
          <w:szCs w:val="20"/>
          <w:color w:val="auto"/>
        </w:rPr>
      </w:pPr>
    </w:p>
    <w:p>
      <w:pPr>
        <w:jc w:val="both"/>
        <w:ind w:right="200" w:hanging="215"/>
        <w:spacing w:after="0" w:line="248" w:lineRule="auto"/>
        <w:rPr>
          <w:sz w:val="20"/>
          <w:szCs w:val="20"/>
          <w:color w:val="auto"/>
        </w:rPr>
      </w:pPr>
      <w:r>
        <w:rPr>
          <w:rFonts w:ascii="Arial" w:cs="Arial" w:eastAsia="Arial" w:hAnsi="Arial"/>
          <w:sz w:val="20"/>
          <w:szCs w:val="20"/>
          <w:color w:val="00C1DE"/>
        </w:rPr>
        <w:t>•</w:t>
      </w:r>
      <w:r>
        <w:rPr>
          <w:rFonts w:ascii="Arial" w:cs="Arial" w:eastAsia="Arial" w:hAnsi="Arial"/>
          <w:sz w:val="19"/>
          <w:szCs w:val="19"/>
          <w:color w:val="3E3935"/>
        </w:rPr>
        <w:t xml:space="preserve">   Engaging,</w:t>
      </w:r>
      <w:r>
        <w:rPr>
          <w:sz w:val="20"/>
          <w:szCs w:val="20"/>
          <w:color w:val="auto"/>
        </w:rPr>
        <w:t xml:space="preserve"> </w:t>
      </w:r>
      <w:r>
        <w:rPr>
          <w:rFonts w:ascii="Arial" w:cs="Arial" w:eastAsia="Arial" w:hAnsi="Arial"/>
          <w:sz w:val="20"/>
          <w:szCs w:val="20"/>
          <w:color w:val="3E3935"/>
        </w:rPr>
        <w:t>when requested to do so, with shareholders.</w:t>
      </w:r>
    </w:p>
    <w:p>
      <w:pPr>
        <w:spacing w:after="0" w:line="668" w:lineRule="exact"/>
        <w:rPr>
          <w:sz w:val="20"/>
          <w:szCs w:val="20"/>
          <w:color w:val="auto"/>
        </w:rPr>
      </w:pPr>
    </w:p>
    <w:p>
      <w:pPr>
        <w:sectPr>
          <w:pgSz w:w="11900" w:h="16838" w:orient="portrait"/>
          <w:cols w:equalWidth="0" w:num="2">
            <w:col w:w="5520" w:space="700"/>
            <w:col w:w="4920"/>
          </w:cols>
          <w:pgMar w:left="320" w:top="482" w:right="439" w:bottom="1440" w:gutter="0" w:footer="0" w:header="0"/>
          <w:type w:val="continuous"/>
        </w:sectPr>
      </w:pPr>
    </w:p>
    <w:p>
      <w:pPr>
        <w:spacing w:after="0" w:line="28" w:lineRule="exact"/>
        <w:rPr>
          <w:sz w:val="20"/>
          <w:szCs w:val="20"/>
          <w:color w:val="auto"/>
        </w:rPr>
      </w:pPr>
    </w:p>
    <w:p>
      <w:pPr>
        <w:ind w:left="10660"/>
        <w:spacing w:after="0"/>
        <w:rPr>
          <w:sz w:val="20"/>
          <w:szCs w:val="20"/>
          <w:color w:val="auto"/>
        </w:rPr>
      </w:pPr>
      <w:r>
        <w:rPr>
          <w:rFonts w:ascii="Arial" w:cs="Arial" w:eastAsia="Arial" w:hAnsi="Arial"/>
          <w:sz w:val="14"/>
          <w:szCs w:val="14"/>
          <w:color w:val="0071CE"/>
        </w:rPr>
        <w:t>29</w:t>
      </w:r>
    </w:p>
    <w:p>
      <w:pPr>
        <w:sectPr>
          <w:pgSz w:w="11900" w:h="16838" w:orient="portrait"/>
          <w:cols w:equalWidth="0" w:num="1">
            <w:col w:w="11140"/>
          </w:cols>
          <w:pgMar w:left="320" w:top="482" w:right="439" w:bottom="1440" w:gutter="0" w:footer="0" w:header="0"/>
          <w:type w:val="continuous"/>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29"/>
          <w:szCs w:val="29"/>
          <w:color w:val="3E3935"/>
        </w:rPr>
        <w:t>Board Committees</w:t>
      </w:r>
    </w:p>
    <w:p>
      <w:pPr>
        <w:spacing w:after="0" w:line="163" w:lineRule="exact"/>
        <w:rPr>
          <w:sz w:val="20"/>
          <w:szCs w:val="20"/>
          <w:color w:val="auto"/>
        </w:rPr>
      </w:pPr>
    </w:p>
    <w:p>
      <w:pPr>
        <w:jc w:val="both"/>
        <w:ind w:left="120"/>
        <w:spacing w:after="0" w:line="230" w:lineRule="auto"/>
        <w:rPr>
          <w:sz w:val="20"/>
          <w:szCs w:val="20"/>
          <w:color w:val="auto"/>
        </w:rPr>
      </w:pPr>
      <w:r>
        <w:rPr>
          <w:rFonts w:ascii="Arial" w:cs="Arial" w:eastAsia="Arial" w:hAnsi="Arial"/>
          <w:sz w:val="20"/>
          <w:szCs w:val="20"/>
          <w:color w:val="3E3935"/>
        </w:rPr>
        <w:t xml:space="preserve">The Board has six standing committees: Audit, Executive, Executive Compensation, Finance, Governance and Corporate Responsibility, and Risk and Cybersecurity. The key responsibilities, recent activities, and focus areas of each committee, together with their current membership (not including Ms. Stephenson, who still sits on her assigned committees but is not standing for re-election at the Annual Meeting) and the number of meetings held in 2022, are set forth below. In addition to committee meetings, each committee chair regularly meets with management throughout the year to discuss and preview committee business, shape agendas, and facilitate efficient meetings. The Board Chair, Ms. Barra, and the Independent Lead Director, Ms. Russo, attend all committee meetings to serve as a resource and to identify topics requiring the Board’s attention. The Board has determined that each member of the Audit, Compensation, Finance, Governance, and Risk and Cybersecurity Committees is independent according to applicable SEC and NYSE requirements and our Corporate Governance Guidelines. Each committee’s charter is available at </w:t>
      </w:r>
      <w:r>
        <w:rPr>
          <w:rFonts w:ascii="Arial" w:cs="Arial" w:eastAsia="Arial" w:hAnsi="Arial"/>
          <w:sz w:val="20"/>
          <w:szCs w:val="20"/>
          <w:i w:val="1"/>
          <w:iCs w:val="1"/>
          <w:color w:val="00C1DE"/>
        </w:rPr>
        <w:t>investor.gm.com/esg</w:t>
      </w:r>
      <w:r>
        <w:rPr>
          <w:rFonts w:ascii="Arial" w:cs="Arial" w:eastAsia="Arial" w:hAnsi="Arial"/>
          <w:sz w:val="20"/>
          <w:szCs w:val="20"/>
          <w:color w:val="3E3935"/>
        </w:rPr>
        <w:t>.</w:t>
      </w:r>
    </w:p>
    <w:p>
      <w:pPr>
        <w:spacing w:after="0" w:line="293" w:lineRule="exact"/>
        <w:rPr>
          <w:sz w:val="20"/>
          <w:szCs w:val="20"/>
          <w:color w:val="auto"/>
        </w:rPr>
      </w:pPr>
    </w:p>
    <w:p>
      <w:pPr>
        <w:ind w:left="660" w:hanging="544"/>
        <w:spacing w:after="0"/>
        <w:tabs>
          <w:tab w:leader="none" w:pos="660" w:val="left"/>
        </w:tabs>
        <w:numPr>
          <w:ilvl w:val="0"/>
          <w:numId w:val="37"/>
        </w:numPr>
        <w:rPr>
          <w:rFonts w:ascii="Times New Roman" w:cs="Times New Roman" w:eastAsia="Times New Roman" w:hAnsi="Times New Roman"/>
          <w:sz w:val="19"/>
          <w:szCs w:val="19"/>
          <w:color w:val="0071CE"/>
        </w:rPr>
      </w:pPr>
      <w:r>
        <w:rPr>
          <w:rFonts w:ascii="Arial" w:cs="Arial" w:eastAsia="Arial" w:hAnsi="Arial"/>
          <w:sz w:val="25"/>
          <w:szCs w:val="25"/>
          <w:color w:val="3E3935"/>
        </w:rPr>
        <w:t>Board and Committee Meetings and Attendance</w:t>
      </w:r>
    </w:p>
    <w:p>
      <w:pPr>
        <w:spacing w:after="0" w:line="159" w:lineRule="exact"/>
        <w:rPr>
          <w:sz w:val="20"/>
          <w:szCs w:val="20"/>
          <w:color w:val="auto"/>
        </w:rPr>
      </w:pPr>
    </w:p>
    <w:p>
      <w:pPr>
        <w:jc w:val="both"/>
        <w:ind w:left="120"/>
        <w:spacing w:after="0" w:line="233" w:lineRule="auto"/>
        <w:rPr>
          <w:sz w:val="20"/>
          <w:szCs w:val="20"/>
          <w:color w:val="auto"/>
        </w:rPr>
      </w:pPr>
      <w:r>
        <w:rPr>
          <w:rFonts w:ascii="Arial" w:cs="Arial" w:eastAsia="Arial" w:hAnsi="Arial"/>
          <w:sz w:val="20"/>
          <w:szCs w:val="20"/>
          <w:color w:val="3E3935"/>
        </w:rPr>
        <w:t>In 2022, the Board held nine meetings and the average director attendance at Board and committee meetings was 98 percent. Each director standing for re-election attended at least 93 percent of the total meetings of the Board and the respective committees on which they served in 2022. In addition, the six Board committees held a combined 20 meetings throughout the year, focused on critical topics, including batteries and other key components of EVs; updates on the supply chain with a focus on sourcing raw materials and rare earth elements; and other sustainability issues, including over 70 specific ESG-related topics.</w:t>
      </w:r>
    </w:p>
    <w:p>
      <w:pPr>
        <w:spacing w:after="0" w:line="91" w:lineRule="exact"/>
        <w:rPr>
          <w:sz w:val="20"/>
          <w:szCs w:val="20"/>
          <w:color w:val="auto"/>
        </w:rPr>
      </w:pPr>
    </w:p>
    <w:p>
      <w:pPr>
        <w:jc w:val="both"/>
        <w:ind w:left="120" w:right="20"/>
        <w:spacing w:after="0" w:line="257" w:lineRule="auto"/>
        <w:rPr>
          <w:sz w:val="20"/>
          <w:szCs w:val="20"/>
          <w:color w:val="auto"/>
        </w:rPr>
      </w:pPr>
      <w:r>
        <w:rPr>
          <w:rFonts w:ascii="Arial" w:cs="Arial" w:eastAsia="Arial" w:hAnsi="Arial"/>
          <w:sz w:val="20"/>
          <w:szCs w:val="20"/>
          <w:color w:val="3E3935"/>
        </w:rPr>
        <w:t>Directors are encouraged to attend our annual meetings of shareholders. All directors that stood for election in 2022 attended the 2022 annual meeting.</w:t>
      </w:r>
    </w:p>
    <w:p>
      <w:pPr>
        <w:spacing w:after="0" w:line="276" w:lineRule="exact"/>
        <w:rPr>
          <w:sz w:val="20"/>
          <w:szCs w:val="20"/>
          <w:color w:val="auto"/>
        </w:rPr>
      </w:pPr>
    </w:p>
    <w:p>
      <w:pPr>
        <w:ind w:left="660" w:hanging="544"/>
        <w:spacing w:after="0"/>
        <w:tabs>
          <w:tab w:leader="none" w:pos="660" w:val="left"/>
        </w:tabs>
        <w:numPr>
          <w:ilvl w:val="0"/>
          <w:numId w:val="38"/>
        </w:numPr>
        <w:rPr>
          <w:rFonts w:ascii="Times New Roman" w:cs="Times New Roman" w:eastAsia="Times New Roman" w:hAnsi="Times New Roman"/>
          <w:sz w:val="19"/>
          <w:szCs w:val="19"/>
          <w:color w:val="0071CE"/>
        </w:rPr>
      </w:pPr>
      <w:r>
        <w:rPr>
          <w:rFonts w:ascii="Arial" w:cs="Arial" w:eastAsia="Arial" w:hAnsi="Arial"/>
          <w:sz w:val="25"/>
          <w:szCs w:val="25"/>
          <w:color w:val="3E3935"/>
        </w:rPr>
        <w:t>Executive Sessions</w:t>
      </w:r>
    </w:p>
    <w:p>
      <w:pPr>
        <w:spacing w:after="0" w:line="159" w:lineRule="exact"/>
        <w:rPr>
          <w:sz w:val="20"/>
          <w:szCs w:val="20"/>
          <w:color w:val="auto"/>
        </w:rPr>
      </w:pPr>
    </w:p>
    <w:p>
      <w:pPr>
        <w:jc w:val="both"/>
        <w:ind w:left="120"/>
        <w:spacing w:after="0" w:line="241" w:lineRule="auto"/>
        <w:rPr>
          <w:sz w:val="20"/>
          <w:szCs w:val="20"/>
          <w:color w:val="auto"/>
        </w:rPr>
      </w:pPr>
      <w:r>
        <w:rPr>
          <w:rFonts w:ascii="Arial" w:cs="Arial" w:eastAsia="Arial" w:hAnsi="Arial"/>
          <w:sz w:val="20"/>
          <w:szCs w:val="20"/>
          <w:color w:val="3E3935"/>
        </w:rPr>
        <w:t>Independent directors have an opportunity to meet in executive session without management present as part of each regularly scheduled Board and committee meeting. Executive sessions are chaired by our Independent Lead Director or the respective committee chair.</w:t>
      </w:r>
    </w:p>
    <w:p>
      <w:pPr>
        <w:spacing w:after="0" w:line="104" w:lineRule="exact"/>
        <w:rPr>
          <w:sz w:val="20"/>
          <w:szCs w:val="20"/>
          <w:color w:val="auto"/>
        </w:rPr>
      </w:pPr>
    </w:p>
    <w:p>
      <w:pPr>
        <w:jc w:val="both"/>
        <w:ind w:left="120" w:right="20"/>
        <w:spacing w:after="0" w:line="237" w:lineRule="auto"/>
        <w:rPr>
          <w:sz w:val="20"/>
          <w:szCs w:val="20"/>
          <w:color w:val="auto"/>
        </w:rPr>
      </w:pPr>
      <w:r>
        <w:rPr>
          <w:rFonts w:ascii="Arial" w:cs="Arial" w:eastAsia="Arial" w:hAnsi="Arial"/>
          <w:sz w:val="20"/>
          <w:szCs w:val="20"/>
          <w:color w:val="3E3935"/>
        </w:rPr>
        <w:t>During executive sessions of the Board, the independent directors may review CEO performance, compensation, and succession planning; strategy; key enterprise risks; future Board agendas and the flow of information to directors; corporate governance matters; and any other matters of importance to the Company raised during a meeting or otherwise presented by the independent directors.</w:t>
      </w:r>
    </w:p>
    <w:p>
      <w:pPr>
        <w:spacing w:after="0" w:line="91" w:lineRule="exact"/>
        <w:rPr>
          <w:sz w:val="20"/>
          <w:szCs w:val="20"/>
          <w:color w:val="auto"/>
        </w:rPr>
      </w:pPr>
    </w:p>
    <w:p>
      <w:pPr>
        <w:jc w:val="both"/>
        <w:ind w:left="120" w:right="20"/>
        <w:spacing w:after="0" w:line="257" w:lineRule="auto"/>
        <w:rPr>
          <w:sz w:val="20"/>
          <w:szCs w:val="20"/>
          <w:color w:val="auto"/>
        </w:rPr>
      </w:pPr>
      <w:r>
        <w:rPr>
          <w:rFonts w:ascii="Arial" w:cs="Arial" w:eastAsia="Arial" w:hAnsi="Arial"/>
          <w:sz w:val="20"/>
          <w:szCs w:val="20"/>
          <w:color w:val="3E3935"/>
        </w:rPr>
        <w:t>The non-management directors, all of whom are independent, met in executive session of the Board six times in 2022, in addition to numerous executive sessions of the committees.</w:t>
      </w:r>
    </w:p>
    <w:p>
      <w:pPr>
        <w:spacing w:after="0" w:line="276" w:lineRule="exact"/>
        <w:rPr>
          <w:sz w:val="20"/>
          <w:szCs w:val="20"/>
          <w:color w:val="auto"/>
        </w:rPr>
      </w:pPr>
    </w:p>
    <w:p>
      <w:pPr>
        <w:ind w:left="660" w:hanging="544"/>
        <w:spacing w:after="0"/>
        <w:tabs>
          <w:tab w:leader="none" w:pos="660" w:val="left"/>
        </w:tabs>
        <w:numPr>
          <w:ilvl w:val="0"/>
          <w:numId w:val="39"/>
        </w:numPr>
        <w:rPr>
          <w:rFonts w:ascii="Times New Roman" w:cs="Times New Roman" w:eastAsia="Times New Roman" w:hAnsi="Times New Roman"/>
          <w:sz w:val="19"/>
          <w:szCs w:val="19"/>
          <w:color w:val="0071CE"/>
        </w:rPr>
      </w:pPr>
      <w:r>
        <w:rPr>
          <w:rFonts w:ascii="Arial" w:cs="Arial" w:eastAsia="Arial" w:hAnsi="Arial"/>
          <w:sz w:val="25"/>
          <w:szCs w:val="25"/>
          <w:color w:val="3E3935"/>
        </w:rPr>
        <w:t>Delegation and Access to Outside Advisors</w:t>
      </w:r>
    </w:p>
    <w:p>
      <w:pPr>
        <w:spacing w:after="0" w:line="159" w:lineRule="exact"/>
        <w:rPr>
          <w:sz w:val="20"/>
          <w:szCs w:val="20"/>
          <w:color w:val="auto"/>
        </w:rPr>
      </w:pPr>
    </w:p>
    <w:p>
      <w:pPr>
        <w:jc w:val="both"/>
        <w:ind w:left="120" w:right="20"/>
        <w:spacing w:after="0" w:line="241" w:lineRule="auto"/>
        <w:rPr>
          <w:sz w:val="20"/>
          <w:szCs w:val="20"/>
          <w:color w:val="auto"/>
        </w:rPr>
      </w:pPr>
      <w:r>
        <w:rPr>
          <w:rFonts w:ascii="Arial" w:cs="Arial" w:eastAsia="Arial" w:hAnsi="Arial"/>
          <w:sz w:val="20"/>
          <w:szCs w:val="20"/>
          <w:color w:val="3E3935"/>
        </w:rPr>
        <w:t>Each committee may delegate its authority to members of management and also form and delegate authority to subcommittees consisting of one or more members when it deems it appropriate. The Board and each Board committee can select and retain the services of outside advisors at the Company’s expense.</w:t>
      </w:r>
    </w:p>
    <w:p>
      <w:pPr>
        <w:spacing w:after="0" w:line="116" w:lineRule="exact"/>
        <w:rPr>
          <w:sz w:val="20"/>
          <w:szCs w:val="20"/>
          <w:color w:val="auto"/>
        </w:rPr>
      </w:pPr>
    </w:p>
    <w:p>
      <w:pPr>
        <w:ind w:left="120"/>
        <w:spacing w:after="0"/>
        <w:rPr>
          <w:sz w:val="20"/>
          <w:szCs w:val="20"/>
          <w:color w:val="auto"/>
        </w:rPr>
      </w:pPr>
      <w:r>
        <w:rPr>
          <w:rFonts w:ascii="Arial" w:cs="Arial" w:eastAsia="Arial" w:hAnsi="Arial"/>
          <w:sz w:val="14"/>
          <w:szCs w:val="14"/>
          <w:color w:val="0071CE"/>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wp:posOffset>
            </wp:positionH>
            <wp:positionV relativeFrom="paragraph">
              <wp:posOffset>-95885</wp:posOffset>
            </wp:positionV>
            <wp:extent cx="5983605" cy="10287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5983605" cy="102870"/>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208280</wp:posOffset>
            </wp:positionV>
            <wp:extent cx="3360420" cy="3600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3360420" cy="360045"/>
                    </a:xfrm>
                    <a:prstGeom prst="rect">
                      <a:avLst/>
                    </a:prstGeom>
                    <a:noFill/>
                  </pic:spPr>
                </pic:pic>
              </a:graphicData>
            </a:graphic>
          </wp:anchor>
        </w:drawing>
      </w:r>
    </w:p>
    <w:p>
      <w:pPr>
        <w:spacing w:after="0" w:line="200" w:lineRule="exact"/>
        <w:rPr>
          <w:sz w:val="20"/>
          <w:szCs w:val="20"/>
          <w:color w:val="auto"/>
        </w:rPr>
      </w:pPr>
    </w:p>
    <w:p>
      <w:pPr>
        <w:spacing w:after="0" w:line="260" w:lineRule="exact"/>
        <w:rPr>
          <w:sz w:val="20"/>
          <w:szCs w:val="20"/>
          <w:color w:val="auto"/>
        </w:rPr>
      </w:pPr>
    </w:p>
    <w:p>
      <w:pPr>
        <w:ind w:left="2460"/>
        <w:spacing w:after="0"/>
        <w:rPr>
          <w:sz w:val="20"/>
          <w:szCs w:val="20"/>
          <w:color w:val="auto"/>
        </w:rPr>
      </w:pPr>
      <w:r>
        <w:rPr>
          <w:rFonts w:ascii="Arial" w:cs="Arial" w:eastAsia="Arial" w:hAnsi="Arial"/>
          <w:sz w:val="20"/>
          <w:szCs w:val="20"/>
          <w:b w:val="1"/>
          <w:bCs w:val="1"/>
          <w:color w:val="FFFFFF"/>
        </w:rPr>
        <w:t>AUDIT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168910</wp:posOffset>
            </wp:positionV>
            <wp:extent cx="668655" cy="6686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68655" cy="668655"/>
                    </a:xfrm>
                    <a:prstGeom prst="rect">
                      <a:avLst/>
                    </a:prstGeom>
                    <a:noFill/>
                  </pic:spPr>
                </pic:pic>
              </a:graphicData>
            </a:graphic>
          </wp:anchor>
        </w:drawing>
      </w:r>
    </w:p>
    <w:p>
      <w:pPr>
        <w:spacing w:after="0" w:line="278" w:lineRule="exact"/>
        <w:rPr>
          <w:sz w:val="20"/>
          <w:szCs w:val="20"/>
          <w:color w:val="auto"/>
        </w:rPr>
      </w:pPr>
    </w:p>
    <w:tbl>
      <w:tblPr>
        <w:tblLayout w:type="fixed"/>
        <w:tblInd w:w="120" w:type="dxa"/>
        <w:tblCellMar>
          <w:top w:w="0" w:type="dxa"/>
          <w:left w:w="0" w:type="dxa"/>
          <w:bottom w:w="0" w:type="dxa"/>
          <w:right w:w="0" w:type="dxa"/>
        </w:tblCellMar>
      </w:tblPr>
      <w:tr>
        <w:trPr>
          <w:trHeight w:val="230"/>
        </w:trPr>
        <w:tc>
          <w:tcPr>
            <w:tcW w:w="2140" w:type="dxa"/>
            <w:vAlign w:val="bottom"/>
          </w:tcPr>
          <w:p>
            <w:pPr>
              <w:spacing w:after="0"/>
              <w:rPr>
                <w:sz w:val="19"/>
                <w:szCs w:val="19"/>
                <w:color w:val="auto"/>
              </w:rPr>
            </w:pPr>
          </w:p>
        </w:tc>
        <w:tc>
          <w:tcPr>
            <w:tcW w:w="2460" w:type="dxa"/>
            <w:vAlign w:val="bottom"/>
          </w:tcPr>
          <w:p>
            <w:pPr>
              <w:ind w:left="180"/>
              <w:spacing w:after="0"/>
              <w:rPr>
                <w:sz w:val="20"/>
                <w:szCs w:val="20"/>
                <w:color w:val="auto"/>
              </w:rPr>
            </w:pPr>
            <w:r>
              <w:rPr>
                <w:rFonts w:ascii="Arial" w:cs="Arial" w:eastAsia="Arial" w:hAnsi="Arial"/>
                <w:sz w:val="20"/>
                <w:szCs w:val="20"/>
                <w:color w:val="3E3935"/>
              </w:rPr>
              <w:t>Wesley G. Bush</w:t>
            </w:r>
          </w:p>
        </w:tc>
        <w:tc>
          <w:tcPr>
            <w:tcW w:w="0" w:type="dxa"/>
            <w:vAlign w:val="bottom"/>
          </w:tcPr>
          <w:p>
            <w:pPr>
              <w:spacing w:after="0"/>
              <w:rPr>
                <w:sz w:val="1"/>
                <w:szCs w:val="1"/>
                <w:color w:val="auto"/>
              </w:rPr>
            </w:pPr>
          </w:p>
        </w:tc>
      </w:tr>
      <w:tr>
        <w:trPr>
          <w:trHeight w:val="216"/>
        </w:trPr>
        <w:tc>
          <w:tcPr>
            <w:tcW w:w="2140" w:type="dxa"/>
            <w:vAlign w:val="bottom"/>
          </w:tcPr>
          <w:p>
            <w:pPr>
              <w:spacing w:after="0"/>
              <w:rPr>
                <w:sz w:val="18"/>
                <w:szCs w:val="18"/>
                <w:color w:val="auto"/>
              </w:rPr>
            </w:pPr>
          </w:p>
        </w:tc>
        <w:tc>
          <w:tcPr>
            <w:tcW w:w="2460" w:type="dxa"/>
            <w:vAlign w:val="bottom"/>
          </w:tcPr>
          <w:p>
            <w:pPr>
              <w:ind w:left="180"/>
              <w:spacing w:after="0" w:line="216" w:lineRule="exact"/>
              <w:rPr>
                <w:sz w:val="20"/>
                <w:szCs w:val="20"/>
                <w:color w:val="auto"/>
              </w:rPr>
            </w:pPr>
            <w:r>
              <w:rPr>
                <w:rFonts w:ascii="Arial" w:cs="Arial" w:eastAsia="Arial" w:hAnsi="Arial"/>
                <w:sz w:val="20"/>
                <w:szCs w:val="20"/>
                <w:color w:val="3E3935"/>
              </w:rPr>
              <w:t>Joanne C. Crevoiserat</w:t>
            </w:r>
          </w:p>
        </w:tc>
        <w:tc>
          <w:tcPr>
            <w:tcW w:w="0" w:type="dxa"/>
            <w:vAlign w:val="bottom"/>
          </w:tcPr>
          <w:p>
            <w:pPr>
              <w:spacing w:after="0"/>
              <w:rPr>
                <w:sz w:val="1"/>
                <w:szCs w:val="1"/>
                <w:color w:val="auto"/>
              </w:rPr>
            </w:pPr>
          </w:p>
        </w:tc>
      </w:tr>
      <w:tr>
        <w:trPr>
          <w:trHeight w:val="216"/>
        </w:trPr>
        <w:tc>
          <w:tcPr>
            <w:tcW w:w="2140" w:type="dxa"/>
            <w:vAlign w:val="bottom"/>
          </w:tcPr>
          <w:p>
            <w:pPr>
              <w:spacing w:after="0"/>
              <w:rPr>
                <w:sz w:val="18"/>
                <w:szCs w:val="18"/>
                <w:color w:val="auto"/>
              </w:rPr>
            </w:pPr>
          </w:p>
        </w:tc>
        <w:tc>
          <w:tcPr>
            <w:tcW w:w="2460" w:type="dxa"/>
            <w:vAlign w:val="bottom"/>
          </w:tcPr>
          <w:p>
            <w:pPr>
              <w:ind w:left="180"/>
              <w:spacing w:after="0" w:line="216" w:lineRule="exact"/>
              <w:rPr>
                <w:sz w:val="20"/>
                <w:szCs w:val="20"/>
                <w:color w:val="auto"/>
              </w:rPr>
            </w:pPr>
            <w:r>
              <w:rPr>
                <w:rFonts w:ascii="Arial" w:cs="Arial" w:eastAsia="Arial" w:hAnsi="Arial"/>
                <w:sz w:val="20"/>
                <w:szCs w:val="20"/>
                <w:color w:val="3E3935"/>
              </w:rPr>
              <w:t>Linda R. Gooden</w:t>
            </w:r>
          </w:p>
        </w:tc>
        <w:tc>
          <w:tcPr>
            <w:tcW w:w="0" w:type="dxa"/>
            <w:vAlign w:val="bottom"/>
          </w:tcPr>
          <w:p>
            <w:pPr>
              <w:spacing w:after="0"/>
              <w:rPr>
                <w:sz w:val="1"/>
                <w:szCs w:val="1"/>
                <w:color w:val="auto"/>
              </w:rPr>
            </w:pPr>
          </w:p>
        </w:tc>
      </w:tr>
      <w:tr>
        <w:trPr>
          <w:trHeight w:val="216"/>
        </w:trPr>
        <w:tc>
          <w:tcPr>
            <w:tcW w:w="2140" w:type="dxa"/>
            <w:vAlign w:val="bottom"/>
          </w:tcPr>
          <w:p>
            <w:pPr>
              <w:spacing w:after="0"/>
              <w:rPr>
                <w:sz w:val="18"/>
                <w:szCs w:val="18"/>
                <w:color w:val="auto"/>
              </w:rPr>
            </w:pPr>
          </w:p>
        </w:tc>
        <w:tc>
          <w:tcPr>
            <w:tcW w:w="2460" w:type="dxa"/>
            <w:vAlign w:val="bottom"/>
          </w:tcPr>
          <w:p>
            <w:pPr>
              <w:ind w:left="180"/>
              <w:spacing w:after="0" w:line="216" w:lineRule="exact"/>
              <w:rPr>
                <w:sz w:val="20"/>
                <w:szCs w:val="20"/>
                <w:color w:val="auto"/>
              </w:rPr>
            </w:pPr>
            <w:r>
              <w:rPr>
                <w:rFonts w:ascii="Arial" w:cs="Arial" w:eastAsia="Arial" w:hAnsi="Arial"/>
                <w:sz w:val="20"/>
                <w:szCs w:val="20"/>
                <w:color w:val="3E3935"/>
              </w:rPr>
              <w:t>Thomas M. Schoewe</w:t>
            </w:r>
          </w:p>
        </w:tc>
        <w:tc>
          <w:tcPr>
            <w:tcW w:w="0" w:type="dxa"/>
            <w:vAlign w:val="bottom"/>
          </w:tcPr>
          <w:p>
            <w:pPr>
              <w:spacing w:after="0"/>
              <w:rPr>
                <w:sz w:val="1"/>
                <w:szCs w:val="1"/>
                <w:color w:val="auto"/>
              </w:rPr>
            </w:pPr>
          </w:p>
        </w:tc>
      </w:tr>
      <w:tr>
        <w:trPr>
          <w:trHeight w:val="261"/>
        </w:trPr>
        <w:tc>
          <w:tcPr>
            <w:tcW w:w="2140" w:type="dxa"/>
            <w:vAlign w:val="bottom"/>
            <w:vMerge w:val="restart"/>
          </w:tcPr>
          <w:p>
            <w:pPr>
              <w:spacing w:after="0"/>
              <w:rPr>
                <w:sz w:val="20"/>
                <w:szCs w:val="20"/>
                <w:color w:val="auto"/>
              </w:rPr>
            </w:pPr>
            <w:r>
              <w:rPr>
                <w:rFonts w:ascii="Arial" w:cs="Arial" w:eastAsia="Arial" w:hAnsi="Arial"/>
                <w:sz w:val="20"/>
                <w:szCs w:val="20"/>
                <w:b w:val="1"/>
                <w:bCs w:val="1"/>
                <w:color w:val="0071CE"/>
              </w:rPr>
              <w:t>Thomas M. Schoewe</w:t>
            </w:r>
          </w:p>
        </w:tc>
        <w:tc>
          <w:tcPr>
            <w:tcW w:w="2460" w:type="dxa"/>
            <w:vAlign w:val="bottom"/>
          </w:tcPr>
          <w:p>
            <w:pPr>
              <w:ind w:left="180"/>
              <w:spacing w:after="0"/>
              <w:rPr>
                <w:sz w:val="20"/>
                <w:szCs w:val="20"/>
                <w:color w:val="auto"/>
              </w:rPr>
            </w:pPr>
            <w:r>
              <w:rPr>
                <w:rFonts w:ascii="Arial" w:cs="Arial" w:eastAsia="Arial" w:hAnsi="Arial"/>
                <w:sz w:val="20"/>
                <w:szCs w:val="20"/>
                <w:color w:val="3E3935"/>
              </w:rPr>
              <w:t>Mark A. Tatum</w:t>
            </w:r>
          </w:p>
        </w:tc>
        <w:tc>
          <w:tcPr>
            <w:tcW w:w="0" w:type="dxa"/>
            <w:vAlign w:val="bottom"/>
          </w:tcPr>
          <w:p>
            <w:pPr>
              <w:spacing w:after="0"/>
              <w:rPr>
                <w:sz w:val="1"/>
                <w:szCs w:val="1"/>
                <w:color w:val="auto"/>
              </w:rPr>
            </w:pPr>
          </w:p>
        </w:tc>
      </w:tr>
      <w:tr>
        <w:trPr>
          <w:trHeight w:val="155"/>
        </w:trPr>
        <w:tc>
          <w:tcPr>
            <w:tcW w:w="2140" w:type="dxa"/>
            <w:vAlign w:val="bottom"/>
            <w:vMerge w:val="continue"/>
          </w:tcPr>
          <w:p>
            <w:pPr>
              <w:spacing w:after="0"/>
              <w:rPr>
                <w:sz w:val="13"/>
                <w:szCs w:val="13"/>
                <w:color w:val="auto"/>
              </w:rPr>
            </w:pPr>
          </w:p>
        </w:tc>
        <w:tc>
          <w:tcPr>
            <w:tcW w:w="2460" w:type="dxa"/>
            <w:vAlign w:val="bottom"/>
            <w:vMerge w:val="restart"/>
          </w:tcPr>
          <w:p>
            <w:pPr>
              <w:ind w:left="180"/>
              <w:spacing w:after="0"/>
              <w:rPr>
                <w:sz w:val="20"/>
                <w:szCs w:val="20"/>
                <w:color w:val="auto"/>
              </w:rPr>
            </w:pPr>
            <w:r>
              <w:rPr>
                <w:rFonts w:ascii="Arial" w:cs="Arial" w:eastAsia="Arial" w:hAnsi="Arial"/>
                <w:sz w:val="20"/>
                <w:szCs w:val="20"/>
                <w:b w:val="1"/>
                <w:bCs w:val="1"/>
                <w:i w:val="1"/>
                <w:iCs w:val="1"/>
                <w:color w:val="00C1DE"/>
                <w:w w:val="98"/>
              </w:rPr>
              <w:t>Meetings held in 2022: 8</w:t>
            </w:r>
          </w:p>
        </w:tc>
        <w:tc>
          <w:tcPr>
            <w:tcW w:w="0" w:type="dxa"/>
            <w:vAlign w:val="bottom"/>
          </w:tcPr>
          <w:p>
            <w:pPr>
              <w:spacing w:after="0"/>
              <w:rPr>
                <w:sz w:val="1"/>
                <w:szCs w:val="1"/>
                <w:color w:val="auto"/>
              </w:rPr>
            </w:pPr>
          </w:p>
        </w:tc>
      </w:tr>
      <w:tr>
        <w:trPr>
          <w:trHeight w:val="273"/>
        </w:trPr>
        <w:tc>
          <w:tcPr>
            <w:tcW w:w="2140" w:type="dxa"/>
            <w:vAlign w:val="bottom"/>
          </w:tcPr>
          <w:p>
            <w:pPr>
              <w:spacing w:after="0"/>
              <w:rPr>
                <w:sz w:val="20"/>
                <w:szCs w:val="20"/>
                <w:color w:val="auto"/>
              </w:rPr>
            </w:pPr>
            <w:r>
              <w:rPr>
                <w:rFonts w:ascii="Arial" w:cs="Arial" w:eastAsia="Arial" w:hAnsi="Arial"/>
                <w:sz w:val="20"/>
                <w:szCs w:val="20"/>
                <w:b w:val="1"/>
                <w:bCs w:val="1"/>
                <w:color w:val="0071CE"/>
              </w:rPr>
              <w:t>Chair</w:t>
            </w:r>
          </w:p>
        </w:tc>
        <w:tc>
          <w:tcPr>
            <w:tcW w:w="246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30480</wp:posOffset>
            </wp:positionV>
            <wp:extent cx="336042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3360420" cy="8255"/>
                    </a:xfrm>
                    <a:prstGeom prst="rect">
                      <a:avLst/>
                    </a:prstGeom>
                    <a:noFill/>
                  </pic:spPr>
                </pic:pic>
              </a:graphicData>
            </a:graphic>
          </wp:anchor>
        </w:drawing>
      </w:r>
    </w:p>
    <w:p>
      <w:pPr>
        <w:spacing w:after="0" w:line="100" w:lineRule="exact"/>
        <w:rPr>
          <w:sz w:val="20"/>
          <w:szCs w:val="20"/>
          <w:color w:val="auto"/>
        </w:rPr>
      </w:pPr>
    </w:p>
    <w:p>
      <w:pPr>
        <w:ind w:left="120"/>
        <w:spacing w:after="0"/>
        <w:rPr>
          <w:sz w:val="20"/>
          <w:szCs w:val="20"/>
          <w:color w:val="auto"/>
        </w:rPr>
      </w:pPr>
      <w:r>
        <w:rPr>
          <w:rFonts w:ascii="Arial" w:cs="Arial" w:eastAsia="Arial" w:hAnsi="Arial"/>
          <w:sz w:val="20"/>
          <w:szCs w:val="20"/>
          <w:b w:val="1"/>
          <w:bCs w:val="1"/>
          <w:i w:val="1"/>
          <w:iCs w:val="1"/>
          <w:color w:val="00C1DE"/>
        </w:rPr>
        <w:t>Key Responsibilities:</w:t>
      </w:r>
    </w:p>
    <w:p>
      <w:pPr>
        <w:spacing w:after="0" w:line="18" w:lineRule="exact"/>
        <w:rPr>
          <w:sz w:val="20"/>
          <w:szCs w:val="20"/>
          <w:color w:val="auto"/>
        </w:rPr>
      </w:pPr>
    </w:p>
    <w:p>
      <w:pPr>
        <w:jc w:val="both"/>
        <w:ind w:left="340" w:hanging="224"/>
        <w:spacing w:after="0" w:line="262" w:lineRule="auto"/>
        <w:tabs>
          <w:tab w:leader="none" w:pos="257" w:val="left"/>
        </w:tabs>
        <w:numPr>
          <w:ilvl w:val="0"/>
          <w:numId w:val="40"/>
        </w:numPr>
        <w:rPr>
          <w:rFonts w:ascii="Times New Roman" w:cs="Times New Roman" w:eastAsia="Times New Roman" w:hAnsi="Times New Roman"/>
          <w:sz w:val="20"/>
          <w:szCs w:val="20"/>
          <w:color w:val="00C1DE"/>
        </w:rPr>
      </w:pPr>
      <w:r>
        <w:rPr>
          <w:rFonts w:ascii="Arial" w:cs="Arial" w:eastAsia="Arial" w:hAnsi="Arial"/>
          <w:sz w:val="20"/>
          <w:szCs w:val="20"/>
          <w:color w:val="00C1DE"/>
        </w:rPr>
        <w:t>  </w:t>
      </w:r>
      <w:r>
        <w:rPr>
          <w:rFonts w:ascii="Arial" w:cs="Arial" w:eastAsia="Arial" w:hAnsi="Arial"/>
          <w:sz w:val="20"/>
          <w:szCs w:val="20"/>
          <w:color w:val="3E3935"/>
        </w:rPr>
        <w:t>Monitors the effectiveness of GM’s financial reporting</w:t>
      </w:r>
      <w:r>
        <w:rPr>
          <w:rFonts w:ascii="Arial" w:cs="Arial" w:eastAsia="Arial" w:hAnsi="Arial"/>
          <w:sz w:val="20"/>
          <w:szCs w:val="20"/>
          <w:color w:val="00C1DE"/>
        </w:rPr>
        <w:t xml:space="preserve"> </w:t>
      </w:r>
      <w:r>
        <w:rPr>
          <w:rFonts w:ascii="Arial" w:cs="Arial" w:eastAsia="Arial" w:hAnsi="Arial"/>
          <w:sz w:val="20"/>
          <w:szCs w:val="20"/>
          <w:color w:val="3E3935"/>
        </w:rPr>
        <w:t>processes and systems, as well as disclosure and internal controls;</w:t>
      </w:r>
    </w:p>
    <w:p>
      <w:pPr>
        <w:spacing w:after="0" w:line="1" w:lineRule="exact"/>
        <w:rPr>
          <w:rFonts w:ascii="Times New Roman" w:cs="Times New Roman" w:eastAsia="Times New Roman" w:hAnsi="Times New Roman"/>
          <w:sz w:val="20"/>
          <w:szCs w:val="20"/>
          <w:color w:val="00C1DE"/>
        </w:rPr>
      </w:pPr>
    </w:p>
    <w:p>
      <w:pPr>
        <w:ind w:left="340" w:hanging="224"/>
        <w:spacing w:after="0" w:line="260" w:lineRule="auto"/>
        <w:tabs>
          <w:tab w:leader="none" w:pos="257" w:val="left"/>
        </w:tabs>
        <w:numPr>
          <w:ilvl w:val="0"/>
          <w:numId w:val="40"/>
        </w:numPr>
        <w:rPr>
          <w:rFonts w:ascii="Times New Roman" w:cs="Times New Roman" w:eastAsia="Times New Roman" w:hAnsi="Times New Roman"/>
          <w:sz w:val="20"/>
          <w:szCs w:val="20"/>
          <w:color w:val="00C1DE"/>
        </w:rPr>
      </w:pPr>
      <w:r>
        <w:rPr>
          <w:rFonts w:ascii="Arial" w:cs="Arial" w:eastAsia="Arial" w:hAnsi="Arial"/>
          <w:sz w:val="20"/>
          <w:szCs w:val="20"/>
          <w:color w:val="00C1DE"/>
        </w:rPr>
        <w:t>  </w:t>
      </w:r>
      <w:r>
        <w:rPr>
          <w:rFonts w:ascii="Arial" w:cs="Arial" w:eastAsia="Arial" w:hAnsi="Arial"/>
          <w:sz w:val="20"/>
          <w:szCs w:val="20"/>
          <w:color w:val="3E3935"/>
        </w:rPr>
        <w:t>Selects and engages GM’s external auditors and</w:t>
      </w:r>
      <w:r>
        <w:rPr>
          <w:rFonts w:ascii="Arial" w:cs="Arial" w:eastAsia="Arial" w:hAnsi="Arial"/>
          <w:sz w:val="20"/>
          <w:szCs w:val="20"/>
          <w:color w:val="00C1DE"/>
        </w:rPr>
        <w:t xml:space="preserve"> </w:t>
      </w:r>
      <w:r>
        <w:rPr>
          <w:rFonts w:ascii="Arial" w:cs="Arial" w:eastAsia="Arial" w:hAnsi="Arial"/>
          <w:sz w:val="20"/>
          <w:szCs w:val="20"/>
          <w:color w:val="3E3935"/>
        </w:rPr>
        <w:t>reviews and evaluates the audit process;</w:t>
      </w:r>
    </w:p>
    <w:p>
      <w:pPr>
        <w:ind w:left="340" w:hanging="215"/>
        <w:spacing w:after="0" w:line="259" w:lineRule="auto"/>
        <w:rPr>
          <w:sz w:val="20"/>
          <w:szCs w:val="20"/>
          <w:color w:val="auto"/>
        </w:rPr>
      </w:pPr>
      <w:r>
        <w:rPr>
          <w:rFonts w:ascii="Times New Roman" w:cs="Times New Roman" w:eastAsia="Times New Roman" w:hAnsi="Times New Roman"/>
          <w:sz w:val="20"/>
          <w:szCs w:val="20"/>
          <w:color w:val="00C1DE"/>
        </w:rPr>
        <w:t>●</w:t>
      </w:r>
      <w:r>
        <w:rPr>
          <w:rFonts w:ascii="Arial" w:cs="Arial" w:eastAsia="Arial" w:hAnsi="Arial"/>
          <w:sz w:val="20"/>
          <w:szCs w:val="20"/>
          <w:color w:val="00C1DE"/>
        </w:rPr>
        <w:t>  </w:t>
      </w:r>
      <w:r>
        <w:rPr>
          <w:rFonts w:ascii="Arial" w:cs="Arial" w:eastAsia="Arial" w:hAnsi="Arial"/>
          <w:sz w:val="20"/>
          <w:szCs w:val="20"/>
          <w:color w:val="3E3935"/>
        </w:rPr>
        <w:t>Reviews and evaluates the scope and performance of</w:t>
      </w:r>
      <w:r>
        <w:rPr>
          <w:rFonts w:ascii="Times New Roman" w:cs="Times New Roman" w:eastAsia="Times New Roman" w:hAnsi="Times New Roman"/>
          <w:sz w:val="20"/>
          <w:szCs w:val="20"/>
          <w:color w:val="00C1DE"/>
        </w:rPr>
        <w:t xml:space="preserve"> </w:t>
      </w:r>
      <w:r>
        <w:rPr>
          <w:rFonts w:ascii="Arial" w:cs="Arial" w:eastAsia="Arial" w:hAnsi="Arial"/>
          <w:sz w:val="20"/>
          <w:szCs w:val="20"/>
          <w:color w:val="3E3935"/>
        </w:rPr>
        <w:t>the internal audit function;</w:t>
      </w:r>
    </w:p>
    <w:p>
      <w:pPr>
        <w:spacing w:after="0" w:line="1" w:lineRule="exact"/>
        <w:rPr>
          <w:sz w:val="20"/>
          <w:szCs w:val="20"/>
          <w:color w:val="auto"/>
        </w:rPr>
      </w:pPr>
    </w:p>
    <w:p>
      <w:pPr>
        <w:jc w:val="both"/>
        <w:ind w:left="340" w:hanging="224"/>
        <w:spacing w:after="0" w:line="263" w:lineRule="auto"/>
        <w:tabs>
          <w:tab w:leader="none" w:pos="271" w:val="left"/>
        </w:tabs>
        <w:numPr>
          <w:ilvl w:val="0"/>
          <w:numId w:val="41"/>
        </w:numPr>
        <w:rPr>
          <w:rFonts w:ascii="Times New Roman" w:cs="Times New Roman" w:eastAsia="Times New Roman" w:hAnsi="Times New Roman"/>
          <w:sz w:val="20"/>
          <w:szCs w:val="20"/>
          <w:color w:val="00C1DE"/>
        </w:rPr>
      </w:pPr>
      <w:r>
        <w:rPr>
          <w:rFonts w:ascii="Arial" w:cs="Arial" w:eastAsia="Arial" w:hAnsi="Arial"/>
          <w:sz w:val="20"/>
          <w:szCs w:val="20"/>
          <w:color w:val="00C1DE"/>
        </w:rPr>
        <w:t>  </w:t>
      </w:r>
      <w:r>
        <w:rPr>
          <w:rFonts w:ascii="Arial" w:cs="Arial" w:eastAsia="Arial" w:hAnsi="Arial"/>
          <w:sz w:val="20"/>
          <w:szCs w:val="20"/>
          <w:color w:val="3E3935"/>
        </w:rPr>
        <w:t>Facilitates ongoing communications about GM’s</w:t>
      </w:r>
      <w:r>
        <w:rPr>
          <w:rFonts w:ascii="Arial" w:cs="Arial" w:eastAsia="Arial" w:hAnsi="Arial"/>
          <w:sz w:val="20"/>
          <w:szCs w:val="20"/>
          <w:color w:val="00C1DE"/>
        </w:rPr>
        <w:t xml:space="preserve"> </w:t>
      </w:r>
      <w:r>
        <w:rPr>
          <w:rFonts w:ascii="Arial" w:cs="Arial" w:eastAsia="Arial" w:hAnsi="Arial"/>
          <w:sz w:val="20"/>
          <w:szCs w:val="20"/>
          <w:color w:val="3E3935"/>
        </w:rPr>
        <w:t>financial position and affairs among the Board and the external auditors, GM’s financial and senior management, and GM’s internal audit staff;</w:t>
      </w:r>
    </w:p>
    <w:p>
      <w:pPr>
        <w:spacing w:after="0" w:line="3" w:lineRule="exact"/>
        <w:rPr>
          <w:rFonts w:ascii="Times New Roman" w:cs="Times New Roman" w:eastAsia="Times New Roman" w:hAnsi="Times New Roman"/>
          <w:sz w:val="20"/>
          <w:szCs w:val="20"/>
          <w:color w:val="00C1DE"/>
        </w:rPr>
      </w:pPr>
    </w:p>
    <w:p>
      <w:pPr>
        <w:jc w:val="both"/>
        <w:ind w:left="340" w:hanging="224"/>
        <w:spacing w:after="0" w:line="262" w:lineRule="auto"/>
        <w:tabs>
          <w:tab w:leader="none" w:pos="284" w:val="left"/>
        </w:tabs>
        <w:numPr>
          <w:ilvl w:val="0"/>
          <w:numId w:val="41"/>
        </w:numPr>
        <w:rPr>
          <w:rFonts w:ascii="Times New Roman" w:cs="Times New Roman" w:eastAsia="Times New Roman" w:hAnsi="Times New Roman"/>
          <w:sz w:val="20"/>
          <w:szCs w:val="20"/>
          <w:color w:val="00C1DE"/>
        </w:rPr>
      </w:pPr>
      <w:r>
        <w:rPr>
          <w:rFonts w:ascii="Arial" w:cs="Arial" w:eastAsia="Arial" w:hAnsi="Arial"/>
          <w:sz w:val="20"/>
          <w:szCs w:val="20"/>
          <w:color w:val="00C1DE"/>
        </w:rPr>
        <w:t>  </w:t>
      </w:r>
      <w:r>
        <w:rPr>
          <w:rFonts w:ascii="Arial" w:cs="Arial" w:eastAsia="Arial" w:hAnsi="Arial"/>
          <w:sz w:val="20"/>
          <w:szCs w:val="20"/>
          <w:color w:val="3E3935"/>
        </w:rPr>
        <w:t>Reviews GM’s policies and procedures regarding</w:t>
      </w:r>
      <w:r>
        <w:rPr>
          <w:rFonts w:ascii="Arial" w:cs="Arial" w:eastAsia="Arial" w:hAnsi="Arial"/>
          <w:sz w:val="20"/>
          <w:szCs w:val="20"/>
          <w:color w:val="00C1DE"/>
        </w:rPr>
        <w:t xml:space="preserve"> </w:t>
      </w:r>
      <w:r>
        <w:rPr>
          <w:rFonts w:ascii="Arial" w:cs="Arial" w:eastAsia="Arial" w:hAnsi="Arial"/>
          <w:sz w:val="20"/>
          <w:szCs w:val="20"/>
          <w:color w:val="3E3935"/>
        </w:rPr>
        <w:t>ethics and compliance, including the office of the Chief Compliance Officer;</w:t>
      </w:r>
    </w:p>
    <w:p>
      <w:pPr>
        <w:spacing w:after="0" w:line="1" w:lineRule="exact"/>
        <w:rPr>
          <w:rFonts w:ascii="Times New Roman" w:cs="Times New Roman" w:eastAsia="Times New Roman" w:hAnsi="Times New Roman"/>
          <w:sz w:val="20"/>
          <w:szCs w:val="20"/>
          <w:color w:val="00C1DE"/>
        </w:rPr>
      </w:pPr>
    </w:p>
    <w:p>
      <w:pPr>
        <w:jc w:val="both"/>
        <w:ind w:left="340" w:hanging="224"/>
        <w:spacing w:after="0" w:line="262" w:lineRule="auto"/>
        <w:tabs>
          <w:tab w:leader="none" w:pos="257" w:val="left"/>
        </w:tabs>
        <w:numPr>
          <w:ilvl w:val="0"/>
          <w:numId w:val="41"/>
        </w:numPr>
        <w:rPr>
          <w:rFonts w:ascii="Times New Roman" w:cs="Times New Roman" w:eastAsia="Times New Roman" w:hAnsi="Times New Roman"/>
          <w:sz w:val="20"/>
          <w:szCs w:val="20"/>
          <w:color w:val="00C1DE"/>
        </w:rPr>
      </w:pPr>
      <w:r>
        <w:rPr>
          <w:rFonts w:ascii="Arial" w:cs="Arial" w:eastAsia="Arial" w:hAnsi="Arial"/>
          <w:sz w:val="20"/>
          <w:szCs w:val="20"/>
          <w:color w:val="00C1DE"/>
        </w:rPr>
        <w:t>  </w:t>
      </w:r>
      <w:r>
        <w:rPr>
          <w:rFonts w:ascii="Arial" w:cs="Arial" w:eastAsia="Arial" w:hAnsi="Arial"/>
          <w:sz w:val="20"/>
          <w:szCs w:val="20"/>
          <w:color w:val="3E3935"/>
        </w:rPr>
        <w:t>Reviews GM’s ESG reporting processes and control</w:t>
      </w:r>
      <w:r>
        <w:rPr>
          <w:rFonts w:ascii="Arial" w:cs="Arial" w:eastAsia="Arial" w:hAnsi="Arial"/>
          <w:sz w:val="20"/>
          <w:szCs w:val="20"/>
          <w:color w:val="00C1DE"/>
        </w:rPr>
        <w:t xml:space="preserve"> </w:t>
      </w:r>
      <w:r>
        <w:rPr>
          <w:rFonts w:ascii="Arial" w:cs="Arial" w:eastAsia="Arial" w:hAnsi="Arial"/>
          <w:sz w:val="20"/>
          <w:szCs w:val="20"/>
          <w:color w:val="3E3935"/>
        </w:rPr>
        <w:t>procedures and annually approves GM’s Sustainability Report (along with the Governance Committee); and</w:t>
      </w:r>
    </w:p>
    <w:p>
      <w:pPr>
        <w:spacing w:after="0" w:line="2" w:lineRule="exact"/>
        <w:rPr>
          <w:sz w:val="20"/>
          <w:szCs w:val="20"/>
          <w:color w:val="auto"/>
        </w:rPr>
      </w:pPr>
    </w:p>
    <w:p>
      <w:pPr>
        <w:jc w:val="both"/>
        <w:ind w:left="340" w:hanging="215"/>
        <w:spacing w:after="0" w:line="285" w:lineRule="auto"/>
        <w:rPr>
          <w:sz w:val="20"/>
          <w:szCs w:val="20"/>
          <w:color w:val="auto"/>
        </w:rPr>
      </w:pPr>
      <w:r>
        <w:rPr>
          <w:rFonts w:ascii="Times New Roman" w:cs="Times New Roman" w:eastAsia="Times New Roman" w:hAnsi="Times New Roman"/>
          <w:sz w:val="20"/>
          <w:szCs w:val="20"/>
          <w:color w:val="00C1DE"/>
        </w:rPr>
        <w:t>●</w:t>
      </w:r>
      <w:r>
        <w:rPr>
          <w:rFonts w:ascii="Arial" w:cs="Arial" w:eastAsia="Arial" w:hAnsi="Arial"/>
          <w:sz w:val="20"/>
          <w:szCs w:val="20"/>
          <w:color w:val="00C1DE"/>
        </w:rPr>
        <w:t>  </w:t>
      </w:r>
      <w:r>
        <w:rPr>
          <w:rFonts w:ascii="Arial" w:cs="Arial" w:eastAsia="Arial" w:hAnsi="Arial"/>
          <w:sz w:val="20"/>
          <w:szCs w:val="20"/>
          <w:color w:val="3E3935"/>
        </w:rPr>
        <w:t>Oversees</w:t>
      </w:r>
      <w:r>
        <w:rPr>
          <w:sz w:val="20"/>
          <w:szCs w:val="20"/>
          <w:color w:val="auto"/>
        </w:rPr>
        <w:t xml:space="preserve"> </w:t>
      </w:r>
      <w:r>
        <w:rPr>
          <w:rFonts w:ascii="Arial" w:cs="Arial" w:eastAsia="Arial" w:hAnsi="Arial"/>
          <w:sz w:val="20"/>
          <w:szCs w:val="20"/>
          <w:color w:val="3E3935"/>
        </w:rPr>
        <w:t>the preparation of the Audit Committee Report and related disclosures for the annual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229870</wp:posOffset>
            </wp:positionV>
            <wp:extent cx="2888615" cy="154305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2888615" cy="15430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1247"/>
        <w:spacing w:after="0"/>
        <w:rPr>
          <w:sz w:val="20"/>
          <w:szCs w:val="20"/>
          <w:color w:val="auto"/>
        </w:rPr>
      </w:pPr>
      <w:r>
        <w:rPr>
          <w:rFonts w:ascii="Arial" w:cs="Arial" w:eastAsia="Arial" w:hAnsi="Arial"/>
          <w:sz w:val="20"/>
          <w:szCs w:val="20"/>
          <w:b w:val="1"/>
          <w:bCs w:val="1"/>
          <w:color w:val="FFFFFF"/>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-3723640</wp:posOffset>
            </wp:positionH>
            <wp:positionV relativeFrom="paragraph">
              <wp:posOffset>-798830</wp:posOffset>
            </wp:positionV>
            <wp:extent cx="7174865" cy="552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74865" cy="55245"/>
                    </a:xfrm>
                    <a:prstGeom prst="rect">
                      <a:avLst/>
                    </a:prstGeom>
                    <a:noFill/>
                  </pic:spPr>
                </pic:pic>
              </a:graphicData>
            </a:graphic>
          </wp:anchor>
        </w:drawing>
        <w:drawing>
          <wp:anchor simplePos="0" relativeHeight="251657728" behindDoc="1" locked="0" layoutInCell="0" allowOverlap="1">
            <wp:simplePos x="0" y="0"/>
            <wp:positionH relativeFrom="column">
              <wp:posOffset>-67945</wp:posOffset>
            </wp:positionH>
            <wp:positionV relativeFrom="paragraph">
              <wp:posOffset>-241935</wp:posOffset>
            </wp:positionV>
            <wp:extent cx="3420110" cy="3600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3420110" cy="360045"/>
                    </a:xfrm>
                    <a:prstGeom prst="rect">
                      <a:avLst/>
                    </a:prstGeom>
                    <a:noFill/>
                  </pic:spPr>
                </pic:pic>
              </a:graphicData>
            </a:graphic>
          </wp:anchor>
        </w:drawing>
      </w:r>
    </w:p>
    <w:p>
      <w:pPr>
        <w:spacing w:after="0" w:line="197" w:lineRule="exact"/>
        <w:rPr>
          <w:sz w:val="20"/>
          <w:szCs w:val="20"/>
          <w:color w:val="auto"/>
        </w:rPr>
      </w:pPr>
    </w:p>
    <w:tbl>
      <w:tblPr>
        <w:tblLayout w:type="fixed"/>
        <w:tblInd w:w="7" w:type="dxa"/>
        <w:tblCellMar>
          <w:top w:w="0" w:type="dxa"/>
          <w:left w:w="0" w:type="dxa"/>
          <w:bottom w:w="0" w:type="dxa"/>
          <w:right w:w="0" w:type="dxa"/>
        </w:tblCellMar>
      </w:tblPr>
      <w:tr>
        <w:trPr>
          <w:trHeight w:val="230"/>
        </w:trPr>
        <w:tc>
          <w:tcPr>
            <w:tcW w:w="1900" w:type="dxa"/>
            <w:vAlign w:val="bottom"/>
          </w:tcPr>
          <w:p>
            <w:pPr>
              <w:spacing w:after="0"/>
              <w:rPr>
                <w:sz w:val="19"/>
                <w:szCs w:val="19"/>
                <w:color w:val="auto"/>
              </w:rPr>
            </w:pPr>
          </w:p>
        </w:tc>
        <w:tc>
          <w:tcPr>
            <w:tcW w:w="2680" w:type="dxa"/>
            <w:vAlign w:val="bottom"/>
          </w:tcPr>
          <w:p>
            <w:pPr>
              <w:ind w:left="400"/>
              <w:spacing w:after="0"/>
              <w:rPr>
                <w:sz w:val="20"/>
                <w:szCs w:val="20"/>
                <w:color w:val="auto"/>
              </w:rPr>
            </w:pPr>
            <w:r>
              <w:rPr>
                <w:rFonts w:ascii="Arial" w:cs="Arial" w:eastAsia="Arial" w:hAnsi="Arial"/>
                <w:sz w:val="20"/>
                <w:szCs w:val="20"/>
                <w:color w:val="3E3935"/>
              </w:rPr>
              <w:t>Aneel Bhusri</w:t>
            </w:r>
          </w:p>
        </w:tc>
        <w:tc>
          <w:tcPr>
            <w:tcW w:w="0" w:type="dxa"/>
            <w:vAlign w:val="bottom"/>
          </w:tcPr>
          <w:p>
            <w:pPr>
              <w:spacing w:after="0"/>
              <w:rPr>
                <w:sz w:val="1"/>
                <w:szCs w:val="1"/>
                <w:color w:val="auto"/>
              </w:rPr>
            </w:pPr>
          </w:p>
        </w:tc>
      </w:tr>
      <w:tr>
        <w:trPr>
          <w:trHeight w:val="216"/>
        </w:trPr>
        <w:tc>
          <w:tcPr>
            <w:tcW w:w="1900" w:type="dxa"/>
            <w:vAlign w:val="bottom"/>
          </w:tcPr>
          <w:p>
            <w:pPr>
              <w:spacing w:after="0"/>
              <w:rPr>
                <w:sz w:val="18"/>
                <w:szCs w:val="18"/>
                <w:color w:val="auto"/>
              </w:rPr>
            </w:pPr>
          </w:p>
        </w:tc>
        <w:tc>
          <w:tcPr>
            <w:tcW w:w="2680" w:type="dxa"/>
            <w:vAlign w:val="bottom"/>
          </w:tcPr>
          <w:p>
            <w:pPr>
              <w:ind w:left="400"/>
              <w:spacing w:after="0" w:line="216" w:lineRule="exact"/>
              <w:rPr>
                <w:sz w:val="20"/>
                <w:szCs w:val="20"/>
                <w:color w:val="auto"/>
              </w:rPr>
            </w:pPr>
            <w:r>
              <w:rPr>
                <w:rFonts w:ascii="Arial" w:cs="Arial" w:eastAsia="Arial" w:hAnsi="Arial"/>
                <w:sz w:val="20"/>
                <w:szCs w:val="20"/>
                <w:color w:val="3E3935"/>
              </w:rPr>
              <w:t>Wesley G. Bush</w:t>
            </w:r>
          </w:p>
        </w:tc>
        <w:tc>
          <w:tcPr>
            <w:tcW w:w="0" w:type="dxa"/>
            <w:vAlign w:val="bottom"/>
          </w:tcPr>
          <w:p>
            <w:pPr>
              <w:spacing w:after="0"/>
              <w:rPr>
                <w:sz w:val="1"/>
                <w:szCs w:val="1"/>
                <w:color w:val="auto"/>
              </w:rPr>
            </w:pPr>
          </w:p>
        </w:tc>
      </w:tr>
      <w:tr>
        <w:trPr>
          <w:trHeight w:val="216"/>
        </w:trPr>
        <w:tc>
          <w:tcPr>
            <w:tcW w:w="1900" w:type="dxa"/>
            <w:vAlign w:val="bottom"/>
          </w:tcPr>
          <w:p>
            <w:pPr>
              <w:spacing w:after="0"/>
              <w:rPr>
                <w:sz w:val="18"/>
                <w:szCs w:val="18"/>
                <w:color w:val="auto"/>
              </w:rPr>
            </w:pPr>
          </w:p>
        </w:tc>
        <w:tc>
          <w:tcPr>
            <w:tcW w:w="2680" w:type="dxa"/>
            <w:vAlign w:val="bottom"/>
          </w:tcPr>
          <w:p>
            <w:pPr>
              <w:ind w:left="400"/>
              <w:spacing w:after="0" w:line="216" w:lineRule="exact"/>
              <w:rPr>
                <w:sz w:val="20"/>
                <w:szCs w:val="20"/>
                <w:color w:val="auto"/>
              </w:rPr>
            </w:pPr>
            <w:r>
              <w:rPr>
                <w:rFonts w:ascii="Arial" w:cs="Arial" w:eastAsia="Arial" w:hAnsi="Arial"/>
                <w:sz w:val="20"/>
                <w:szCs w:val="20"/>
                <w:color w:val="3E3935"/>
              </w:rPr>
              <w:t>Joseph Jimenez</w:t>
            </w:r>
          </w:p>
        </w:tc>
        <w:tc>
          <w:tcPr>
            <w:tcW w:w="0" w:type="dxa"/>
            <w:vAlign w:val="bottom"/>
          </w:tcPr>
          <w:p>
            <w:pPr>
              <w:spacing w:after="0"/>
              <w:rPr>
                <w:sz w:val="1"/>
                <w:szCs w:val="1"/>
                <w:color w:val="auto"/>
              </w:rPr>
            </w:pPr>
          </w:p>
        </w:tc>
      </w:tr>
      <w:tr>
        <w:trPr>
          <w:trHeight w:val="261"/>
        </w:trPr>
        <w:tc>
          <w:tcPr>
            <w:tcW w:w="1900" w:type="dxa"/>
            <w:vAlign w:val="bottom"/>
          </w:tcPr>
          <w:p>
            <w:pPr>
              <w:spacing w:after="0"/>
              <w:rPr>
                <w:sz w:val="22"/>
                <w:szCs w:val="22"/>
                <w:color w:val="auto"/>
              </w:rPr>
            </w:pPr>
          </w:p>
        </w:tc>
        <w:tc>
          <w:tcPr>
            <w:tcW w:w="2680" w:type="dxa"/>
            <w:vAlign w:val="bottom"/>
          </w:tcPr>
          <w:p>
            <w:pPr>
              <w:ind w:left="400"/>
              <w:spacing w:after="0"/>
              <w:rPr>
                <w:sz w:val="20"/>
                <w:szCs w:val="20"/>
                <w:color w:val="auto"/>
              </w:rPr>
            </w:pPr>
            <w:r>
              <w:rPr>
                <w:rFonts w:ascii="Arial" w:cs="Arial" w:eastAsia="Arial" w:hAnsi="Arial"/>
                <w:sz w:val="20"/>
                <w:szCs w:val="20"/>
                <w:color w:val="3E3935"/>
              </w:rPr>
              <w:t>Patricia F. Russo</w:t>
            </w:r>
          </w:p>
        </w:tc>
        <w:tc>
          <w:tcPr>
            <w:tcW w:w="0" w:type="dxa"/>
            <w:vAlign w:val="bottom"/>
          </w:tcPr>
          <w:p>
            <w:pPr>
              <w:spacing w:after="0"/>
              <w:rPr>
                <w:sz w:val="1"/>
                <w:szCs w:val="1"/>
                <w:color w:val="auto"/>
              </w:rPr>
            </w:pPr>
          </w:p>
        </w:tc>
      </w:tr>
      <w:tr>
        <w:trPr>
          <w:trHeight w:val="452"/>
        </w:trPr>
        <w:tc>
          <w:tcPr>
            <w:tcW w:w="1900" w:type="dxa"/>
            <w:vAlign w:val="bottom"/>
          </w:tcPr>
          <w:p>
            <w:pPr>
              <w:spacing w:after="0"/>
              <w:rPr>
                <w:sz w:val="20"/>
                <w:szCs w:val="20"/>
                <w:color w:val="auto"/>
              </w:rPr>
            </w:pPr>
            <w:r>
              <w:rPr>
                <w:rFonts w:ascii="Arial" w:cs="Arial" w:eastAsia="Arial" w:hAnsi="Arial"/>
                <w:sz w:val="20"/>
                <w:szCs w:val="20"/>
                <w:b w:val="1"/>
                <w:bCs w:val="1"/>
                <w:color w:val="0071CE"/>
              </w:rPr>
              <w:t>Wesley G. Bush</w:t>
            </w:r>
          </w:p>
        </w:tc>
        <w:tc>
          <w:tcPr>
            <w:tcW w:w="2680" w:type="dxa"/>
            <w:vAlign w:val="bottom"/>
            <w:vMerge w:val="restart"/>
          </w:tcPr>
          <w:p>
            <w:pPr>
              <w:ind w:left="400"/>
              <w:spacing w:after="0"/>
              <w:rPr>
                <w:sz w:val="20"/>
                <w:szCs w:val="20"/>
                <w:color w:val="auto"/>
              </w:rPr>
            </w:pPr>
            <w:r>
              <w:rPr>
                <w:rFonts w:ascii="Arial" w:cs="Arial" w:eastAsia="Arial" w:hAnsi="Arial"/>
                <w:sz w:val="20"/>
                <w:szCs w:val="20"/>
                <w:b w:val="1"/>
                <w:bCs w:val="1"/>
                <w:i w:val="1"/>
                <w:iCs w:val="1"/>
                <w:color w:val="00C1DE"/>
                <w:w w:val="98"/>
              </w:rPr>
              <w:t>Meetings held in 2022: 3</w:t>
            </w:r>
          </w:p>
        </w:tc>
        <w:tc>
          <w:tcPr>
            <w:tcW w:w="0" w:type="dxa"/>
            <w:vAlign w:val="bottom"/>
          </w:tcPr>
          <w:p>
            <w:pPr>
              <w:spacing w:after="0"/>
              <w:rPr>
                <w:sz w:val="1"/>
                <w:szCs w:val="1"/>
                <w:color w:val="auto"/>
              </w:rPr>
            </w:pPr>
          </w:p>
        </w:tc>
      </w:tr>
      <w:tr>
        <w:trPr>
          <w:trHeight w:val="273"/>
        </w:trPr>
        <w:tc>
          <w:tcPr>
            <w:tcW w:w="1900" w:type="dxa"/>
            <w:vAlign w:val="bottom"/>
          </w:tcPr>
          <w:p>
            <w:pPr>
              <w:spacing w:after="0"/>
              <w:rPr>
                <w:sz w:val="20"/>
                <w:szCs w:val="20"/>
                <w:color w:val="auto"/>
              </w:rPr>
            </w:pPr>
            <w:r>
              <w:rPr>
                <w:rFonts w:ascii="Arial" w:cs="Arial" w:eastAsia="Arial" w:hAnsi="Arial"/>
                <w:sz w:val="20"/>
                <w:szCs w:val="20"/>
                <w:b w:val="1"/>
                <w:bCs w:val="1"/>
                <w:color w:val="0071CE"/>
              </w:rPr>
              <w:t>Chair</w:t>
            </w:r>
          </w:p>
        </w:tc>
        <w:tc>
          <w:tcPr>
            <w:tcW w:w="268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30480</wp:posOffset>
            </wp:positionV>
            <wp:extent cx="342011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342011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-1014730</wp:posOffset>
            </wp:positionV>
            <wp:extent cx="668655" cy="6686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68655" cy="668655"/>
                    </a:xfrm>
                    <a:prstGeom prst="rect">
                      <a:avLst/>
                    </a:prstGeom>
                    <a:noFill/>
                  </pic:spPr>
                </pic:pic>
              </a:graphicData>
            </a:graphic>
          </wp:anchor>
        </w:drawing>
      </w:r>
    </w:p>
    <w:p>
      <w:pPr>
        <w:spacing w:after="0" w:line="100" w:lineRule="exact"/>
        <w:rPr>
          <w:sz w:val="20"/>
          <w:szCs w:val="20"/>
          <w:color w:val="auto"/>
        </w:rPr>
      </w:pPr>
    </w:p>
    <w:p>
      <w:pPr>
        <w:ind w:left="7"/>
        <w:spacing w:after="0"/>
        <w:rPr>
          <w:sz w:val="20"/>
          <w:szCs w:val="20"/>
          <w:color w:val="auto"/>
        </w:rPr>
      </w:pPr>
      <w:r>
        <w:rPr>
          <w:rFonts w:ascii="Arial" w:cs="Arial" w:eastAsia="Arial" w:hAnsi="Arial"/>
          <w:sz w:val="20"/>
          <w:szCs w:val="20"/>
          <w:b w:val="1"/>
          <w:bCs w:val="1"/>
          <w:i w:val="1"/>
          <w:iCs w:val="1"/>
          <w:color w:val="00C1DE"/>
        </w:rPr>
        <w:t>Key Responsibilities:</w:t>
      </w:r>
    </w:p>
    <w:p>
      <w:pPr>
        <w:spacing w:after="0" w:line="18" w:lineRule="exact"/>
        <w:rPr>
          <w:sz w:val="20"/>
          <w:szCs w:val="20"/>
          <w:color w:val="auto"/>
        </w:rPr>
      </w:pPr>
    </w:p>
    <w:p>
      <w:pPr>
        <w:ind w:left="207" w:right="20" w:hanging="207"/>
        <w:spacing w:after="0" w:line="260" w:lineRule="auto"/>
        <w:tabs>
          <w:tab w:leader="none" w:pos="137" w:val="left"/>
        </w:tabs>
        <w:numPr>
          <w:ilvl w:val="0"/>
          <w:numId w:val="42"/>
        </w:numPr>
        <w:rPr>
          <w:rFonts w:ascii="Times New Roman" w:cs="Times New Roman" w:eastAsia="Times New Roman" w:hAnsi="Times New Roman"/>
          <w:sz w:val="20"/>
          <w:szCs w:val="20"/>
          <w:color w:val="00C1DE"/>
        </w:rPr>
      </w:pPr>
      <w:r>
        <w:rPr>
          <w:rFonts w:ascii="Arial" w:cs="Arial" w:eastAsia="Arial" w:hAnsi="Arial"/>
          <w:sz w:val="20"/>
          <w:szCs w:val="20"/>
          <w:color w:val="00C1DE"/>
        </w:rPr>
        <w:t>  </w:t>
      </w:r>
      <w:r>
        <w:rPr>
          <w:rFonts w:ascii="Arial" w:cs="Arial" w:eastAsia="Arial" w:hAnsi="Arial"/>
          <w:sz w:val="20"/>
          <w:szCs w:val="20"/>
          <w:color w:val="3E3935"/>
        </w:rPr>
        <w:t>Reviews the Company’s executive compensation</w:t>
      </w:r>
      <w:r>
        <w:rPr>
          <w:rFonts w:ascii="Arial" w:cs="Arial" w:eastAsia="Arial" w:hAnsi="Arial"/>
          <w:sz w:val="20"/>
          <w:szCs w:val="20"/>
          <w:color w:val="00C1DE"/>
        </w:rPr>
        <w:t xml:space="preserve"> </w:t>
      </w:r>
      <w:r>
        <w:rPr>
          <w:rFonts w:ascii="Arial" w:cs="Arial" w:eastAsia="Arial" w:hAnsi="Arial"/>
          <w:sz w:val="20"/>
          <w:szCs w:val="20"/>
          <w:color w:val="3E3935"/>
        </w:rPr>
        <w:t>policies, practices, and programs;</w:t>
      </w:r>
    </w:p>
    <w:p>
      <w:pPr>
        <w:jc w:val="both"/>
        <w:ind w:left="207" w:hanging="215"/>
        <w:spacing w:after="0" w:line="264" w:lineRule="auto"/>
        <w:rPr>
          <w:sz w:val="20"/>
          <w:szCs w:val="20"/>
          <w:color w:val="auto"/>
        </w:rPr>
      </w:pPr>
      <w:r>
        <w:rPr>
          <w:rFonts w:ascii="Times New Roman" w:cs="Times New Roman" w:eastAsia="Times New Roman" w:hAnsi="Times New Roman"/>
          <w:sz w:val="20"/>
          <w:szCs w:val="20"/>
          <w:color w:val="00C1DE"/>
        </w:rPr>
        <w:t xml:space="preserve">● </w:t>
      </w:r>
      <w:r>
        <w:rPr>
          <w:rFonts w:ascii="Arial" w:cs="Arial" w:eastAsia="Arial" w:hAnsi="Arial"/>
          <w:sz w:val="20"/>
          <w:szCs w:val="20"/>
          <w:color w:val="00C1DE"/>
        </w:rPr>
        <w:t>  </w:t>
      </w:r>
      <w:r>
        <w:rPr>
          <w:rFonts w:ascii="Arial" w:cs="Arial" w:eastAsia="Arial" w:hAnsi="Arial"/>
          <w:sz w:val="20"/>
          <w:szCs w:val="20"/>
          <w:color w:val="3E3935"/>
        </w:rPr>
        <w:t>Reviews</w:t>
      </w:r>
      <w:r>
        <w:rPr>
          <w:sz w:val="20"/>
          <w:szCs w:val="20"/>
          <w:color w:val="auto"/>
        </w:rPr>
        <w:t xml:space="preserve"> </w:t>
      </w:r>
      <w:r>
        <w:rPr>
          <w:rFonts w:ascii="Arial" w:cs="Arial" w:eastAsia="Arial" w:hAnsi="Arial"/>
          <w:sz w:val="20"/>
          <w:szCs w:val="20"/>
          <w:color w:val="3E3935"/>
        </w:rPr>
        <w:t>and approves corporate goals and objectives for compensation, evaluates performance (along with the full Board), and determines compensation levels for the CEO;</w:t>
      </w:r>
    </w:p>
    <w:p>
      <w:pPr>
        <w:jc w:val="both"/>
        <w:ind w:left="207" w:right="20" w:hanging="207"/>
        <w:spacing w:after="0" w:line="262" w:lineRule="auto"/>
        <w:tabs>
          <w:tab w:leader="none" w:pos="137" w:val="left"/>
        </w:tabs>
        <w:numPr>
          <w:ilvl w:val="0"/>
          <w:numId w:val="43"/>
        </w:numPr>
        <w:rPr>
          <w:rFonts w:ascii="Times New Roman" w:cs="Times New Roman" w:eastAsia="Times New Roman" w:hAnsi="Times New Roman"/>
          <w:sz w:val="20"/>
          <w:szCs w:val="20"/>
          <w:color w:val="00C1DE"/>
        </w:rPr>
      </w:pPr>
      <w:r>
        <w:rPr>
          <w:rFonts w:ascii="Arial" w:cs="Arial" w:eastAsia="Arial" w:hAnsi="Arial"/>
          <w:sz w:val="20"/>
          <w:szCs w:val="20"/>
          <w:color w:val="00C1DE"/>
        </w:rPr>
        <w:t>  </w:t>
      </w:r>
      <w:r>
        <w:rPr>
          <w:rFonts w:ascii="Arial" w:cs="Arial" w:eastAsia="Arial" w:hAnsi="Arial"/>
          <w:sz w:val="20"/>
          <w:szCs w:val="20"/>
          <w:color w:val="3E3935"/>
        </w:rPr>
        <w:t>Reviews and approves compensation of NEOs,</w:t>
      </w:r>
      <w:r>
        <w:rPr>
          <w:rFonts w:ascii="Arial" w:cs="Arial" w:eastAsia="Arial" w:hAnsi="Arial"/>
          <w:sz w:val="20"/>
          <w:szCs w:val="20"/>
          <w:color w:val="00C1DE"/>
        </w:rPr>
        <w:t xml:space="preserve"> </w:t>
      </w:r>
      <w:r>
        <w:rPr>
          <w:rFonts w:ascii="Arial" w:cs="Arial" w:eastAsia="Arial" w:hAnsi="Arial"/>
          <w:sz w:val="20"/>
          <w:szCs w:val="20"/>
          <w:color w:val="3E3935"/>
        </w:rPr>
        <w:t>executive officers, and other senior leaders under its purview;</w:t>
      </w:r>
    </w:p>
    <w:p>
      <w:pPr>
        <w:spacing w:after="0" w:line="1" w:lineRule="exact"/>
        <w:rPr>
          <w:rFonts w:ascii="Times New Roman" w:cs="Times New Roman" w:eastAsia="Times New Roman" w:hAnsi="Times New Roman"/>
          <w:sz w:val="20"/>
          <w:szCs w:val="20"/>
          <w:color w:val="00C1DE"/>
        </w:rPr>
      </w:pPr>
    </w:p>
    <w:p>
      <w:pPr>
        <w:jc w:val="both"/>
        <w:ind w:left="207" w:right="20" w:hanging="207"/>
        <w:spacing w:after="0" w:line="262" w:lineRule="auto"/>
        <w:tabs>
          <w:tab w:leader="none" w:pos="124" w:val="left"/>
        </w:tabs>
        <w:numPr>
          <w:ilvl w:val="0"/>
          <w:numId w:val="43"/>
        </w:numPr>
        <w:rPr>
          <w:rFonts w:ascii="Times New Roman" w:cs="Times New Roman" w:eastAsia="Times New Roman" w:hAnsi="Times New Roman"/>
          <w:sz w:val="20"/>
          <w:szCs w:val="20"/>
          <w:color w:val="00C1DE"/>
        </w:rPr>
      </w:pPr>
      <w:r>
        <w:rPr>
          <w:rFonts w:ascii="Arial" w:cs="Arial" w:eastAsia="Arial" w:hAnsi="Arial"/>
          <w:sz w:val="20"/>
          <w:szCs w:val="20"/>
          <w:color w:val="00C1DE"/>
        </w:rPr>
        <w:t>  </w:t>
      </w:r>
      <w:r>
        <w:rPr>
          <w:rFonts w:ascii="Arial" w:cs="Arial" w:eastAsia="Arial" w:hAnsi="Arial"/>
          <w:sz w:val="20"/>
          <w:szCs w:val="20"/>
          <w:color w:val="3E3935"/>
        </w:rPr>
        <w:t>Reviews compensation policies and practices so that</w:t>
      </w:r>
      <w:r>
        <w:rPr>
          <w:rFonts w:ascii="Arial" w:cs="Arial" w:eastAsia="Arial" w:hAnsi="Arial"/>
          <w:sz w:val="20"/>
          <w:szCs w:val="20"/>
          <w:color w:val="00C1DE"/>
        </w:rPr>
        <w:t xml:space="preserve"> </w:t>
      </w:r>
      <w:r>
        <w:rPr>
          <w:rFonts w:ascii="Arial" w:cs="Arial" w:eastAsia="Arial" w:hAnsi="Arial"/>
          <w:sz w:val="20"/>
          <w:szCs w:val="20"/>
          <w:color w:val="3E3935"/>
        </w:rPr>
        <w:t>the plans do not encourage unnecessary or excessive risk-taking; and</w:t>
      </w:r>
    </w:p>
    <w:p>
      <w:pPr>
        <w:spacing w:after="0" w:line="1" w:lineRule="exact"/>
        <w:rPr>
          <w:rFonts w:ascii="Times New Roman" w:cs="Times New Roman" w:eastAsia="Times New Roman" w:hAnsi="Times New Roman"/>
          <w:sz w:val="20"/>
          <w:szCs w:val="20"/>
          <w:color w:val="00C1DE"/>
        </w:rPr>
      </w:pPr>
    </w:p>
    <w:p>
      <w:pPr>
        <w:ind w:left="207" w:hanging="207"/>
        <w:spacing w:after="0" w:line="280" w:lineRule="auto"/>
        <w:tabs>
          <w:tab w:leader="none" w:pos="124" w:val="left"/>
        </w:tabs>
        <w:numPr>
          <w:ilvl w:val="0"/>
          <w:numId w:val="43"/>
        </w:numPr>
        <w:rPr>
          <w:rFonts w:ascii="Times New Roman" w:cs="Times New Roman" w:eastAsia="Times New Roman" w:hAnsi="Times New Roman"/>
          <w:sz w:val="20"/>
          <w:szCs w:val="20"/>
          <w:color w:val="00C1DE"/>
        </w:rPr>
      </w:pPr>
      <w:r>
        <w:rPr>
          <w:rFonts w:ascii="Arial" w:cs="Arial" w:eastAsia="Arial" w:hAnsi="Arial"/>
          <w:sz w:val="20"/>
          <w:szCs w:val="20"/>
          <w:color w:val="00C1DE"/>
        </w:rPr>
        <w:t>  </w:t>
      </w:r>
      <w:r>
        <w:rPr>
          <w:rFonts w:ascii="Arial" w:cs="Arial" w:eastAsia="Arial" w:hAnsi="Arial"/>
          <w:sz w:val="20"/>
          <w:szCs w:val="20"/>
          <w:color w:val="3E3935"/>
        </w:rPr>
        <w:t>Reviews the Company’s compensation policies and</w:t>
      </w:r>
      <w:r>
        <w:rPr>
          <w:rFonts w:ascii="Arial" w:cs="Arial" w:eastAsia="Arial" w:hAnsi="Arial"/>
          <w:sz w:val="20"/>
          <w:szCs w:val="20"/>
          <w:color w:val="00C1DE"/>
        </w:rPr>
        <w:t xml:space="preserve"> </w:t>
      </w:r>
      <w:r>
        <w:rPr>
          <w:rFonts w:ascii="Arial" w:cs="Arial" w:eastAsia="Arial" w:hAnsi="Arial"/>
          <w:sz w:val="20"/>
          <w:szCs w:val="20"/>
          <w:color w:val="3E3935"/>
        </w:rPr>
        <w:t>practices in an effort to promote diversity and inclusion.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231775</wp:posOffset>
            </wp:positionH>
            <wp:positionV relativeFrom="paragraph">
              <wp:posOffset>80645</wp:posOffset>
            </wp:positionV>
            <wp:extent cx="2888615" cy="210883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2888615" cy="2108835"/>
                    </a:xfrm>
                    <a:prstGeom prst="rect">
                      <a:avLst/>
                    </a:prstGeom>
                    <a:noFill/>
                  </pic:spPr>
                </pic:pic>
              </a:graphicData>
            </a:graphic>
          </wp:anchor>
        </w:drawing>
      </w:r>
    </w:p>
    <w:p>
      <w:pPr>
        <w:spacing w:after="0" w:line="1464" w:lineRule="exact"/>
        <w:rPr>
          <w:sz w:val="20"/>
          <w:szCs w:val="20"/>
          <w:color w:val="auto"/>
        </w:rPr>
      </w:pPr>
    </w:p>
    <w:p>
      <w:pPr>
        <w:sectPr>
          <w:pgSz w:w="11900" w:h="16838" w:orient="portrait"/>
          <w:cols w:equalWidth="0" w:num="2">
            <w:col w:w="5400" w:space="453"/>
            <w:col w:w="5287"/>
          </w:cols>
          <w:pgMar w:left="320" w:top="482"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10660"/>
        <w:spacing w:after="0"/>
        <w:rPr>
          <w:sz w:val="20"/>
          <w:szCs w:val="20"/>
          <w:color w:val="auto"/>
        </w:rPr>
      </w:pPr>
      <w:r>
        <w:rPr>
          <w:rFonts w:ascii="Arial" w:cs="Arial" w:eastAsia="Arial" w:hAnsi="Arial"/>
          <w:sz w:val="14"/>
          <w:szCs w:val="14"/>
          <w:color w:val="0071CE"/>
        </w:rPr>
        <w:t>31</w:t>
      </w:r>
    </w:p>
    <w:p>
      <w:pPr>
        <w:sectPr>
          <w:pgSz w:w="11900" w:h="16838" w:orient="portrait"/>
          <w:cols w:equalWidth="0" w:num="1">
            <w:col w:w="11140"/>
          </w:cols>
          <w:pgMar w:left="320" w:top="482" w:right="439" w:bottom="1440" w:gutter="0" w:footer="0" w:header="0"/>
          <w:type w:val="continuous"/>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8" w:lineRule="exact"/>
        <w:rPr>
          <w:sz w:val="20"/>
          <w:szCs w:val="20"/>
          <w:color w:val="auto"/>
        </w:rPr>
      </w:pPr>
    </w:p>
    <w:tbl>
      <w:tblPr>
        <w:tblLayout w:type="fixed"/>
        <w:tblInd w:w="120" w:type="dxa"/>
        <w:tblCellMar>
          <w:top w:w="0" w:type="dxa"/>
          <w:left w:w="0" w:type="dxa"/>
          <w:bottom w:w="0" w:type="dxa"/>
          <w:right w:w="0" w:type="dxa"/>
        </w:tblCellMar>
      </w:tblPr>
      <w:tr>
        <w:trPr>
          <w:trHeight w:val="452"/>
        </w:trPr>
        <w:tc>
          <w:tcPr>
            <w:tcW w:w="1760" w:type="dxa"/>
            <w:vAlign w:val="bottom"/>
            <w:shd w:val="clear" w:color="auto" w:fill="0071CE"/>
          </w:tcPr>
          <w:p>
            <w:pPr>
              <w:spacing w:after="0"/>
              <w:rPr>
                <w:sz w:val="24"/>
                <w:szCs w:val="24"/>
                <w:color w:val="auto"/>
              </w:rPr>
            </w:pPr>
          </w:p>
        </w:tc>
        <w:tc>
          <w:tcPr>
            <w:tcW w:w="3540" w:type="dxa"/>
            <w:vAlign w:val="bottom"/>
            <w:shd w:val="clear" w:color="auto" w:fill="0071CE"/>
          </w:tcPr>
          <w:p>
            <w:pPr>
              <w:ind w:left="440"/>
              <w:spacing w:after="0"/>
              <w:rPr>
                <w:sz w:val="20"/>
                <w:szCs w:val="20"/>
                <w:color w:val="auto"/>
              </w:rPr>
            </w:pPr>
            <w:r>
              <w:rPr>
                <w:rFonts w:ascii="Arial" w:cs="Arial" w:eastAsia="Arial" w:hAnsi="Arial"/>
                <w:sz w:val="20"/>
                <w:szCs w:val="20"/>
                <w:b w:val="1"/>
                <w:bCs w:val="1"/>
                <w:color w:val="FFFFFF"/>
              </w:rPr>
              <w:t>FINANCE</w:t>
            </w:r>
          </w:p>
        </w:tc>
      </w:tr>
      <w:tr>
        <w:trPr>
          <w:trHeight w:val="209"/>
        </w:trPr>
        <w:tc>
          <w:tcPr>
            <w:tcW w:w="1760" w:type="dxa"/>
            <w:vAlign w:val="bottom"/>
            <w:shd w:val="clear" w:color="auto" w:fill="0071CE"/>
          </w:tcPr>
          <w:p>
            <w:pPr>
              <w:spacing w:after="0"/>
              <w:rPr>
                <w:sz w:val="18"/>
                <w:szCs w:val="18"/>
                <w:color w:val="auto"/>
              </w:rPr>
            </w:pPr>
          </w:p>
        </w:tc>
        <w:tc>
          <w:tcPr>
            <w:tcW w:w="3540" w:type="dxa"/>
            <w:vAlign w:val="bottom"/>
            <w:shd w:val="clear" w:color="auto" w:fill="0071CE"/>
          </w:tcPr>
          <w:p>
            <w:pPr>
              <w:spacing w:after="0"/>
              <w:rPr>
                <w:sz w:val="18"/>
                <w:szCs w:val="18"/>
                <w:color w:val="auto"/>
              </w:rPr>
            </w:pPr>
          </w:p>
        </w:tc>
      </w:tr>
      <w:tr>
        <w:trPr>
          <w:trHeight w:val="275"/>
        </w:trPr>
        <w:tc>
          <w:tcPr>
            <w:tcW w:w="1760" w:type="dxa"/>
            <w:vAlign w:val="bottom"/>
          </w:tcPr>
          <w:p>
            <w:pPr>
              <w:spacing w:after="0"/>
              <w:rPr>
                <w:sz w:val="23"/>
                <w:szCs w:val="23"/>
                <w:color w:val="auto"/>
              </w:rPr>
            </w:pPr>
          </w:p>
        </w:tc>
        <w:tc>
          <w:tcPr>
            <w:tcW w:w="3540" w:type="dxa"/>
            <w:vAlign w:val="bottom"/>
          </w:tcPr>
          <w:p>
            <w:pPr>
              <w:ind w:left="240"/>
              <w:spacing w:after="0"/>
              <w:rPr>
                <w:sz w:val="20"/>
                <w:szCs w:val="20"/>
                <w:color w:val="auto"/>
              </w:rPr>
            </w:pPr>
            <w:r>
              <w:rPr>
                <w:rFonts w:ascii="Arial" w:cs="Arial" w:eastAsia="Arial" w:hAnsi="Arial"/>
                <w:sz w:val="20"/>
                <w:szCs w:val="20"/>
                <w:color w:val="3E3935"/>
              </w:rPr>
              <w:t>Wesley G. Bush</w:t>
            </w:r>
          </w:p>
        </w:tc>
      </w:tr>
      <w:tr>
        <w:trPr>
          <w:trHeight w:val="216"/>
        </w:trPr>
        <w:tc>
          <w:tcPr>
            <w:tcW w:w="1760" w:type="dxa"/>
            <w:vAlign w:val="bottom"/>
          </w:tcPr>
          <w:p>
            <w:pPr>
              <w:spacing w:after="0"/>
              <w:rPr>
                <w:sz w:val="18"/>
                <w:szCs w:val="18"/>
                <w:color w:val="auto"/>
              </w:rPr>
            </w:pPr>
          </w:p>
        </w:tc>
        <w:tc>
          <w:tcPr>
            <w:tcW w:w="3540" w:type="dxa"/>
            <w:vAlign w:val="bottom"/>
          </w:tcPr>
          <w:p>
            <w:pPr>
              <w:ind w:left="240"/>
              <w:spacing w:after="0" w:line="216" w:lineRule="exact"/>
              <w:rPr>
                <w:sz w:val="20"/>
                <w:szCs w:val="20"/>
                <w:color w:val="auto"/>
              </w:rPr>
            </w:pPr>
            <w:r>
              <w:rPr>
                <w:rFonts w:ascii="Arial" w:cs="Arial" w:eastAsia="Arial" w:hAnsi="Arial"/>
                <w:sz w:val="20"/>
                <w:szCs w:val="20"/>
                <w:color w:val="3E3935"/>
              </w:rPr>
              <w:t>Joanne C. Crevoiserat</w:t>
            </w:r>
          </w:p>
        </w:tc>
      </w:tr>
      <w:tr>
        <w:trPr>
          <w:trHeight w:val="216"/>
        </w:trPr>
        <w:tc>
          <w:tcPr>
            <w:tcW w:w="1760" w:type="dxa"/>
            <w:vAlign w:val="bottom"/>
          </w:tcPr>
          <w:p>
            <w:pPr>
              <w:spacing w:after="0"/>
              <w:rPr>
                <w:sz w:val="18"/>
                <w:szCs w:val="18"/>
                <w:color w:val="auto"/>
              </w:rPr>
            </w:pPr>
          </w:p>
        </w:tc>
        <w:tc>
          <w:tcPr>
            <w:tcW w:w="3540" w:type="dxa"/>
            <w:vAlign w:val="bottom"/>
          </w:tcPr>
          <w:p>
            <w:pPr>
              <w:ind w:left="240"/>
              <w:spacing w:after="0" w:line="216" w:lineRule="exact"/>
              <w:rPr>
                <w:sz w:val="20"/>
                <w:szCs w:val="20"/>
                <w:color w:val="auto"/>
              </w:rPr>
            </w:pPr>
            <w:r>
              <w:rPr>
                <w:rFonts w:ascii="Arial" w:cs="Arial" w:eastAsia="Arial" w:hAnsi="Arial"/>
                <w:sz w:val="20"/>
                <w:szCs w:val="20"/>
                <w:color w:val="3E3935"/>
              </w:rPr>
              <w:t>Joseph Jimenez</w:t>
            </w:r>
          </w:p>
        </w:tc>
      </w:tr>
      <w:tr>
        <w:trPr>
          <w:trHeight w:val="216"/>
        </w:trPr>
        <w:tc>
          <w:tcPr>
            <w:tcW w:w="1760" w:type="dxa"/>
            <w:vAlign w:val="bottom"/>
          </w:tcPr>
          <w:p>
            <w:pPr>
              <w:spacing w:after="0"/>
              <w:rPr>
                <w:sz w:val="18"/>
                <w:szCs w:val="18"/>
                <w:color w:val="auto"/>
              </w:rPr>
            </w:pPr>
          </w:p>
        </w:tc>
        <w:tc>
          <w:tcPr>
            <w:tcW w:w="3540" w:type="dxa"/>
            <w:vAlign w:val="bottom"/>
          </w:tcPr>
          <w:p>
            <w:pPr>
              <w:ind w:left="240"/>
              <w:spacing w:after="0" w:line="216" w:lineRule="exact"/>
              <w:rPr>
                <w:sz w:val="20"/>
                <w:szCs w:val="20"/>
                <w:color w:val="auto"/>
              </w:rPr>
            </w:pPr>
            <w:r>
              <w:rPr>
                <w:rFonts w:ascii="Arial" w:cs="Arial" w:eastAsia="Arial" w:hAnsi="Arial"/>
                <w:sz w:val="20"/>
                <w:szCs w:val="20"/>
                <w:color w:val="3E3935"/>
              </w:rPr>
              <w:t>Judith A. Miscik</w:t>
            </w:r>
          </w:p>
        </w:tc>
      </w:tr>
      <w:tr>
        <w:trPr>
          <w:trHeight w:val="216"/>
        </w:trPr>
        <w:tc>
          <w:tcPr>
            <w:tcW w:w="1760" w:type="dxa"/>
            <w:vAlign w:val="bottom"/>
          </w:tcPr>
          <w:p>
            <w:pPr>
              <w:spacing w:after="0"/>
              <w:rPr>
                <w:sz w:val="18"/>
                <w:szCs w:val="18"/>
                <w:color w:val="auto"/>
              </w:rPr>
            </w:pPr>
          </w:p>
        </w:tc>
        <w:tc>
          <w:tcPr>
            <w:tcW w:w="3540" w:type="dxa"/>
            <w:vAlign w:val="bottom"/>
          </w:tcPr>
          <w:p>
            <w:pPr>
              <w:ind w:left="240"/>
              <w:spacing w:after="0" w:line="216" w:lineRule="exact"/>
              <w:rPr>
                <w:sz w:val="20"/>
                <w:szCs w:val="20"/>
                <w:color w:val="auto"/>
              </w:rPr>
            </w:pPr>
            <w:r>
              <w:rPr>
                <w:rFonts w:ascii="Arial" w:cs="Arial" w:eastAsia="Arial" w:hAnsi="Arial"/>
                <w:sz w:val="20"/>
                <w:szCs w:val="20"/>
                <w:color w:val="3E3935"/>
              </w:rPr>
              <w:t>Patricia F. Russo</w:t>
            </w:r>
          </w:p>
        </w:tc>
      </w:tr>
      <w:tr>
        <w:trPr>
          <w:trHeight w:val="268"/>
        </w:trPr>
        <w:tc>
          <w:tcPr>
            <w:tcW w:w="1760" w:type="dxa"/>
            <w:vAlign w:val="bottom"/>
          </w:tcPr>
          <w:p>
            <w:pPr>
              <w:spacing w:after="0"/>
              <w:rPr>
                <w:sz w:val="20"/>
                <w:szCs w:val="20"/>
                <w:color w:val="auto"/>
              </w:rPr>
            </w:pPr>
            <w:r>
              <w:rPr>
                <w:rFonts w:ascii="Arial" w:cs="Arial" w:eastAsia="Arial" w:hAnsi="Arial"/>
                <w:sz w:val="20"/>
                <w:szCs w:val="20"/>
                <w:b w:val="1"/>
                <w:bCs w:val="1"/>
                <w:color w:val="0071CE"/>
              </w:rPr>
              <w:t>Joseph Jimenez</w:t>
            </w:r>
          </w:p>
        </w:tc>
        <w:tc>
          <w:tcPr>
            <w:tcW w:w="3540" w:type="dxa"/>
            <w:vAlign w:val="bottom"/>
          </w:tcPr>
          <w:p>
            <w:pPr>
              <w:ind w:left="240"/>
              <w:spacing w:after="0"/>
              <w:rPr>
                <w:sz w:val="20"/>
                <w:szCs w:val="20"/>
                <w:color w:val="auto"/>
              </w:rPr>
            </w:pPr>
            <w:r>
              <w:rPr>
                <w:rFonts w:ascii="Arial" w:cs="Arial" w:eastAsia="Arial" w:hAnsi="Arial"/>
                <w:sz w:val="20"/>
                <w:szCs w:val="20"/>
                <w:color w:val="3E3935"/>
              </w:rPr>
              <w:t>Thomas M. Schoewe</w:t>
            </w:r>
          </w:p>
        </w:tc>
      </w:tr>
      <w:tr>
        <w:trPr>
          <w:trHeight w:val="300"/>
        </w:trPr>
        <w:tc>
          <w:tcPr>
            <w:tcW w:w="1760" w:type="dxa"/>
            <w:vAlign w:val="bottom"/>
          </w:tcPr>
          <w:p>
            <w:pPr>
              <w:spacing w:after="0"/>
              <w:rPr>
                <w:sz w:val="20"/>
                <w:szCs w:val="20"/>
                <w:color w:val="auto"/>
              </w:rPr>
            </w:pPr>
            <w:r>
              <w:rPr>
                <w:rFonts w:ascii="Arial" w:cs="Arial" w:eastAsia="Arial" w:hAnsi="Arial"/>
                <w:sz w:val="20"/>
                <w:szCs w:val="20"/>
                <w:b w:val="1"/>
                <w:bCs w:val="1"/>
                <w:color w:val="0071CE"/>
              </w:rPr>
              <w:t>Chair</w:t>
            </w:r>
          </w:p>
        </w:tc>
        <w:tc>
          <w:tcPr>
            <w:tcW w:w="3540" w:type="dxa"/>
            <w:vAlign w:val="bottom"/>
          </w:tcPr>
          <w:p>
            <w:pPr>
              <w:ind w:left="240"/>
              <w:spacing w:after="0"/>
              <w:rPr>
                <w:sz w:val="20"/>
                <w:szCs w:val="20"/>
                <w:color w:val="auto"/>
              </w:rPr>
            </w:pPr>
            <w:r>
              <w:rPr>
                <w:rFonts w:ascii="Arial" w:cs="Arial" w:eastAsia="Arial" w:hAnsi="Arial"/>
                <w:sz w:val="20"/>
                <w:szCs w:val="20"/>
                <w:b w:val="1"/>
                <w:bCs w:val="1"/>
                <w:i w:val="1"/>
                <w:iCs w:val="1"/>
                <w:color w:val="00C1DE"/>
              </w:rPr>
              <w:t>Meetings held in 2022: 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90170</wp:posOffset>
            </wp:positionV>
            <wp:extent cx="3368675"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3368675"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-1031875</wp:posOffset>
            </wp:positionV>
            <wp:extent cx="668655" cy="6686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68655" cy="668655"/>
                    </a:xfrm>
                    <a:prstGeom prst="rect">
                      <a:avLst/>
                    </a:prstGeom>
                    <a:noFill/>
                  </pic:spPr>
                </pic:pic>
              </a:graphicData>
            </a:graphic>
          </wp:anchor>
        </w:drawing>
      </w:r>
    </w:p>
    <w:p>
      <w:pPr>
        <w:spacing w:after="0" w:line="195" w:lineRule="exact"/>
        <w:rPr>
          <w:sz w:val="20"/>
          <w:szCs w:val="20"/>
          <w:color w:val="auto"/>
        </w:rPr>
      </w:pPr>
    </w:p>
    <w:p>
      <w:pPr>
        <w:ind w:left="120"/>
        <w:spacing w:after="0"/>
        <w:rPr>
          <w:sz w:val="20"/>
          <w:szCs w:val="20"/>
          <w:color w:val="auto"/>
        </w:rPr>
      </w:pPr>
      <w:r>
        <w:rPr>
          <w:rFonts w:ascii="Arial" w:cs="Arial" w:eastAsia="Arial" w:hAnsi="Arial"/>
          <w:sz w:val="20"/>
          <w:szCs w:val="20"/>
          <w:b w:val="1"/>
          <w:bCs w:val="1"/>
          <w:i w:val="1"/>
          <w:iCs w:val="1"/>
          <w:color w:val="00C1DE"/>
        </w:rPr>
        <w:t>Key Responsibilities:</w:t>
      </w:r>
    </w:p>
    <w:p>
      <w:pPr>
        <w:spacing w:after="0" w:line="18" w:lineRule="exact"/>
        <w:rPr>
          <w:sz w:val="20"/>
          <w:szCs w:val="20"/>
          <w:color w:val="auto"/>
        </w:rPr>
      </w:pPr>
    </w:p>
    <w:p>
      <w:pPr>
        <w:ind w:left="340" w:right="20" w:hanging="224"/>
        <w:spacing w:after="0" w:line="260" w:lineRule="auto"/>
        <w:tabs>
          <w:tab w:leader="none" w:pos="284" w:val="left"/>
        </w:tabs>
        <w:numPr>
          <w:ilvl w:val="0"/>
          <w:numId w:val="44"/>
        </w:numPr>
        <w:rPr>
          <w:rFonts w:ascii="Times New Roman" w:cs="Times New Roman" w:eastAsia="Times New Roman" w:hAnsi="Times New Roman"/>
          <w:sz w:val="20"/>
          <w:szCs w:val="20"/>
          <w:color w:val="00C1DE"/>
        </w:rPr>
      </w:pPr>
      <w:r>
        <w:rPr>
          <w:rFonts w:ascii="Arial" w:cs="Arial" w:eastAsia="Arial" w:hAnsi="Arial"/>
          <w:sz w:val="20"/>
          <w:szCs w:val="20"/>
          <w:color w:val="00C1DE"/>
        </w:rPr>
        <w:t>  </w:t>
      </w:r>
      <w:r>
        <w:rPr>
          <w:rFonts w:ascii="Arial" w:cs="Arial" w:eastAsia="Arial" w:hAnsi="Arial"/>
          <w:sz w:val="20"/>
          <w:szCs w:val="20"/>
          <w:color w:val="3E3935"/>
        </w:rPr>
        <w:t>Reviews financial policies, strategies, and capital</w:t>
      </w:r>
      <w:r>
        <w:rPr>
          <w:rFonts w:ascii="Arial" w:cs="Arial" w:eastAsia="Arial" w:hAnsi="Arial"/>
          <w:sz w:val="20"/>
          <w:szCs w:val="20"/>
          <w:color w:val="00C1DE"/>
        </w:rPr>
        <w:t xml:space="preserve"> </w:t>
      </w:r>
      <w:r>
        <w:rPr>
          <w:rFonts w:ascii="Arial" w:cs="Arial" w:eastAsia="Arial" w:hAnsi="Arial"/>
          <w:sz w:val="20"/>
          <w:szCs w:val="20"/>
          <w:color w:val="3E3935"/>
        </w:rPr>
        <w:t>structure;</w:t>
      </w:r>
    </w:p>
    <w:p>
      <w:pPr>
        <w:jc w:val="both"/>
        <w:ind w:left="340" w:hanging="224"/>
        <w:spacing w:after="0" w:line="261" w:lineRule="auto"/>
        <w:tabs>
          <w:tab w:leader="none" w:pos="271" w:val="left"/>
        </w:tabs>
        <w:numPr>
          <w:ilvl w:val="0"/>
          <w:numId w:val="44"/>
        </w:numPr>
        <w:rPr>
          <w:rFonts w:ascii="Times New Roman" w:cs="Times New Roman" w:eastAsia="Times New Roman" w:hAnsi="Times New Roman"/>
          <w:sz w:val="20"/>
          <w:szCs w:val="20"/>
          <w:color w:val="00C1DE"/>
        </w:rPr>
      </w:pPr>
      <w:r>
        <w:rPr>
          <w:rFonts w:ascii="Arial" w:cs="Arial" w:eastAsia="Arial" w:hAnsi="Arial"/>
          <w:sz w:val="20"/>
          <w:szCs w:val="20"/>
          <w:color w:val="00C1DE"/>
        </w:rPr>
        <w:t>  </w:t>
      </w:r>
      <w:r>
        <w:rPr>
          <w:rFonts w:ascii="Arial" w:cs="Arial" w:eastAsia="Arial" w:hAnsi="Arial"/>
          <w:sz w:val="20"/>
          <w:szCs w:val="20"/>
          <w:color w:val="3E3935"/>
        </w:rPr>
        <w:t>Reviews the Company’s cash management policies and</w:t>
      </w:r>
      <w:r>
        <w:rPr>
          <w:rFonts w:ascii="Arial" w:cs="Arial" w:eastAsia="Arial" w:hAnsi="Arial"/>
          <w:sz w:val="20"/>
          <w:szCs w:val="20"/>
          <w:color w:val="00C1DE"/>
        </w:rPr>
        <w:t xml:space="preserve"> </w:t>
      </w:r>
      <w:r>
        <w:rPr>
          <w:rFonts w:ascii="Arial" w:cs="Arial" w:eastAsia="Arial" w:hAnsi="Arial"/>
          <w:sz w:val="20"/>
          <w:szCs w:val="20"/>
          <w:color w:val="3E3935"/>
        </w:rPr>
        <w:t>proposed capital allocation plans, capital expenditures, dividend actions, stock repurchase programs, issuances of debt or equity securities, and credit facility and other borrowings;</w:t>
      </w:r>
    </w:p>
    <w:p>
      <w:pPr>
        <w:spacing w:after="0" w:line="4" w:lineRule="exact"/>
        <w:rPr>
          <w:rFonts w:ascii="Times New Roman" w:cs="Times New Roman" w:eastAsia="Times New Roman" w:hAnsi="Times New Roman"/>
          <w:sz w:val="20"/>
          <w:szCs w:val="20"/>
          <w:color w:val="00C1DE"/>
        </w:rPr>
      </w:pPr>
    </w:p>
    <w:p>
      <w:pPr>
        <w:jc w:val="both"/>
        <w:ind w:left="340" w:hanging="224"/>
        <w:spacing w:after="0" w:line="263" w:lineRule="auto"/>
        <w:tabs>
          <w:tab w:leader="none" w:pos="298" w:val="left"/>
        </w:tabs>
        <w:numPr>
          <w:ilvl w:val="0"/>
          <w:numId w:val="44"/>
        </w:numPr>
        <w:rPr>
          <w:rFonts w:ascii="Times New Roman" w:cs="Times New Roman" w:eastAsia="Times New Roman" w:hAnsi="Times New Roman"/>
          <w:sz w:val="20"/>
          <w:szCs w:val="20"/>
          <w:color w:val="00C1DE"/>
        </w:rPr>
      </w:pPr>
      <w:r>
        <w:rPr>
          <w:rFonts w:ascii="Arial" w:cs="Arial" w:eastAsia="Arial" w:hAnsi="Arial"/>
          <w:sz w:val="20"/>
          <w:szCs w:val="20"/>
          <w:color w:val="00C1DE"/>
        </w:rPr>
        <w:t>  </w:t>
      </w:r>
      <w:r>
        <w:rPr>
          <w:rFonts w:ascii="Arial" w:cs="Arial" w:eastAsia="Arial" w:hAnsi="Arial"/>
          <w:sz w:val="20"/>
          <w:szCs w:val="20"/>
          <w:color w:val="3E3935"/>
        </w:rPr>
        <w:t>Reviews any significant financial exposures and risks,</w:t>
      </w:r>
      <w:r>
        <w:rPr>
          <w:rFonts w:ascii="Arial" w:cs="Arial" w:eastAsia="Arial" w:hAnsi="Arial"/>
          <w:sz w:val="20"/>
          <w:szCs w:val="20"/>
          <w:color w:val="00C1DE"/>
        </w:rPr>
        <w:t xml:space="preserve"> </w:t>
      </w:r>
      <w:r>
        <w:rPr>
          <w:rFonts w:ascii="Arial" w:cs="Arial" w:eastAsia="Arial" w:hAnsi="Arial"/>
          <w:sz w:val="20"/>
          <w:szCs w:val="20"/>
          <w:color w:val="3E3935"/>
        </w:rPr>
        <w:t>including foreign exchange, interest rate, and commodities exposures, and the use of derivatives to hedge those exposures;</w:t>
      </w:r>
    </w:p>
    <w:p>
      <w:pPr>
        <w:spacing w:after="0" w:line="3" w:lineRule="exact"/>
        <w:rPr>
          <w:rFonts w:ascii="Times New Roman" w:cs="Times New Roman" w:eastAsia="Times New Roman" w:hAnsi="Times New Roman"/>
          <w:sz w:val="20"/>
          <w:szCs w:val="20"/>
          <w:color w:val="00C1DE"/>
        </w:rPr>
      </w:pPr>
    </w:p>
    <w:p>
      <w:pPr>
        <w:jc w:val="both"/>
        <w:ind w:left="340" w:hanging="224"/>
        <w:spacing w:after="0" w:line="232" w:lineRule="auto"/>
        <w:tabs>
          <w:tab w:leader="none" w:pos="284" w:val="left"/>
        </w:tabs>
        <w:numPr>
          <w:ilvl w:val="0"/>
          <w:numId w:val="44"/>
        </w:numPr>
        <w:rPr>
          <w:rFonts w:ascii="Times New Roman" w:cs="Times New Roman" w:eastAsia="Times New Roman" w:hAnsi="Times New Roman"/>
          <w:sz w:val="20"/>
          <w:szCs w:val="20"/>
          <w:color w:val="00C1DE"/>
        </w:rPr>
      </w:pPr>
      <w:r>
        <w:rPr>
          <w:rFonts w:ascii="Arial" w:cs="Arial" w:eastAsia="Arial" w:hAnsi="Arial"/>
          <w:sz w:val="20"/>
          <w:szCs w:val="20"/>
          <w:color w:val="00C1DE"/>
        </w:rPr>
        <w:t>  </w:t>
      </w:r>
      <w:r>
        <w:rPr>
          <w:rFonts w:ascii="Arial" w:cs="Arial" w:eastAsia="Arial" w:hAnsi="Arial"/>
          <w:sz w:val="20"/>
          <w:szCs w:val="20"/>
          <w:color w:val="3E3935"/>
        </w:rPr>
        <w:t>Reviews the regulatory compliance, administration,</w:t>
      </w:r>
      <w:r>
        <w:rPr>
          <w:rFonts w:ascii="Arial" w:cs="Arial" w:eastAsia="Arial" w:hAnsi="Arial"/>
          <w:sz w:val="20"/>
          <w:szCs w:val="20"/>
          <w:color w:val="00C1DE"/>
        </w:rPr>
        <w:t xml:space="preserve"> </w:t>
      </w:r>
      <w:r>
        <w:rPr>
          <w:rFonts w:ascii="Arial" w:cs="Arial" w:eastAsia="Arial" w:hAnsi="Arial"/>
          <w:sz w:val="20"/>
          <w:szCs w:val="20"/>
          <w:color w:val="3E3935"/>
        </w:rPr>
        <w:t>financing, investment performance, risk and liability profile, and funding of the Company’s pension obligations; and</w:t>
      </w:r>
    </w:p>
    <w:p>
      <w:pPr>
        <w:jc w:val="both"/>
        <w:ind w:left="340" w:hanging="224"/>
        <w:spacing w:after="0" w:line="266" w:lineRule="auto"/>
        <w:tabs>
          <w:tab w:leader="none" w:pos="311" w:val="left"/>
        </w:tabs>
        <w:numPr>
          <w:ilvl w:val="0"/>
          <w:numId w:val="44"/>
        </w:numPr>
        <w:rPr>
          <w:rFonts w:ascii="Times New Roman" w:cs="Times New Roman" w:eastAsia="Times New Roman" w:hAnsi="Times New Roman"/>
          <w:sz w:val="20"/>
          <w:szCs w:val="20"/>
          <w:color w:val="00C1DE"/>
        </w:rPr>
      </w:pPr>
      <w:r>
        <w:rPr>
          <w:rFonts w:ascii="Arial" w:cs="Arial" w:eastAsia="Arial" w:hAnsi="Arial"/>
          <w:sz w:val="20"/>
          <w:szCs w:val="20"/>
          <w:color w:val="00C1DE"/>
        </w:rPr>
        <w:t> </w:t>
      </w:r>
      <w:r>
        <w:rPr>
          <w:rFonts w:ascii="Arial" w:cs="Arial" w:eastAsia="Arial" w:hAnsi="Arial"/>
          <w:sz w:val="20"/>
          <w:szCs w:val="20"/>
          <w:color w:val="3E3935"/>
        </w:rPr>
        <w:t>Reviews any strategic investments and similar</w:t>
      </w:r>
      <w:r>
        <w:rPr>
          <w:rFonts w:ascii="Arial" w:cs="Arial" w:eastAsia="Arial" w:hAnsi="Arial"/>
          <w:sz w:val="20"/>
          <w:szCs w:val="20"/>
          <w:color w:val="00C1DE"/>
        </w:rPr>
        <w:t xml:space="preserve"> </w:t>
      </w:r>
      <w:r>
        <w:rPr>
          <w:rFonts w:ascii="Arial" w:cs="Arial" w:eastAsia="Arial" w:hAnsi="Arial"/>
          <w:sz w:val="20"/>
          <w:szCs w:val="20"/>
          <w:color w:val="3E3935"/>
        </w:rPr>
        <w:t>transactions, including investments in our battery supply chain.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90170</wp:posOffset>
            </wp:positionV>
            <wp:extent cx="2888615" cy="203136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2888615" cy="203136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FFFFFF"/>
        </w:rPr>
        <w:t>GOVERNANCE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-63500</wp:posOffset>
            </wp:positionH>
            <wp:positionV relativeFrom="paragraph">
              <wp:posOffset>-198755</wp:posOffset>
            </wp:positionV>
            <wp:extent cx="3411855" cy="42037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3411855" cy="42037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20"/>
          <w:szCs w:val="20"/>
          <w:b w:val="1"/>
          <w:bCs w:val="1"/>
          <w:color w:val="FFFFFF"/>
        </w:rPr>
        <w:t>CORPORATE RESPONSIBILITY</w:t>
      </w:r>
    </w:p>
    <w:p>
      <w:pPr>
        <w:spacing w:after="0" w:line="171" w:lineRule="exact"/>
        <w:rPr>
          <w:sz w:val="20"/>
          <w:szCs w:val="20"/>
          <w:color w:val="auto"/>
        </w:rPr>
      </w:pPr>
    </w:p>
    <w:p>
      <w:pPr>
        <w:ind w:left="1980"/>
        <w:spacing w:after="0"/>
        <w:rPr>
          <w:sz w:val="20"/>
          <w:szCs w:val="20"/>
          <w:color w:val="auto"/>
        </w:rPr>
      </w:pPr>
      <w:r>
        <w:rPr>
          <w:rFonts w:ascii="Arial" w:cs="Arial" w:eastAsia="Arial" w:hAnsi="Arial"/>
          <w:sz w:val="20"/>
          <w:szCs w:val="20"/>
          <w:color w:val="3E3935"/>
        </w:rPr>
        <w:t>Aneel Bhusri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-131445</wp:posOffset>
            </wp:positionV>
            <wp:extent cx="668655" cy="6686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68655" cy="668655"/>
                    </a:xfrm>
                    <a:prstGeom prst="rect">
                      <a:avLst/>
                    </a:prstGeom>
                    <a:noFill/>
                  </pic:spPr>
                </pic:pic>
              </a:graphicData>
            </a:graphic>
          </wp:anchor>
        </w:drawing>
      </w:r>
    </w:p>
    <w:p>
      <w:pPr>
        <w:ind w:left="1980"/>
        <w:spacing w:after="0" w:line="229" w:lineRule="auto"/>
        <w:rPr>
          <w:sz w:val="20"/>
          <w:szCs w:val="20"/>
          <w:color w:val="auto"/>
        </w:rPr>
      </w:pPr>
      <w:r>
        <w:rPr>
          <w:rFonts w:ascii="Arial" w:cs="Arial" w:eastAsia="Arial" w:hAnsi="Arial"/>
          <w:sz w:val="20"/>
          <w:szCs w:val="20"/>
          <w:color w:val="3E3935"/>
        </w:rPr>
        <w:t>Joanne C. Crevoiserat</w:t>
      </w:r>
    </w:p>
    <w:p>
      <w:pPr>
        <w:ind w:left="1980"/>
        <w:spacing w:after="0" w:line="226" w:lineRule="auto"/>
        <w:rPr>
          <w:sz w:val="20"/>
          <w:szCs w:val="20"/>
          <w:color w:val="auto"/>
        </w:rPr>
      </w:pPr>
      <w:r>
        <w:rPr>
          <w:rFonts w:ascii="Arial" w:cs="Arial" w:eastAsia="Arial" w:hAnsi="Arial"/>
          <w:sz w:val="20"/>
          <w:szCs w:val="20"/>
          <w:color w:val="3E3935"/>
        </w:rPr>
        <w:t>Patricia F. Russo</w:t>
      </w:r>
    </w:p>
    <w:p>
      <w:pPr>
        <w:ind w:left="1980"/>
        <w:spacing w:after="0"/>
        <w:rPr>
          <w:sz w:val="20"/>
          <w:szCs w:val="20"/>
          <w:color w:val="auto"/>
        </w:rPr>
      </w:pPr>
      <w:r>
        <w:rPr>
          <w:rFonts w:ascii="Arial" w:cs="Arial" w:eastAsia="Arial" w:hAnsi="Arial"/>
          <w:sz w:val="20"/>
          <w:szCs w:val="20"/>
          <w:color w:val="3E3935"/>
        </w:rPr>
        <w:t>Mark A. Tatum</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780" w:type="dxa"/>
            <w:vAlign w:val="bottom"/>
          </w:tcPr>
          <w:p>
            <w:pPr>
              <w:spacing w:after="0"/>
              <w:rPr>
                <w:sz w:val="20"/>
                <w:szCs w:val="20"/>
                <w:color w:val="auto"/>
              </w:rPr>
            </w:pPr>
            <w:r>
              <w:rPr>
                <w:rFonts w:ascii="Arial" w:cs="Arial" w:eastAsia="Arial" w:hAnsi="Arial"/>
                <w:sz w:val="20"/>
                <w:szCs w:val="20"/>
                <w:b w:val="1"/>
                <w:bCs w:val="1"/>
                <w:color w:val="0071CE"/>
              </w:rPr>
              <w:t>Patricia F. Russo</w:t>
            </w:r>
          </w:p>
        </w:tc>
        <w:tc>
          <w:tcPr>
            <w:tcW w:w="2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3"/>
        </w:trPr>
        <w:tc>
          <w:tcPr>
            <w:tcW w:w="1780" w:type="dxa"/>
            <w:vAlign w:val="bottom"/>
          </w:tcPr>
          <w:p>
            <w:pPr>
              <w:spacing w:after="0"/>
              <w:rPr>
                <w:sz w:val="20"/>
                <w:szCs w:val="20"/>
                <w:color w:val="auto"/>
              </w:rPr>
            </w:pPr>
            <w:r>
              <w:rPr>
                <w:rFonts w:ascii="Arial" w:cs="Arial" w:eastAsia="Arial" w:hAnsi="Arial"/>
                <w:sz w:val="20"/>
                <w:szCs w:val="20"/>
                <w:b w:val="1"/>
                <w:bCs w:val="1"/>
                <w:color w:val="0071CE"/>
              </w:rPr>
              <w:t>Chair</w:t>
            </w:r>
          </w:p>
        </w:tc>
        <w:tc>
          <w:tcPr>
            <w:tcW w:w="2480" w:type="dxa"/>
            <w:vAlign w:val="bottom"/>
            <w:vMerge w:val="restart"/>
          </w:tcPr>
          <w:p>
            <w:pPr>
              <w:ind w:left="200"/>
              <w:spacing w:after="0"/>
              <w:rPr>
                <w:sz w:val="20"/>
                <w:szCs w:val="20"/>
                <w:color w:val="auto"/>
              </w:rPr>
            </w:pPr>
            <w:r>
              <w:rPr>
                <w:rFonts w:ascii="Arial" w:cs="Arial" w:eastAsia="Arial" w:hAnsi="Arial"/>
                <w:sz w:val="20"/>
                <w:szCs w:val="20"/>
                <w:b w:val="1"/>
                <w:bCs w:val="1"/>
                <w:i w:val="1"/>
                <w:iCs w:val="1"/>
                <w:color w:val="00C1DE"/>
                <w:w w:val="98"/>
              </w:rPr>
              <w:t>Meetings held in 2022: 4</w:t>
            </w:r>
          </w:p>
        </w:tc>
        <w:tc>
          <w:tcPr>
            <w:tcW w:w="0" w:type="dxa"/>
            <w:vAlign w:val="bottom"/>
          </w:tcPr>
          <w:p>
            <w:pPr>
              <w:spacing w:after="0"/>
              <w:rPr>
                <w:sz w:val="1"/>
                <w:szCs w:val="1"/>
                <w:color w:val="auto"/>
              </w:rPr>
            </w:pPr>
          </w:p>
        </w:tc>
      </w:tr>
      <w:tr>
        <w:trPr>
          <w:trHeight w:val="121"/>
        </w:trPr>
        <w:tc>
          <w:tcPr>
            <w:tcW w:w="1780" w:type="dxa"/>
            <w:vAlign w:val="bottom"/>
          </w:tcPr>
          <w:p>
            <w:pPr>
              <w:spacing w:after="0"/>
              <w:rPr>
                <w:sz w:val="10"/>
                <w:szCs w:val="10"/>
                <w:color w:val="auto"/>
              </w:rPr>
            </w:pPr>
          </w:p>
        </w:tc>
        <w:tc>
          <w:tcPr>
            <w:tcW w:w="24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-63500</wp:posOffset>
            </wp:positionH>
            <wp:positionV relativeFrom="paragraph">
              <wp:posOffset>30480</wp:posOffset>
            </wp:positionV>
            <wp:extent cx="3411855"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3411855" cy="8255"/>
                    </a:xfrm>
                    <a:prstGeom prst="rect">
                      <a:avLst/>
                    </a:prstGeom>
                    <a:noFill/>
                  </pic:spPr>
                </pic:pic>
              </a:graphicData>
            </a:graphic>
          </wp:anchor>
        </w:drawing>
      </w:r>
    </w:p>
    <w:p>
      <w:pPr>
        <w:spacing w:after="0" w:line="10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00C1DE"/>
        </w:rPr>
        <w:t>Key Responsibilities:</w:t>
      </w:r>
    </w:p>
    <w:p>
      <w:pPr>
        <w:spacing w:after="0" w:line="4" w:lineRule="exact"/>
        <w:rPr>
          <w:sz w:val="20"/>
          <w:szCs w:val="20"/>
          <w:color w:val="auto"/>
        </w:rPr>
      </w:pPr>
    </w:p>
    <w:p>
      <w:pPr>
        <w:jc w:val="both"/>
        <w:ind w:left="220" w:hanging="213"/>
        <w:spacing w:after="0" w:line="234" w:lineRule="auto"/>
        <w:tabs>
          <w:tab w:leader="none" w:pos="205" w:val="left"/>
        </w:tabs>
        <w:numPr>
          <w:ilvl w:val="0"/>
          <w:numId w:val="45"/>
        </w:numPr>
        <w:rPr>
          <w:rFonts w:ascii="Times New Roman" w:cs="Times New Roman" w:eastAsia="Times New Roman" w:hAnsi="Times New Roman"/>
          <w:sz w:val="20"/>
          <w:szCs w:val="20"/>
          <w:color w:val="00C1DE"/>
        </w:rPr>
      </w:pPr>
      <w:r>
        <w:rPr>
          <w:rFonts w:ascii="Arial" w:cs="Arial" w:eastAsia="Arial" w:hAnsi="Arial"/>
          <w:sz w:val="20"/>
          <w:szCs w:val="20"/>
          <w:color w:val="00C1DE"/>
        </w:rPr>
        <w:t> </w:t>
      </w:r>
      <w:r>
        <w:rPr>
          <w:rFonts w:ascii="Arial" w:cs="Arial" w:eastAsia="Arial" w:hAnsi="Arial"/>
          <w:sz w:val="20"/>
          <w:szCs w:val="20"/>
          <w:color w:val="3E3935"/>
        </w:rPr>
        <w:t>Reviews the Company’s corporate governance</w:t>
      </w:r>
      <w:r>
        <w:rPr>
          <w:rFonts w:ascii="Arial" w:cs="Arial" w:eastAsia="Arial" w:hAnsi="Arial"/>
          <w:sz w:val="20"/>
          <w:szCs w:val="20"/>
          <w:color w:val="00C1DE"/>
        </w:rPr>
        <w:t xml:space="preserve"> </w:t>
      </w:r>
      <w:r>
        <w:rPr>
          <w:rFonts w:ascii="Arial" w:cs="Arial" w:eastAsia="Arial" w:hAnsi="Arial"/>
          <w:sz w:val="20"/>
          <w:szCs w:val="20"/>
          <w:color w:val="3E3935"/>
        </w:rPr>
        <w:t>framework, including all significant governance policies and procedures;</w:t>
      </w:r>
    </w:p>
    <w:p>
      <w:pPr>
        <w:spacing w:after="0" w:line="1" w:lineRule="exact"/>
        <w:rPr>
          <w:rFonts w:ascii="Times New Roman" w:cs="Times New Roman" w:eastAsia="Times New Roman" w:hAnsi="Times New Roman"/>
          <w:sz w:val="20"/>
          <w:szCs w:val="20"/>
          <w:color w:val="00C1DE"/>
        </w:rPr>
      </w:pPr>
    </w:p>
    <w:p>
      <w:pPr>
        <w:jc w:val="both"/>
        <w:ind w:left="220" w:right="20" w:hanging="213"/>
        <w:spacing w:after="0" w:line="262" w:lineRule="auto"/>
        <w:tabs>
          <w:tab w:leader="none" w:pos="137" w:val="left"/>
        </w:tabs>
        <w:numPr>
          <w:ilvl w:val="0"/>
          <w:numId w:val="45"/>
        </w:numPr>
        <w:rPr>
          <w:rFonts w:ascii="Times New Roman" w:cs="Times New Roman" w:eastAsia="Times New Roman" w:hAnsi="Times New Roman"/>
          <w:sz w:val="20"/>
          <w:szCs w:val="20"/>
          <w:color w:val="00C1DE"/>
        </w:rPr>
      </w:pPr>
      <w:r>
        <w:rPr>
          <w:rFonts w:ascii="Arial" w:cs="Arial" w:eastAsia="Arial" w:hAnsi="Arial"/>
          <w:sz w:val="20"/>
          <w:szCs w:val="20"/>
          <w:color w:val="00C1DE"/>
        </w:rPr>
        <w:t>  </w:t>
      </w:r>
      <w:r>
        <w:rPr>
          <w:rFonts w:ascii="Arial" w:cs="Arial" w:eastAsia="Arial" w:hAnsi="Arial"/>
          <w:sz w:val="20"/>
          <w:szCs w:val="20"/>
          <w:color w:val="3E3935"/>
        </w:rPr>
        <w:t>Monitors Company policies and strategies related to</w:t>
      </w:r>
      <w:r>
        <w:rPr>
          <w:rFonts w:ascii="Arial" w:cs="Arial" w:eastAsia="Arial" w:hAnsi="Arial"/>
          <w:sz w:val="20"/>
          <w:szCs w:val="20"/>
          <w:color w:val="00C1DE"/>
        </w:rPr>
        <w:t xml:space="preserve"> </w:t>
      </w:r>
      <w:r>
        <w:rPr>
          <w:rFonts w:ascii="Arial" w:cs="Arial" w:eastAsia="Arial" w:hAnsi="Arial"/>
          <w:sz w:val="20"/>
          <w:szCs w:val="20"/>
          <w:color w:val="3E3935"/>
        </w:rPr>
        <w:t>corporate responsibility, sustainability, and political contributions and lobbying activities;</w:t>
      </w:r>
    </w:p>
    <w:p>
      <w:pPr>
        <w:spacing w:after="0" w:line="1" w:lineRule="exact"/>
        <w:rPr>
          <w:rFonts w:ascii="Times New Roman" w:cs="Times New Roman" w:eastAsia="Times New Roman" w:hAnsi="Times New Roman"/>
          <w:sz w:val="20"/>
          <w:szCs w:val="20"/>
          <w:color w:val="00C1DE"/>
        </w:rPr>
      </w:pPr>
    </w:p>
    <w:p>
      <w:pPr>
        <w:ind w:left="220" w:right="20" w:hanging="213"/>
        <w:spacing w:after="0" w:line="260" w:lineRule="auto"/>
        <w:tabs>
          <w:tab w:leader="none" w:pos="137" w:val="left"/>
        </w:tabs>
        <w:numPr>
          <w:ilvl w:val="0"/>
          <w:numId w:val="45"/>
        </w:numPr>
        <w:rPr>
          <w:rFonts w:ascii="Times New Roman" w:cs="Times New Roman" w:eastAsia="Times New Roman" w:hAnsi="Times New Roman"/>
          <w:sz w:val="20"/>
          <w:szCs w:val="20"/>
          <w:color w:val="00C1DE"/>
        </w:rPr>
      </w:pPr>
      <w:r>
        <w:rPr>
          <w:rFonts w:ascii="Arial" w:cs="Arial" w:eastAsia="Arial" w:hAnsi="Arial"/>
          <w:sz w:val="20"/>
          <w:szCs w:val="20"/>
          <w:color w:val="00C1DE"/>
        </w:rPr>
        <w:t>  </w:t>
      </w:r>
      <w:r>
        <w:rPr>
          <w:rFonts w:ascii="Arial" w:cs="Arial" w:eastAsia="Arial" w:hAnsi="Arial"/>
          <w:sz w:val="20"/>
          <w:szCs w:val="20"/>
          <w:color w:val="3E3935"/>
        </w:rPr>
        <w:t>Reviews the appropriate composition of the Board and</w:t>
      </w:r>
      <w:r>
        <w:rPr>
          <w:rFonts w:ascii="Arial" w:cs="Arial" w:eastAsia="Arial" w:hAnsi="Arial"/>
          <w:sz w:val="20"/>
          <w:szCs w:val="20"/>
          <w:color w:val="00C1DE"/>
        </w:rPr>
        <w:t xml:space="preserve"> </w:t>
      </w:r>
      <w:r>
        <w:rPr>
          <w:rFonts w:ascii="Arial" w:cs="Arial" w:eastAsia="Arial" w:hAnsi="Arial"/>
          <w:sz w:val="20"/>
          <w:szCs w:val="20"/>
          <w:color w:val="3E3935"/>
        </w:rPr>
        <w:t>recommends director nominees;</w:t>
      </w:r>
    </w:p>
    <w:p>
      <w:pPr>
        <w:ind w:left="220" w:hanging="213"/>
        <w:spacing w:after="0" w:line="260" w:lineRule="auto"/>
        <w:tabs>
          <w:tab w:leader="none" w:pos="151" w:val="left"/>
        </w:tabs>
        <w:numPr>
          <w:ilvl w:val="0"/>
          <w:numId w:val="45"/>
        </w:numPr>
        <w:rPr>
          <w:rFonts w:ascii="Times New Roman" w:cs="Times New Roman" w:eastAsia="Times New Roman" w:hAnsi="Times New Roman"/>
          <w:sz w:val="20"/>
          <w:szCs w:val="20"/>
          <w:color w:val="00C1DE"/>
        </w:rPr>
      </w:pPr>
      <w:r>
        <w:rPr>
          <w:rFonts w:ascii="Arial" w:cs="Arial" w:eastAsia="Arial" w:hAnsi="Arial"/>
          <w:sz w:val="20"/>
          <w:szCs w:val="20"/>
          <w:color w:val="00C1DE"/>
        </w:rPr>
        <w:t>  </w:t>
      </w:r>
      <w:r>
        <w:rPr>
          <w:rFonts w:ascii="Arial" w:cs="Arial" w:eastAsia="Arial" w:hAnsi="Arial"/>
          <w:sz w:val="20"/>
          <w:szCs w:val="20"/>
          <w:color w:val="3E3935"/>
        </w:rPr>
        <w:t>Monitors the self-evaluation process of the Board and</w:t>
      </w:r>
      <w:r>
        <w:rPr>
          <w:rFonts w:ascii="Arial" w:cs="Arial" w:eastAsia="Arial" w:hAnsi="Arial"/>
          <w:sz w:val="20"/>
          <w:szCs w:val="20"/>
          <w:color w:val="00C1DE"/>
        </w:rPr>
        <w:t xml:space="preserve"> </w:t>
      </w:r>
      <w:r>
        <w:rPr>
          <w:rFonts w:ascii="Arial" w:cs="Arial" w:eastAsia="Arial" w:hAnsi="Arial"/>
          <w:sz w:val="20"/>
          <w:szCs w:val="20"/>
          <w:color w:val="3E3935"/>
        </w:rPr>
        <w:t>committees;</w:t>
      </w:r>
    </w:p>
    <w:p>
      <w:pPr>
        <w:ind w:left="160" w:hanging="153"/>
        <w:spacing w:after="0"/>
        <w:tabs>
          <w:tab w:leader="none" w:pos="160" w:val="left"/>
        </w:tabs>
        <w:numPr>
          <w:ilvl w:val="0"/>
          <w:numId w:val="45"/>
        </w:numPr>
        <w:rPr>
          <w:rFonts w:ascii="Times New Roman" w:cs="Times New Roman" w:eastAsia="Times New Roman" w:hAnsi="Times New Roman"/>
          <w:sz w:val="20"/>
          <w:szCs w:val="20"/>
          <w:color w:val="00C1DE"/>
        </w:rPr>
      </w:pPr>
      <w:r>
        <w:rPr>
          <w:rFonts w:ascii="Arial" w:cs="Arial" w:eastAsia="Arial" w:hAnsi="Arial"/>
          <w:sz w:val="20"/>
          <w:szCs w:val="20"/>
          <w:color w:val="00C1DE"/>
        </w:rPr>
        <w:t>  </w:t>
      </w:r>
      <w:r>
        <w:rPr>
          <w:rFonts w:ascii="Arial" w:cs="Arial" w:eastAsia="Arial" w:hAnsi="Arial"/>
          <w:sz w:val="20"/>
          <w:szCs w:val="20"/>
          <w:color w:val="3E3935"/>
        </w:rPr>
        <w:t>Recommends compensation of non-employee directors</w:t>
      </w:r>
    </w:p>
    <w:p>
      <w:pPr>
        <w:spacing w:after="0" w:line="26" w:lineRule="exact"/>
        <w:rPr>
          <w:sz w:val="20"/>
          <w:szCs w:val="20"/>
          <w:color w:val="auto"/>
        </w:rPr>
      </w:pPr>
    </w:p>
    <w:p>
      <w:pPr>
        <w:ind w:left="220"/>
        <w:spacing w:after="0"/>
        <w:rPr>
          <w:sz w:val="20"/>
          <w:szCs w:val="20"/>
          <w:color w:val="auto"/>
        </w:rPr>
      </w:pPr>
      <w:r>
        <w:rPr>
          <w:rFonts w:ascii="Arial" w:cs="Arial" w:eastAsia="Arial" w:hAnsi="Arial"/>
          <w:sz w:val="20"/>
          <w:szCs w:val="20"/>
          <w:color w:val="3E3935"/>
        </w:rPr>
        <w:t>to the Board;</w:t>
      </w:r>
    </w:p>
    <w:p>
      <w:pPr>
        <w:spacing w:after="0" w:line="26" w:lineRule="exact"/>
        <w:rPr>
          <w:sz w:val="20"/>
          <w:szCs w:val="20"/>
          <w:color w:val="auto"/>
        </w:rPr>
      </w:pPr>
    </w:p>
    <w:p>
      <w:pPr>
        <w:jc w:val="both"/>
        <w:ind w:left="220" w:right="20" w:hanging="215"/>
        <w:spacing w:after="0" w:line="262" w:lineRule="auto"/>
        <w:rPr>
          <w:sz w:val="20"/>
          <w:szCs w:val="20"/>
          <w:color w:val="auto"/>
        </w:rPr>
      </w:pPr>
      <w:r>
        <w:rPr>
          <w:rFonts w:ascii="Times New Roman" w:cs="Times New Roman" w:eastAsia="Times New Roman" w:hAnsi="Times New Roman"/>
          <w:sz w:val="20"/>
          <w:szCs w:val="20"/>
          <w:color w:val="00C1DE"/>
        </w:rPr>
        <w:t>●</w:t>
      </w:r>
      <w:r>
        <w:rPr>
          <w:rFonts w:ascii="Arial" w:cs="Arial" w:eastAsia="Arial" w:hAnsi="Arial"/>
          <w:sz w:val="20"/>
          <w:szCs w:val="20"/>
          <w:color w:val="00C1DE"/>
        </w:rPr>
        <w:t>  </w:t>
      </w:r>
      <w:r>
        <w:rPr>
          <w:rFonts w:ascii="Arial" w:cs="Arial" w:eastAsia="Arial" w:hAnsi="Arial"/>
          <w:sz w:val="20"/>
          <w:szCs w:val="20"/>
          <w:color w:val="3E3935"/>
        </w:rPr>
        <w:t>Oversees the Company’s development of ESG initiatives,</w:t>
      </w:r>
      <w:r>
        <w:rPr>
          <w:rFonts w:ascii="Times New Roman" w:cs="Times New Roman" w:eastAsia="Times New Roman" w:hAnsi="Times New Roman"/>
          <w:sz w:val="20"/>
          <w:szCs w:val="20"/>
          <w:color w:val="00C1DE"/>
        </w:rPr>
        <w:t xml:space="preserve"> </w:t>
      </w:r>
      <w:r>
        <w:rPr>
          <w:rFonts w:ascii="Arial" w:cs="Arial" w:eastAsia="Arial" w:hAnsi="Arial"/>
          <w:sz w:val="20"/>
          <w:szCs w:val="20"/>
          <w:color w:val="3E3935"/>
        </w:rPr>
        <w:t>strategies, policies, and practices related to sustainability and corporate responsibility;</w:t>
      </w:r>
    </w:p>
    <w:p>
      <w:pPr>
        <w:spacing w:after="0" w:line="1" w:lineRule="exact"/>
        <w:rPr>
          <w:sz w:val="20"/>
          <w:szCs w:val="20"/>
          <w:color w:val="auto"/>
        </w:rPr>
      </w:pPr>
    </w:p>
    <w:p>
      <w:pPr>
        <w:jc w:val="both"/>
        <w:ind w:left="220" w:right="20" w:hanging="215"/>
        <w:spacing w:after="0" w:line="262" w:lineRule="auto"/>
        <w:rPr>
          <w:sz w:val="20"/>
          <w:szCs w:val="20"/>
          <w:color w:val="auto"/>
        </w:rPr>
      </w:pPr>
      <w:r>
        <w:rPr>
          <w:rFonts w:ascii="Times New Roman" w:cs="Times New Roman" w:eastAsia="Times New Roman" w:hAnsi="Times New Roman"/>
          <w:sz w:val="20"/>
          <w:szCs w:val="20"/>
          <w:color w:val="00C1DE"/>
        </w:rPr>
        <w:t>●</w:t>
      </w:r>
      <w:r>
        <w:rPr>
          <w:rFonts w:ascii="Arial" w:cs="Arial" w:eastAsia="Arial" w:hAnsi="Arial"/>
          <w:sz w:val="20"/>
          <w:szCs w:val="20"/>
          <w:color w:val="00C1DE"/>
        </w:rPr>
        <w:t>  </w:t>
      </w:r>
      <w:r>
        <w:rPr>
          <w:rFonts w:ascii="Arial" w:cs="Arial" w:eastAsia="Arial" w:hAnsi="Arial"/>
          <w:sz w:val="20"/>
          <w:szCs w:val="20"/>
          <w:color w:val="3E3935"/>
        </w:rPr>
        <w:t>Reviews and approves, in consultation with the Audit</w:t>
      </w:r>
      <w:r>
        <w:rPr>
          <w:rFonts w:ascii="Times New Roman" w:cs="Times New Roman" w:eastAsia="Times New Roman" w:hAnsi="Times New Roman"/>
          <w:sz w:val="20"/>
          <w:szCs w:val="20"/>
          <w:color w:val="00C1DE"/>
        </w:rPr>
        <w:t xml:space="preserve"> </w:t>
      </w:r>
      <w:r>
        <w:rPr>
          <w:rFonts w:ascii="Arial" w:cs="Arial" w:eastAsia="Arial" w:hAnsi="Arial"/>
          <w:sz w:val="20"/>
          <w:szCs w:val="20"/>
          <w:color w:val="3E3935"/>
        </w:rPr>
        <w:t>Committee, the Company’s annual Sustainability Report; and</w:t>
      </w:r>
    </w:p>
    <w:p>
      <w:pPr>
        <w:spacing w:after="0" w:line="1" w:lineRule="exact"/>
        <w:rPr>
          <w:sz w:val="20"/>
          <w:szCs w:val="20"/>
          <w:color w:val="auto"/>
        </w:rPr>
      </w:pPr>
    </w:p>
    <w:p>
      <w:pPr>
        <w:jc w:val="both"/>
        <w:ind w:left="220" w:right="20" w:hanging="215"/>
        <w:spacing w:after="0" w:line="279" w:lineRule="auto"/>
        <w:rPr>
          <w:sz w:val="20"/>
          <w:szCs w:val="20"/>
          <w:color w:val="auto"/>
        </w:rPr>
      </w:pPr>
      <w:r>
        <w:rPr>
          <w:rFonts w:ascii="Times New Roman" w:cs="Times New Roman" w:eastAsia="Times New Roman" w:hAnsi="Times New Roman"/>
          <w:sz w:val="20"/>
          <w:szCs w:val="20"/>
          <w:color w:val="00C1DE"/>
        </w:rPr>
        <w:t>●</w:t>
      </w:r>
      <w:r>
        <w:rPr>
          <w:rFonts w:ascii="Arial" w:cs="Arial" w:eastAsia="Arial" w:hAnsi="Arial"/>
          <w:sz w:val="20"/>
          <w:szCs w:val="20"/>
          <w:color w:val="00C1DE"/>
        </w:rPr>
        <w:t>  </w:t>
      </w:r>
      <w:r>
        <w:rPr>
          <w:rFonts w:ascii="Arial" w:cs="Arial" w:eastAsia="Arial" w:hAnsi="Arial"/>
          <w:sz w:val="20"/>
          <w:szCs w:val="20"/>
          <w:color w:val="3E3935"/>
        </w:rPr>
        <w:t>Reviews and approves related party transactions and any</w:t>
      </w:r>
      <w:r>
        <w:rPr>
          <w:rFonts w:ascii="Times New Roman" w:cs="Times New Roman" w:eastAsia="Times New Roman" w:hAnsi="Times New Roman"/>
          <w:sz w:val="20"/>
          <w:szCs w:val="20"/>
          <w:color w:val="00C1DE"/>
        </w:rPr>
        <w:t xml:space="preserve"> </w:t>
      </w:r>
      <w:r>
        <w:rPr>
          <w:rFonts w:ascii="Arial" w:cs="Arial" w:eastAsia="Arial" w:hAnsi="Arial"/>
          <w:sz w:val="20"/>
          <w:szCs w:val="20"/>
          <w:color w:val="3E3935"/>
        </w:rPr>
        <w:t>potential director conflicts of interest, as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235585</wp:posOffset>
            </wp:positionH>
            <wp:positionV relativeFrom="paragraph">
              <wp:posOffset>81280</wp:posOffset>
            </wp:positionV>
            <wp:extent cx="2888615" cy="24428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2888615" cy="24428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420" w:space="440"/>
            <w:col w:w="5280"/>
          </w:cols>
          <w:pgMar w:left="320" w:top="482"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120"/>
        <w:spacing w:after="0"/>
        <w:rPr>
          <w:sz w:val="20"/>
          <w:szCs w:val="20"/>
          <w:color w:val="auto"/>
        </w:rPr>
      </w:pPr>
      <w:r>
        <w:rPr>
          <w:rFonts w:ascii="Arial" w:cs="Arial" w:eastAsia="Arial" w:hAnsi="Arial"/>
          <w:sz w:val="14"/>
          <w:szCs w:val="14"/>
          <w:color w:val="0071CE"/>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wp:posOffset>
            </wp:positionH>
            <wp:positionV relativeFrom="paragraph">
              <wp:posOffset>-95885</wp:posOffset>
            </wp:positionV>
            <wp:extent cx="5983605" cy="10287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5983605" cy="102870"/>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type w:val="continuous"/>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208280</wp:posOffset>
            </wp:positionV>
            <wp:extent cx="3368675" cy="3600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3368675" cy="360045"/>
                    </a:xfrm>
                    <a:prstGeom prst="rect">
                      <a:avLst/>
                    </a:prstGeom>
                    <a:noFill/>
                  </pic:spPr>
                </pic:pic>
              </a:graphicData>
            </a:graphic>
          </wp:anchor>
        </w:drawing>
      </w:r>
    </w:p>
    <w:p>
      <w:pPr>
        <w:spacing w:after="0" w:line="200" w:lineRule="exact"/>
        <w:rPr>
          <w:sz w:val="20"/>
          <w:szCs w:val="20"/>
          <w:color w:val="auto"/>
        </w:rPr>
      </w:pPr>
    </w:p>
    <w:p>
      <w:pPr>
        <w:spacing w:after="0" w:line="260" w:lineRule="exact"/>
        <w:rPr>
          <w:sz w:val="20"/>
          <w:szCs w:val="20"/>
          <w:color w:val="auto"/>
        </w:rPr>
      </w:pPr>
    </w:p>
    <w:p>
      <w:pPr>
        <w:jc w:val="center"/>
        <w:ind w:left="120"/>
        <w:spacing w:after="0"/>
        <w:rPr>
          <w:sz w:val="20"/>
          <w:szCs w:val="20"/>
          <w:color w:val="auto"/>
        </w:rPr>
      </w:pPr>
      <w:r>
        <w:rPr>
          <w:rFonts w:ascii="Arial" w:cs="Arial" w:eastAsia="Arial" w:hAnsi="Arial"/>
          <w:sz w:val="20"/>
          <w:szCs w:val="20"/>
          <w:b w:val="1"/>
          <w:bCs w:val="1"/>
          <w:color w:val="FFFFFF"/>
        </w:rPr>
        <w:t>RISK AND CYBERSECURITY</w:t>
      </w:r>
    </w:p>
    <w:p>
      <w:pPr>
        <w:spacing w:after="0" w:line="245" w:lineRule="exact"/>
        <w:rPr>
          <w:sz w:val="20"/>
          <w:szCs w:val="20"/>
          <w:color w:val="auto"/>
        </w:rPr>
      </w:pPr>
    </w:p>
    <w:p>
      <w:pPr>
        <w:ind w:left="2000"/>
        <w:spacing w:after="0"/>
        <w:rPr>
          <w:sz w:val="20"/>
          <w:szCs w:val="20"/>
          <w:color w:val="auto"/>
        </w:rPr>
      </w:pPr>
      <w:r>
        <w:rPr>
          <w:rFonts w:ascii="Arial" w:cs="Arial" w:eastAsia="Arial" w:hAnsi="Arial"/>
          <w:sz w:val="20"/>
          <w:szCs w:val="20"/>
          <w:color w:val="3E3935"/>
        </w:rPr>
        <w:t>Linda R. Gooden</w:t>
      </w:r>
    </w:p>
    <w:p>
      <w:pPr>
        <w:ind w:left="2000"/>
        <w:spacing w:after="0" w:line="229" w:lineRule="auto"/>
        <w:rPr>
          <w:sz w:val="20"/>
          <w:szCs w:val="20"/>
          <w:color w:val="auto"/>
        </w:rPr>
      </w:pPr>
      <w:r>
        <w:rPr>
          <w:rFonts w:ascii="Arial" w:cs="Arial" w:eastAsia="Arial" w:hAnsi="Arial"/>
          <w:sz w:val="20"/>
          <w:szCs w:val="20"/>
          <w:color w:val="3E3935"/>
        </w:rPr>
        <w:t>Joseph Jimenez</w:t>
      </w:r>
    </w:p>
    <w:p>
      <w:pPr>
        <w:ind w:left="2000"/>
        <w:spacing w:after="0" w:line="226" w:lineRule="auto"/>
        <w:rPr>
          <w:sz w:val="20"/>
          <w:szCs w:val="20"/>
          <w:color w:val="auto"/>
        </w:rPr>
      </w:pPr>
      <w:r>
        <w:rPr>
          <w:rFonts w:ascii="Arial" w:cs="Arial" w:eastAsia="Arial" w:hAnsi="Arial"/>
          <w:sz w:val="20"/>
          <w:szCs w:val="20"/>
          <w:color w:val="3E3935"/>
        </w:rPr>
        <w:t>Judith A. Miscik</w:t>
      </w:r>
    </w:p>
    <w:p>
      <w:pPr>
        <w:ind w:left="2000"/>
        <w:spacing w:after="0" w:line="225" w:lineRule="auto"/>
        <w:rPr>
          <w:sz w:val="20"/>
          <w:szCs w:val="20"/>
          <w:color w:val="auto"/>
        </w:rPr>
      </w:pPr>
      <w:r>
        <w:rPr>
          <w:rFonts w:ascii="Arial" w:cs="Arial" w:eastAsia="Arial" w:hAnsi="Arial"/>
          <w:sz w:val="20"/>
          <w:szCs w:val="20"/>
          <w:color w:val="3E3935"/>
        </w:rPr>
        <w:t>Thomas M. Schoewe</w:t>
      </w:r>
    </w:p>
    <w:p>
      <w:pPr>
        <w:ind w:left="2000"/>
        <w:spacing w:after="0"/>
        <w:rPr>
          <w:sz w:val="20"/>
          <w:szCs w:val="20"/>
          <w:color w:val="auto"/>
        </w:rPr>
      </w:pPr>
      <w:r>
        <w:rPr>
          <w:rFonts w:ascii="Arial" w:cs="Arial" w:eastAsia="Arial" w:hAnsi="Arial"/>
          <w:sz w:val="20"/>
          <w:szCs w:val="20"/>
          <w:color w:val="3E3935"/>
        </w:rPr>
        <w:t>Devin N. Wenig</w:t>
      </w:r>
    </w:p>
    <w:p>
      <w:pPr>
        <w:spacing w:after="0" w:line="6" w:lineRule="exact"/>
        <w:rPr>
          <w:sz w:val="20"/>
          <w:szCs w:val="20"/>
          <w:color w:val="auto"/>
        </w:rPr>
      </w:pPr>
    </w:p>
    <w:tbl>
      <w:tblPr>
        <w:tblLayout w:type="fixed"/>
        <w:tblInd w:w="120" w:type="dxa"/>
        <w:tblCellMar>
          <w:top w:w="0" w:type="dxa"/>
          <w:left w:w="0" w:type="dxa"/>
          <w:bottom w:w="0" w:type="dxa"/>
          <w:right w:w="0" w:type="dxa"/>
        </w:tblCellMar>
      </w:tblPr>
      <w:tr>
        <w:trPr>
          <w:trHeight w:val="230"/>
        </w:trPr>
        <w:tc>
          <w:tcPr>
            <w:tcW w:w="3400" w:type="dxa"/>
            <w:vAlign w:val="bottom"/>
            <w:gridSpan w:val="2"/>
          </w:tcPr>
          <w:p>
            <w:pPr>
              <w:spacing w:after="0"/>
              <w:rPr>
                <w:sz w:val="20"/>
                <w:szCs w:val="20"/>
                <w:color w:val="auto"/>
              </w:rPr>
            </w:pPr>
            <w:r>
              <w:rPr>
                <w:rFonts w:ascii="Arial" w:cs="Arial" w:eastAsia="Arial" w:hAnsi="Arial"/>
                <w:sz w:val="20"/>
                <w:szCs w:val="20"/>
                <w:b w:val="1"/>
                <w:bCs w:val="1"/>
                <w:color w:val="0071CE"/>
              </w:rPr>
              <w:t>Linda R. Gooden</w:t>
            </w:r>
          </w:p>
        </w:tc>
        <w:tc>
          <w:tcPr>
            <w:tcW w:w="1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3"/>
        </w:trPr>
        <w:tc>
          <w:tcPr>
            <w:tcW w:w="1040" w:type="dxa"/>
            <w:vAlign w:val="bottom"/>
          </w:tcPr>
          <w:p>
            <w:pPr>
              <w:spacing w:after="0"/>
              <w:rPr>
                <w:sz w:val="20"/>
                <w:szCs w:val="20"/>
                <w:color w:val="auto"/>
              </w:rPr>
            </w:pPr>
            <w:r>
              <w:rPr>
                <w:rFonts w:ascii="Arial" w:cs="Arial" w:eastAsia="Arial" w:hAnsi="Arial"/>
                <w:sz w:val="20"/>
                <w:szCs w:val="20"/>
                <w:b w:val="1"/>
                <w:bCs w:val="1"/>
                <w:color w:val="0071CE"/>
              </w:rPr>
              <w:t>Chair</w:t>
            </w:r>
          </w:p>
        </w:tc>
        <w:tc>
          <w:tcPr>
            <w:tcW w:w="4260" w:type="dxa"/>
            <w:vAlign w:val="bottom"/>
            <w:gridSpan w:val="2"/>
            <w:vMerge w:val="restart"/>
          </w:tcPr>
          <w:p>
            <w:pPr>
              <w:jc w:val="right"/>
              <w:ind w:right="1041"/>
              <w:spacing w:after="0"/>
              <w:rPr>
                <w:sz w:val="20"/>
                <w:szCs w:val="20"/>
                <w:color w:val="auto"/>
              </w:rPr>
            </w:pPr>
            <w:r>
              <w:rPr>
                <w:rFonts w:ascii="Arial" w:cs="Arial" w:eastAsia="Arial" w:hAnsi="Arial"/>
                <w:sz w:val="20"/>
                <w:szCs w:val="20"/>
                <w:b w:val="1"/>
                <w:bCs w:val="1"/>
                <w:i w:val="1"/>
                <w:iCs w:val="1"/>
                <w:color w:val="00C1DE"/>
              </w:rPr>
              <w:t>Meetings held in 2022: 3</w:t>
            </w:r>
          </w:p>
        </w:tc>
        <w:tc>
          <w:tcPr>
            <w:tcW w:w="0" w:type="dxa"/>
            <w:vAlign w:val="bottom"/>
          </w:tcPr>
          <w:p>
            <w:pPr>
              <w:spacing w:after="0"/>
              <w:rPr>
                <w:sz w:val="1"/>
                <w:szCs w:val="1"/>
                <w:color w:val="auto"/>
              </w:rPr>
            </w:pPr>
          </w:p>
        </w:tc>
      </w:tr>
      <w:tr>
        <w:trPr>
          <w:trHeight w:val="108"/>
        </w:trPr>
        <w:tc>
          <w:tcPr>
            <w:tcW w:w="1040" w:type="dxa"/>
            <w:vAlign w:val="bottom"/>
          </w:tcPr>
          <w:p>
            <w:pPr>
              <w:spacing w:after="0"/>
              <w:rPr>
                <w:sz w:val="9"/>
                <w:szCs w:val="9"/>
                <w:color w:val="auto"/>
              </w:rPr>
            </w:pPr>
          </w:p>
        </w:tc>
        <w:tc>
          <w:tcPr>
            <w:tcW w:w="426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8"/>
        </w:trPr>
        <w:tc>
          <w:tcPr>
            <w:tcW w:w="3400" w:type="dxa"/>
            <w:vAlign w:val="bottom"/>
            <w:tcBorders>
              <w:bottom w:val="single" w:sz="8" w:color="0071CE"/>
            </w:tcBorders>
            <w:gridSpan w:val="2"/>
          </w:tcPr>
          <w:p>
            <w:pPr>
              <w:spacing w:after="0"/>
              <w:rPr>
                <w:sz w:val="4"/>
                <w:szCs w:val="4"/>
                <w:color w:val="auto"/>
              </w:rPr>
            </w:pPr>
          </w:p>
        </w:tc>
        <w:tc>
          <w:tcPr>
            <w:tcW w:w="1900" w:type="dxa"/>
            <w:vAlign w:val="bottom"/>
            <w:tcBorders>
              <w:bottom w:val="single" w:sz="8" w:color="0071CE"/>
            </w:tcBorders>
          </w:tcPr>
          <w:p>
            <w:pPr>
              <w:spacing w:after="0"/>
              <w:rPr>
                <w:sz w:val="4"/>
                <w:szCs w:val="4"/>
                <w:color w:val="auto"/>
              </w:rPr>
            </w:pPr>
          </w:p>
        </w:tc>
        <w:tc>
          <w:tcPr>
            <w:tcW w:w="0" w:type="dxa"/>
            <w:vAlign w:val="bottom"/>
          </w:tcPr>
          <w:p>
            <w:pPr>
              <w:spacing w:after="0"/>
              <w:rPr>
                <w:sz w:val="1"/>
                <w:szCs w:val="1"/>
                <w:color w:val="auto"/>
              </w:rPr>
            </w:pPr>
          </w:p>
        </w:tc>
      </w:tr>
      <w:tr>
        <w:trPr>
          <w:trHeight w:val="281"/>
        </w:trPr>
        <w:tc>
          <w:tcPr>
            <w:tcW w:w="3400" w:type="dxa"/>
            <w:vAlign w:val="bottom"/>
            <w:gridSpan w:val="2"/>
          </w:tcPr>
          <w:p>
            <w:pPr>
              <w:spacing w:after="0"/>
              <w:rPr>
                <w:sz w:val="20"/>
                <w:szCs w:val="20"/>
                <w:color w:val="auto"/>
              </w:rPr>
            </w:pPr>
            <w:r>
              <w:rPr>
                <w:rFonts w:ascii="Arial" w:cs="Arial" w:eastAsia="Arial" w:hAnsi="Arial"/>
                <w:sz w:val="20"/>
                <w:szCs w:val="20"/>
                <w:b w:val="1"/>
                <w:bCs w:val="1"/>
                <w:i w:val="1"/>
                <w:iCs w:val="1"/>
                <w:color w:val="00C1DE"/>
              </w:rPr>
              <w:t>Key Responsibilities:</w:t>
            </w:r>
          </w:p>
        </w:tc>
        <w:tc>
          <w:tcPr>
            <w:tcW w:w="1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040" w:type="dxa"/>
            <w:vAlign w:val="bottom"/>
          </w:tcPr>
          <w:p>
            <w:pPr>
              <w:spacing w:after="0"/>
              <w:rPr>
                <w:sz w:val="20"/>
                <w:szCs w:val="20"/>
                <w:color w:val="auto"/>
              </w:rPr>
            </w:pPr>
            <w:r>
              <w:rPr>
                <w:rFonts w:ascii="Times New Roman" w:cs="Times New Roman" w:eastAsia="Times New Roman" w:hAnsi="Times New Roman"/>
                <w:sz w:val="20"/>
                <w:szCs w:val="20"/>
                <w:color w:val="00C1DE"/>
              </w:rPr>
              <w:t>●</w:t>
            </w:r>
            <w:r>
              <w:rPr>
                <w:rFonts w:ascii="Arial" w:cs="Arial" w:eastAsia="Arial" w:hAnsi="Arial"/>
                <w:sz w:val="20"/>
                <w:szCs w:val="20"/>
                <w:color w:val="00C1DE"/>
              </w:rPr>
              <w:t>  </w:t>
            </w:r>
            <w:r>
              <w:rPr>
                <w:rFonts w:ascii="Arial" w:cs="Arial" w:eastAsia="Arial" w:hAnsi="Arial"/>
                <w:sz w:val="20"/>
                <w:szCs w:val="20"/>
                <w:color w:val="3E3935"/>
              </w:rPr>
              <w:t>Reviews</w:t>
            </w:r>
          </w:p>
        </w:tc>
        <w:tc>
          <w:tcPr>
            <w:tcW w:w="2360" w:type="dxa"/>
            <w:vAlign w:val="bottom"/>
          </w:tcPr>
          <w:p>
            <w:pPr>
              <w:jc w:val="center"/>
              <w:spacing w:after="0"/>
              <w:rPr>
                <w:sz w:val="20"/>
                <w:szCs w:val="20"/>
                <w:color w:val="auto"/>
              </w:rPr>
            </w:pPr>
            <w:r>
              <w:rPr>
                <w:rFonts w:ascii="Arial" w:cs="Arial" w:eastAsia="Arial" w:hAnsi="Arial"/>
                <w:sz w:val="20"/>
                <w:szCs w:val="20"/>
                <w:color w:val="3E3935"/>
              </w:rPr>
              <w:t>the  Company’s  key</w:t>
            </w:r>
          </w:p>
        </w:tc>
        <w:tc>
          <w:tcPr>
            <w:tcW w:w="1900" w:type="dxa"/>
            <w:vAlign w:val="bottom"/>
          </w:tcPr>
          <w:p>
            <w:pPr>
              <w:jc w:val="right"/>
              <w:spacing w:after="0"/>
              <w:rPr>
                <w:sz w:val="20"/>
                <w:szCs w:val="20"/>
                <w:color w:val="auto"/>
              </w:rPr>
            </w:pPr>
            <w:r>
              <w:rPr>
                <w:rFonts w:ascii="Arial" w:cs="Arial" w:eastAsia="Arial" w:hAnsi="Arial"/>
                <w:sz w:val="20"/>
                <w:szCs w:val="20"/>
                <w:color w:val="3E3935"/>
              </w:rPr>
              <w:t>strategic, enterprise,</w:t>
            </w:r>
          </w:p>
        </w:tc>
        <w:tc>
          <w:tcPr>
            <w:tcW w:w="0" w:type="dxa"/>
            <w:vAlign w:val="bottom"/>
          </w:tcPr>
          <w:p>
            <w:pPr>
              <w:spacing w:after="0"/>
              <w:rPr>
                <w:sz w:val="1"/>
                <w:szCs w:val="1"/>
                <w:color w:val="auto"/>
              </w:rPr>
            </w:pPr>
          </w:p>
        </w:tc>
      </w:tr>
      <w:tr>
        <w:trPr>
          <w:trHeight w:val="255"/>
        </w:trPr>
        <w:tc>
          <w:tcPr>
            <w:tcW w:w="3400" w:type="dxa"/>
            <w:vAlign w:val="bottom"/>
            <w:gridSpan w:val="2"/>
          </w:tcPr>
          <w:p>
            <w:pPr>
              <w:ind w:left="220"/>
              <w:spacing w:after="0"/>
              <w:rPr>
                <w:sz w:val="20"/>
                <w:szCs w:val="20"/>
                <w:color w:val="auto"/>
              </w:rPr>
            </w:pPr>
            <w:r>
              <w:rPr>
                <w:rFonts w:ascii="Arial" w:cs="Arial" w:eastAsia="Arial" w:hAnsi="Arial"/>
                <w:sz w:val="20"/>
                <w:szCs w:val="20"/>
                <w:color w:val="3E3935"/>
              </w:rPr>
              <w:t>and cybersecurity risks;</w:t>
            </w:r>
          </w:p>
        </w:tc>
        <w:tc>
          <w:tcPr>
            <w:tcW w:w="1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2"/>
        </w:trPr>
        <w:tc>
          <w:tcPr>
            <w:tcW w:w="1040" w:type="dxa"/>
            <w:vAlign w:val="bottom"/>
          </w:tcPr>
          <w:p>
            <w:pPr>
              <w:spacing w:after="0"/>
              <w:rPr>
                <w:sz w:val="20"/>
                <w:szCs w:val="20"/>
                <w:color w:val="auto"/>
              </w:rPr>
            </w:pPr>
            <w:r>
              <w:rPr>
                <w:rFonts w:ascii="Times New Roman" w:cs="Times New Roman" w:eastAsia="Times New Roman" w:hAnsi="Times New Roman"/>
                <w:sz w:val="20"/>
                <w:szCs w:val="20"/>
                <w:color w:val="00C1DE"/>
              </w:rPr>
              <w:t>●</w:t>
            </w:r>
            <w:r>
              <w:rPr>
                <w:rFonts w:ascii="Arial" w:cs="Arial" w:eastAsia="Arial" w:hAnsi="Arial"/>
                <w:sz w:val="20"/>
                <w:szCs w:val="20"/>
                <w:color w:val="00C1DE"/>
              </w:rPr>
              <w:t>  </w:t>
            </w:r>
            <w:r>
              <w:rPr>
                <w:rFonts w:ascii="Arial" w:cs="Arial" w:eastAsia="Arial" w:hAnsi="Arial"/>
                <w:sz w:val="20"/>
                <w:szCs w:val="20"/>
                <w:color w:val="3E3935"/>
              </w:rPr>
              <w:t>Reviews</w:t>
            </w:r>
          </w:p>
        </w:tc>
        <w:tc>
          <w:tcPr>
            <w:tcW w:w="2360" w:type="dxa"/>
            <w:vAlign w:val="bottom"/>
          </w:tcPr>
          <w:p>
            <w:pPr>
              <w:jc w:val="center"/>
              <w:spacing w:after="0"/>
              <w:rPr>
                <w:sz w:val="20"/>
                <w:szCs w:val="20"/>
                <w:color w:val="auto"/>
              </w:rPr>
            </w:pPr>
            <w:r>
              <w:rPr>
                <w:rFonts w:ascii="Arial" w:cs="Arial" w:eastAsia="Arial" w:hAnsi="Arial"/>
                <w:sz w:val="20"/>
                <w:szCs w:val="20"/>
                <w:color w:val="3E3935"/>
              </w:rPr>
              <w:t>privacy  risk,  including</w:t>
            </w:r>
          </w:p>
        </w:tc>
        <w:tc>
          <w:tcPr>
            <w:tcW w:w="1900" w:type="dxa"/>
            <w:vAlign w:val="bottom"/>
          </w:tcPr>
          <w:p>
            <w:pPr>
              <w:jc w:val="right"/>
              <w:spacing w:after="0"/>
              <w:rPr>
                <w:sz w:val="20"/>
                <w:szCs w:val="20"/>
                <w:color w:val="auto"/>
              </w:rPr>
            </w:pPr>
            <w:r>
              <w:rPr>
                <w:rFonts w:ascii="Arial" w:cs="Arial" w:eastAsia="Arial" w:hAnsi="Arial"/>
                <w:sz w:val="20"/>
                <w:szCs w:val="20"/>
                <w:color w:val="3E3935"/>
              </w:rPr>
              <w:t>potential  impact to</w:t>
            </w:r>
          </w:p>
        </w:tc>
        <w:tc>
          <w:tcPr>
            <w:tcW w:w="0" w:type="dxa"/>
            <w:vAlign w:val="bottom"/>
          </w:tcPr>
          <w:p>
            <w:pPr>
              <w:spacing w:after="0"/>
              <w:rPr>
                <w:sz w:val="1"/>
                <w:szCs w:val="1"/>
                <w:color w:val="auto"/>
              </w:rPr>
            </w:pPr>
          </w:p>
        </w:tc>
      </w:tr>
    </w:tbl>
    <w:p>
      <w:pPr>
        <w:ind w:left="340"/>
        <w:spacing w:after="0" w:line="260" w:lineRule="auto"/>
        <w:rPr>
          <w:sz w:val="20"/>
          <w:szCs w:val="20"/>
          <w:color w:val="auto"/>
        </w:rPr>
      </w:pPr>
      <w:r>
        <w:rPr>
          <w:rFonts w:ascii="Arial" w:cs="Arial" w:eastAsia="Arial" w:hAnsi="Arial"/>
          <w:sz w:val="20"/>
          <w:szCs w:val="20"/>
          <w:color w:val="3E3935"/>
        </w:rPr>
        <w:t>the Company’s employees, customers, and other stakeholders;</w:t>
      </w:r>
    </w:p>
    <w:p>
      <w:pPr>
        <w:spacing w:after="0" w:line="1" w:lineRule="exact"/>
        <w:rPr>
          <w:sz w:val="20"/>
          <w:szCs w:val="20"/>
          <w:color w:val="auto"/>
        </w:rPr>
      </w:pPr>
    </w:p>
    <w:p>
      <w:pPr>
        <w:jc w:val="both"/>
        <w:ind w:left="340" w:hanging="215"/>
        <w:spacing w:after="0" w:line="263" w:lineRule="auto"/>
        <w:rPr>
          <w:sz w:val="20"/>
          <w:szCs w:val="20"/>
          <w:color w:val="auto"/>
        </w:rPr>
      </w:pPr>
      <w:r>
        <w:rPr>
          <w:rFonts w:ascii="Times New Roman" w:cs="Times New Roman" w:eastAsia="Times New Roman" w:hAnsi="Times New Roman"/>
          <w:sz w:val="20"/>
          <w:szCs w:val="20"/>
          <w:color w:val="00C1DE"/>
        </w:rPr>
        <w:t>●</w:t>
      </w:r>
      <w:r>
        <w:rPr>
          <w:rFonts w:ascii="Arial" w:cs="Arial" w:eastAsia="Arial" w:hAnsi="Arial"/>
          <w:sz w:val="20"/>
          <w:szCs w:val="20"/>
          <w:color w:val="00C1DE"/>
        </w:rPr>
        <w:t>  </w:t>
      </w:r>
      <w:r>
        <w:rPr>
          <w:rFonts w:ascii="Arial" w:cs="Arial" w:eastAsia="Arial" w:hAnsi="Arial"/>
          <w:sz w:val="20"/>
          <w:szCs w:val="20"/>
          <w:color w:val="3E3935"/>
        </w:rPr>
        <w:t>Reviews the Company’s risk management framework and</w:t>
      </w:r>
      <w:r>
        <w:rPr>
          <w:rFonts w:ascii="Times New Roman" w:cs="Times New Roman" w:eastAsia="Times New Roman" w:hAnsi="Times New Roman"/>
          <w:sz w:val="20"/>
          <w:szCs w:val="20"/>
          <w:color w:val="00C1DE"/>
        </w:rPr>
        <w:t xml:space="preserve"> </w:t>
      </w:r>
      <w:r>
        <w:rPr>
          <w:rFonts w:ascii="Arial" w:cs="Arial" w:eastAsia="Arial" w:hAnsi="Arial"/>
          <w:sz w:val="20"/>
          <w:szCs w:val="20"/>
          <w:color w:val="3E3935"/>
        </w:rPr>
        <w:t>management’s implementation of risk policies, procedures, and governance to assess their effectiveness;</w:t>
      </w:r>
    </w:p>
    <w:p>
      <w:pPr>
        <w:spacing w:after="0" w:line="2" w:lineRule="exact"/>
        <w:rPr>
          <w:sz w:val="20"/>
          <w:szCs w:val="20"/>
          <w:color w:val="auto"/>
        </w:rPr>
      </w:pPr>
    </w:p>
    <w:p>
      <w:pPr>
        <w:jc w:val="both"/>
        <w:ind w:left="340" w:hanging="224"/>
        <w:spacing w:after="0" w:line="262" w:lineRule="auto"/>
        <w:tabs>
          <w:tab w:leader="none" w:pos="352" w:val="left"/>
        </w:tabs>
        <w:numPr>
          <w:ilvl w:val="0"/>
          <w:numId w:val="46"/>
        </w:numPr>
        <w:rPr>
          <w:rFonts w:ascii="Times New Roman" w:cs="Times New Roman" w:eastAsia="Times New Roman" w:hAnsi="Times New Roman"/>
          <w:sz w:val="20"/>
          <w:szCs w:val="20"/>
          <w:color w:val="00C1DE"/>
        </w:rPr>
      </w:pPr>
      <w:r>
        <w:rPr>
          <w:rFonts w:ascii="Arial" w:cs="Arial" w:eastAsia="Arial" w:hAnsi="Arial"/>
          <w:sz w:val="20"/>
          <w:szCs w:val="20"/>
          <w:color w:val="3E3935"/>
        </w:rPr>
        <w:t>Reviews management’s evaluation of strategic and operating risks, including risk concentrations, product safety, quarterly information security reports, mitigating measures, and the types and levels of risk that are acceptable in the pursuit and protection of shareholder value; and</w:t>
      </w:r>
    </w:p>
    <w:p>
      <w:pPr>
        <w:spacing w:after="0" w:line="4" w:lineRule="exact"/>
        <w:rPr>
          <w:rFonts w:ascii="Times New Roman" w:cs="Times New Roman" w:eastAsia="Times New Roman" w:hAnsi="Times New Roman"/>
          <w:sz w:val="20"/>
          <w:szCs w:val="20"/>
          <w:color w:val="00C1DE"/>
        </w:rPr>
      </w:pPr>
    </w:p>
    <w:p>
      <w:pPr>
        <w:jc w:val="both"/>
        <w:ind w:left="340" w:hanging="224"/>
        <w:spacing w:after="0" w:line="274" w:lineRule="auto"/>
        <w:tabs>
          <w:tab w:leader="none" w:pos="271" w:val="left"/>
        </w:tabs>
        <w:numPr>
          <w:ilvl w:val="0"/>
          <w:numId w:val="46"/>
        </w:numPr>
        <w:rPr>
          <w:rFonts w:ascii="Times New Roman" w:cs="Times New Roman" w:eastAsia="Times New Roman" w:hAnsi="Times New Roman"/>
          <w:sz w:val="20"/>
          <w:szCs w:val="20"/>
          <w:color w:val="00C1DE"/>
        </w:rPr>
      </w:pPr>
      <w:r>
        <w:rPr>
          <w:rFonts w:ascii="Arial" w:cs="Arial" w:eastAsia="Arial" w:hAnsi="Arial"/>
          <w:sz w:val="20"/>
          <w:szCs w:val="20"/>
          <w:color w:val="00C1DE"/>
        </w:rPr>
        <w:t>  </w:t>
      </w:r>
      <w:r>
        <w:rPr>
          <w:rFonts w:ascii="Arial" w:cs="Arial" w:eastAsia="Arial" w:hAnsi="Arial"/>
          <w:sz w:val="20"/>
          <w:szCs w:val="20"/>
          <w:color w:val="3E3935"/>
        </w:rPr>
        <w:t>Reviews the Company’s risk culture, including the</w:t>
      </w:r>
      <w:r>
        <w:rPr>
          <w:rFonts w:ascii="Arial" w:cs="Arial" w:eastAsia="Arial" w:hAnsi="Arial"/>
          <w:sz w:val="20"/>
          <w:szCs w:val="20"/>
          <w:color w:val="00C1DE"/>
        </w:rPr>
        <w:t xml:space="preserve"> </w:t>
      </w:r>
      <w:r>
        <w:rPr>
          <w:rFonts w:ascii="Arial" w:cs="Arial" w:eastAsia="Arial" w:hAnsi="Arial"/>
          <w:sz w:val="20"/>
          <w:szCs w:val="20"/>
          <w:color w:val="3E3935"/>
        </w:rPr>
        <w:t>integration of risk management into the Company’s behaviors, decision-making, and processes.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84455</wp:posOffset>
            </wp:positionV>
            <wp:extent cx="2888615" cy="223710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2888615" cy="22371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425"/>
        </w:trPr>
        <w:tc>
          <w:tcPr>
            <w:tcW w:w="1660" w:type="dxa"/>
            <w:vAlign w:val="bottom"/>
            <w:shd w:val="clear" w:color="auto" w:fill="0071CE"/>
          </w:tcPr>
          <w:p>
            <w:pPr>
              <w:spacing w:after="0"/>
              <w:rPr>
                <w:sz w:val="24"/>
                <w:szCs w:val="24"/>
                <w:color w:val="auto"/>
              </w:rPr>
            </w:pPr>
          </w:p>
        </w:tc>
        <w:tc>
          <w:tcPr>
            <w:tcW w:w="3720" w:type="dxa"/>
            <w:vAlign w:val="bottom"/>
            <w:shd w:val="clear" w:color="auto" w:fill="0071CE"/>
          </w:tcPr>
          <w:p>
            <w:pPr>
              <w:ind w:left="520"/>
              <w:spacing w:after="0"/>
              <w:rPr>
                <w:sz w:val="20"/>
                <w:szCs w:val="20"/>
                <w:color w:val="auto"/>
              </w:rPr>
            </w:pPr>
            <w:r>
              <w:rPr>
                <w:rFonts w:ascii="Arial" w:cs="Arial" w:eastAsia="Arial" w:hAnsi="Arial"/>
                <w:sz w:val="20"/>
                <w:szCs w:val="20"/>
                <w:b w:val="1"/>
                <w:bCs w:val="1"/>
                <w:color w:val="FFFFFF"/>
              </w:rPr>
              <w:t>EXECUTIVE</w:t>
            </w:r>
          </w:p>
        </w:tc>
        <w:tc>
          <w:tcPr>
            <w:tcW w:w="0" w:type="dxa"/>
            <w:vAlign w:val="bottom"/>
          </w:tcPr>
          <w:p>
            <w:pPr>
              <w:spacing w:after="0"/>
              <w:rPr>
                <w:sz w:val="1"/>
                <w:szCs w:val="1"/>
                <w:color w:val="auto"/>
              </w:rPr>
            </w:pPr>
          </w:p>
        </w:tc>
      </w:tr>
      <w:tr>
        <w:trPr>
          <w:trHeight w:val="142"/>
        </w:trPr>
        <w:tc>
          <w:tcPr>
            <w:tcW w:w="1660" w:type="dxa"/>
            <w:vAlign w:val="bottom"/>
            <w:shd w:val="clear" w:color="auto" w:fill="0071CE"/>
          </w:tcPr>
          <w:p>
            <w:pPr>
              <w:spacing w:after="0"/>
              <w:rPr>
                <w:sz w:val="12"/>
                <w:szCs w:val="12"/>
                <w:color w:val="auto"/>
              </w:rPr>
            </w:pPr>
          </w:p>
        </w:tc>
        <w:tc>
          <w:tcPr>
            <w:tcW w:w="3720" w:type="dxa"/>
            <w:vAlign w:val="bottom"/>
            <w:shd w:val="clear" w:color="auto" w:fill="0071CE"/>
          </w:tcPr>
          <w:p>
            <w:pPr>
              <w:spacing w:after="0"/>
              <w:rPr>
                <w:sz w:val="12"/>
                <w:szCs w:val="12"/>
                <w:color w:val="auto"/>
              </w:rPr>
            </w:pPr>
          </w:p>
        </w:tc>
        <w:tc>
          <w:tcPr>
            <w:tcW w:w="0" w:type="dxa"/>
            <w:vAlign w:val="bottom"/>
          </w:tcPr>
          <w:p>
            <w:pPr>
              <w:spacing w:after="0"/>
              <w:rPr>
                <w:sz w:val="1"/>
                <w:szCs w:val="1"/>
                <w:color w:val="auto"/>
              </w:rPr>
            </w:pPr>
          </w:p>
        </w:tc>
      </w:tr>
      <w:tr>
        <w:trPr>
          <w:trHeight w:val="316"/>
        </w:trPr>
        <w:tc>
          <w:tcPr>
            <w:tcW w:w="1660" w:type="dxa"/>
            <w:vAlign w:val="bottom"/>
          </w:tcPr>
          <w:p>
            <w:pPr>
              <w:spacing w:after="0"/>
              <w:rPr>
                <w:sz w:val="24"/>
                <w:szCs w:val="24"/>
                <w:color w:val="auto"/>
              </w:rPr>
            </w:pPr>
          </w:p>
        </w:tc>
        <w:tc>
          <w:tcPr>
            <w:tcW w:w="3720" w:type="dxa"/>
            <w:vAlign w:val="bottom"/>
          </w:tcPr>
          <w:p>
            <w:pPr>
              <w:ind w:left="320"/>
              <w:spacing w:after="0"/>
              <w:rPr>
                <w:sz w:val="20"/>
                <w:szCs w:val="20"/>
                <w:color w:val="auto"/>
              </w:rPr>
            </w:pPr>
            <w:r>
              <w:rPr>
                <w:rFonts w:ascii="Arial" w:cs="Arial" w:eastAsia="Arial" w:hAnsi="Arial"/>
                <w:sz w:val="20"/>
                <w:szCs w:val="20"/>
                <w:color w:val="3E3935"/>
              </w:rPr>
              <w:t>Mary T. Barra</w:t>
            </w:r>
          </w:p>
        </w:tc>
        <w:tc>
          <w:tcPr>
            <w:tcW w:w="0" w:type="dxa"/>
            <w:vAlign w:val="bottom"/>
          </w:tcPr>
          <w:p>
            <w:pPr>
              <w:spacing w:after="0"/>
              <w:rPr>
                <w:sz w:val="1"/>
                <w:szCs w:val="1"/>
                <w:color w:val="auto"/>
              </w:rPr>
            </w:pPr>
          </w:p>
        </w:tc>
      </w:tr>
      <w:tr>
        <w:trPr>
          <w:trHeight w:val="216"/>
        </w:trPr>
        <w:tc>
          <w:tcPr>
            <w:tcW w:w="1660" w:type="dxa"/>
            <w:vAlign w:val="bottom"/>
          </w:tcPr>
          <w:p>
            <w:pPr>
              <w:spacing w:after="0"/>
              <w:rPr>
                <w:sz w:val="18"/>
                <w:szCs w:val="18"/>
                <w:color w:val="auto"/>
              </w:rPr>
            </w:pPr>
          </w:p>
        </w:tc>
        <w:tc>
          <w:tcPr>
            <w:tcW w:w="3720" w:type="dxa"/>
            <w:vAlign w:val="bottom"/>
          </w:tcPr>
          <w:p>
            <w:pPr>
              <w:ind w:left="320"/>
              <w:spacing w:after="0" w:line="216" w:lineRule="exact"/>
              <w:rPr>
                <w:sz w:val="20"/>
                <w:szCs w:val="20"/>
                <w:color w:val="auto"/>
              </w:rPr>
            </w:pPr>
            <w:r>
              <w:rPr>
                <w:rFonts w:ascii="Arial" w:cs="Arial" w:eastAsia="Arial" w:hAnsi="Arial"/>
                <w:sz w:val="20"/>
                <w:szCs w:val="20"/>
                <w:color w:val="3E3935"/>
              </w:rPr>
              <w:t>Wesley G. Bush</w:t>
            </w:r>
          </w:p>
        </w:tc>
        <w:tc>
          <w:tcPr>
            <w:tcW w:w="0" w:type="dxa"/>
            <w:vAlign w:val="bottom"/>
          </w:tcPr>
          <w:p>
            <w:pPr>
              <w:spacing w:after="0"/>
              <w:rPr>
                <w:sz w:val="1"/>
                <w:szCs w:val="1"/>
                <w:color w:val="auto"/>
              </w:rPr>
            </w:pPr>
          </w:p>
        </w:tc>
      </w:tr>
      <w:tr>
        <w:trPr>
          <w:trHeight w:val="216"/>
        </w:trPr>
        <w:tc>
          <w:tcPr>
            <w:tcW w:w="1660" w:type="dxa"/>
            <w:vAlign w:val="bottom"/>
          </w:tcPr>
          <w:p>
            <w:pPr>
              <w:spacing w:after="0"/>
              <w:rPr>
                <w:sz w:val="18"/>
                <w:szCs w:val="18"/>
                <w:color w:val="auto"/>
              </w:rPr>
            </w:pPr>
          </w:p>
        </w:tc>
        <w:tc>
          <w:tcPr>
            <w:tcW w:w="3720" w:type="dxa"/>
            <w:vAlign w:val="bottom"/>
          </w:tcPr>
          <w:p>
            <w:pPr>
              <w:ind w:left="320"/>
              <w:spacing w:after="0" w:line="216" w:lineRule="exact"/>
              <w:rPr>
                <w:sz w:val="20"/>
                <w:szCs w:val="20"/>
                <w:color w:val="auto"/>
              </w:rPr>
            </w:pPr>
            <w:r>
              <w:rPr>
                <w:rFonts w:ascii="Arial" w:cs="Arial" w:eastAsia="Arial" w:hAnsi="Arial"/>
                <w:sz w:val="20"/>
                <w:szCs w:val="20"/>
                <w:color w:val="3E3935"/>
              </w:rPr>
              <w:t>Linda R. Gooden</w:t>
            </w:r>
          </w:p>
        </w:tc>
        <w:tc>
          <w:tcPr>
            <w:tcW w:w="0" w:type="dxa"/>
            <w:vAlign w:val="bottom"/>
          </w:tcPr>
          <w:p>
            <w:pPr>
              <w:spacing w:after="0"/>
              <w:rPr>
                <w:sz w:val="1"/>
                <w:szCs w:val="1"/>
                <w:color w:val="auto"/>
              </w:rPr>
            </w:pPr>
          </w:p>
        </w:tc>
      </w:tr>
      <w:tr>
        <w:trPr>
          <w:trHeight w:val="216"/>
        </w:trPr>
        <w:tc>
          <w:tcPr>
            <w:tcW w:w="1660" w:type="dxa"/>
            <w:vAlign w:val="bottom"/>
          </w:tcPr>
          <w:p>
            <w:pPr>
              <w:spacing w:after="0"/>
              <w:rPr>
                <w:sz w:val="18"/>
                <w:szCs w:val="18"/>
                <w:color w:val="auto"/>
              </w:rPr>
            </w:pPr>
          </w:p>
        </w:tc>
        <w:tc>
          <w:tcPr>
            <w:tcW w:w="3720" w:type="dxa"/>
            <w:vAlign w:val="bottom"/>
          </w:tcPr>
          <w:p>
            <w:pPr>
              <w:ind w:left="320"/>
              <w:spacing w:after="0" w:line="216" w:lineRule="exact"/>
              <w:rPr>
                <w:sz w:val="20"/>
                <w:szCs w:val="20"/>
                <w:color w:val="auto"/>
              </w:rPr>
            </w:pPr>
            <w:r>
              <w:rPr>
                <w:rFonts w:ascii="Arial" w:cs="Arial" w:eastAsia="Arial" w:hAnsi="Arial"/>
                <w:sz w:val="20"/>
                <w:szCs w:val="20"/>
                <w:color w:val="3E3935"/>
              </w:rPr>
              <w:t>Joseph Jimenez</w:t>
            </w:r>
          </w:p>
        </w:tc>
        <w:tc>
          <w:tcPr>
            <w:tcW w:w="0" w:type="dxa"/>
            <w:vAlign w:val="bottom"/>
          </w:tcPr>
          <w:p>
            <w:pPr>
              <w:spacing w:after="0"/>
              <w:rPr>
                <w:sz w:val="1"/>
                <w:szCs w:val="1"/>
                <w:color w:val="auto"/>
              </w:rPr>
            </w:pPr>
          </w:p>
        </w:tc>
      </w:tr>
      <w:tr>
        <w:trPr>
          <w:trHeight w:val="216"/>
        </w:trPr>
        <w:tc>
          <w:tcPr>
            <w:tcW w:w="1660" w:type="dxa"/>
            <w:vAlign w:val="bottom"/>
          </w:tcPr>
          <w:p>
            <w:pPr>
              <w:spacing w:after="0"/>
              <w:rPr>
                <w:sz w:val="18"/>
                <w:szCs w:val="18"/>
                <w:color w:val="auto"/>
              </w:rPr>
            </w:pPr>
          </w:p>
        </w:tc>
        <w:tc>
          <w:tcPr>
            <w:tcW w:w="3720" w:type="dxa"/>
            <w:vAlign w:val="bottom"/>
          </w:tcPr>
          <w:p>
            <w:pPr>
              <w:ind w:left="320"/>
              <w:spacing w:after="0" w:line="216" w:lineRule="exact"/>
              <w:rPr>
                <w:sz w:val="20"/>
                <w:szCs w:val="20"/>
                <w:color w:val="auto"/>
              </w:rPr>
            </w:pPr>
            <w:r>
              <w:rPr>
                <w:rFonts w:ascii="Arial" w:cs="Arial" w:eastAsia="Arial" w:hAnsi="Arial"/>
                <w:sz w:val="20"/>
                <w:szCs w:val="20"/>
                <w:color w:val="3E3935"/>
              </w:rPr>
              <w:t>Patricia F. Russo</w:t>
            </w:r>
          </w:p>
        </w:tc>
        <w:tc>
          <w:tcPr>
            <w:tcW w:w="0" w:type="dxa"/>
            <w:vAlign w:val="bottom"/>
          </w:tcPr>
          <w:p>
            <w:pPr>
              <w:spacing w:after="0"/>
              <w:rPr>
                <w:sz w:val="1"/>
                <w:szCs w:val="1"/>
                <w:color w:val="auto"/>
              </w:rPr>
            </w:pPr>
          </w:p>
        </w:tc>
      </w:tr>
      <w:tr>
        <w:trPr>
          <w:trHeight w:val="228"/>
        </w:trPr>
        <w:tc>
          <w:tcPr>
            <w:tcW w:w="1660" w:type="dxa"/>
            <w:vAlign w:val="bottom"/>
          </w:tcPr>
          <w:p>
            <w:pPr>
              <w:ind w:left="100"/>
              <w:spacing w:after="0" w:line="228" w:lineRule="exact"/>
              <w:rPr>
                <w:sz w:val="20"/>
                <w:szCs w:val="20"/>
                <w:color w:val="auto"/>
              </w:rPr>
            </w:pPr>
            <w:r>
              <w:rPr>
                <w:rFonts w:ascii="Arial" w:cs="Arial" w:eastAsia="Arial" w:hAnsi="Arial"/>
                <w:sz w:val="20"/>
                <w:szCs w:val="20"/>
                <w:b w:val="1"/>
                <w:bCs w:val="1"/>
                <w:color w:val="0071CE"/>
              </w:rPr>
              <w:t>Mary T. Barra</w:t>
            </w:r>
          </w:p>
        </w:tc>
        <w:tc>
          <w:tcPr>
            <w:tcW w:w="3720" w:type="dxa"/>
            <w:vAlign w:val="bottom"/>
          </w:tcPr>
          <w:p>
            <w:pPr>
              <w:ind w:left="320"/>
              <w:spacing w:after="0" w:line="228" w:lineRule="exact"/>
              <w:rPr>
                <w:sz w:val="20"/>
                <w:szCs w:val="20"/>
                <w:color w:val="auto"/>
              </w:rPr>
            </w:pPr>
            <w:r>
              <w:rPr>
                <w:rFonts w:ascii="Arial" w:cs="Arial" w:eastAsia="Arial" w:hAnsi="Arial"/>
                <w:sz w:val="20"/>
                <w:szCs w:val="20"/>
                <w:color w:val="3E3935"/>
              </w:rPr>
              <w:t>Thomas M. Schoewe</w:t>
            </w:r>
          </w:p>
        </w:tc>
        <w:tc>
          <w:tcPr>
            <w:tcW w:w="0" w:type="dxa"/>
            <w:vAlign w:val="bottom"/>
          </w:tcPr>
          <w:p>
            <w:pPr>
              <w:spacing w:after="0"/>
              <w:rPr>
                <w:sz w:val="1"/>
                <w:szCs w:val="1"/>
                <w:color w:val="auto"/>
              </w:rPr>
            </w:pPr>
          </w:p>
        </w:tc>
      </w:tr>
      <w:tr>
        <w:trPr>
          <w:trHeight w:val="273"/>
        </w:trPr>
        <w:tc>
          <w:tcPr>
            <w:tcW w:w="1660" w:type="dxa"/>
            <w:vAlign w:val="bottom"/>
          </w:tcPr>
          <w:p>
            <w:pPr>
              <w:ind w:left="100"/>
              <w:spacing w:after="0"/>
              <w:rPr>
                <w:sz w:val="20"/>
                <w:szCs w:val="20"/>
                <w:color w:val="auto"/>
              </w:rPr>
            </w:pPr>
            <w:r>
              <w:rPr>
                <w:rFonts w:ascii="Arial" w:cs="Arial" w:eastAsia="Arial" w:hAnsi="Arial"/>
                <w:sz w:val="20"/>
                <w:szCs w:val="20"/>
                <w:b w:val="1"/>
                <w:bCs w:val="1"/>
                <w:color w:val="0071CE"/>
              </w:rPr>
              <w:t>Chair</w:t>
            </w:r>
          </w:p>
        </w:tc>
        <w:tc>
          <w:tcPr>
            <w:tcW w:w="3720" w:type="dxa"/>
            <w:vAlign w:val="bottom"/>
            <w:vMerge w:val="restart"/>
          </w:tcPr>
          <w:p>
            <w:pPr>
              <w:ind w:left="320"/>
              <w:spacing w:after="0"/>
              <w:rPr>
                <w:sz w:val="20"/>
                <w:szCs w:val="20"/>
                <w:color w:val="auto"/>
              </w:rPr>
            </w:pPr>
            <w:r>
              <w:rPr>
                <w:rFonts w:ascii="Arial" w:cs="Arial" w:eastAsia="Arial" w:hAnsi="Arial"/>
                <w:sz w:val="20"/>
                <w:szCs w:val="20"/>
                <w:b w:val="1"/>
                <w:bCs w:val="1"/>
                <w:i w:val="1"/>
                <w:iCs w:val="1"/>
                <w:color w:val="00C1DE"/>
              </w:rPr>
              <w:t>Meetings held in 2022: 0</w:t>
            </w:r>
          </w:p>
        </w:tc>
        <w:tc>
          <w:tcPr>
            <w:tcW w:w="0" w:type="dxa"/>
            <w:vAlign w:val="bottom"/>
          </w:tcPr>
          <w:p>
            <w:pPr>
              <w:spacing w:after="0"/>
              <w:rPr>
                <w:sz w:val="1"/>
                <w:szCs w:val="1"/>
                <w:color w:val="auto"/>
              </w:rPr>
            </w:pPr>
          </w:p>
        </w:tc>
      </w:tr>
      <w:tr>
        <w:trPr>
          <w:trHeight w:val="108"/>
        </w:trPr>
        <w:tc>
          <w:tcPr>
            <w:tcW w:w="1660" w:type="dxa"/>
            <w:vAlign w:val="bottom"/>
          </w:tcPr>
          <w:p>
            <w:pPr>
              <w:spacing w:after="0"/>
              <w:rPr>
                <w:sz w:val="9"/>
                <w:szCs w:val="9"/>
                <w:color w:val="auto"/>
              </w:rPr>
            </w:pPr>
          </w:p>
        </w:tc>
        <w:tc>
          <w:tcPr>
            <w:tcW w:w="37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-3664585</wp:posOffset>
            </wp:positionH>
            <wp:positionV relativeFrom="paragraph">
              <wp:posOffset>-2052320</wp:posOffset>
            </wp:positionV>
            <wp:extent cx="7174865" cy="5588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74865" cy="5588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30480</wp:posOffset>
            </wp:positionV>
            <wp:extent cx="3411855"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3411855" cy="8255"/>
                    </a:xfrm>
                    <a:prstGeom prst="rect">
                      <a:avLst/>
                    </a:prstGeom>
                    <a:noFill/>
                  </pic:spPr>
                </pic:pic>
              </a:graphicData>
            </a:graphic>
          </wp:anchor>
        </w:drawing>
        <w:drawing>
          <wp:anchor simplePos="0" relativeHeight="251657728" behindDoc="1" locked="0" layoutInCell="0" allowOverlap="1">
            <wp:simplePos x="0" y="0"/>
            <wp:positionH relativeFrom="column">
              <wp:posOffset>67945</wp:posOffset>
            </wp:positionH>
            <wp:positionV relativeFrom="paragraph">
              <wp:posOffset>-1083945</wp:posOffset>
            </wp:positionV>
            <wp:extent cx="668655" cy="6686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68655" cy="668655"/>
                    </a:xfrm>
                    <a:prstGeom prst="rect">
                      <a:avLst/>
                    </a:prstGeom>
                    <a:noFill/>
                  </pic:spPr>
                </pic:pic>
              </a:graphicData>
            </a:graphic>
          </wp:anchor>
        </w:drawing>
      </w:r>
    </w:p>
    <w:p>
      <w:pPr>
        <w:spacing w:after="0" w:line="100" w:lineRule="exact"/>
        <w:rPr>
          <w:sz w:val="20"/>
          <w:szCs w:val="20"/>
          <w:color w:val="auto"/>
        </w:rPr>
      </w:pPr>
    </w:p>
    <w:p>
      <w:pPr>
        <w:jc w:val="both"/>
        <w:ind w:left="100"/>
        <w:spacing w:after="0" w:line="229" w:lineRule="auto"/>
        <w:rPr>
          <w:sz w:val="20"/>
          <w:szCs w:val="20"/>
          <w:color w:val="auto"/>
        </w:rPr>
      </w:pPr>
      <w:r>
        <w:rPr>
          <w:rFonts w:ascii="Arial" w:cs="Arial" w:eastAsia="Arial" w:hAnsi="Arial"/>
          <w:sz w:val="20"/>
          <w:szCs w:val="20"/>
          <w:color w:val="3E3935"/>
        </w:rPr>
        <w:t>The Board has an Executive Committee composed of the Board Chair and CEO, the Independent Lead Director, and the chairs of all other standing committees. The Executive Committee is chaired by Ms. Barra, and it can act on certain limited matters for the full Board in intervals between meetings of the Board. The Executive Committee meets as necessary, and all actions by the Executive Committee are reported and ratified at the next succeeding Board meeting. Because the Board addressed all items throughout the year at Board meetings, no Executive Committee meetings were needed in 2022.</w:t>
      </w:r>
    </w:p>
    <w:p>
      <w:pPr>
        <w:spacing w:after="0" w:line="2602" w:lineRule="exact"/>
        <w:rPr>
          <w:sz w:val="20"/>
          <w:szCs w:val="20"/>
          <w:color w:val="auto"/>
        </w:rPr>
      </w:pPr>
    </w:p>
    <w:p>
      <w:pPr>
        <w:sectPr>
          <w:pgSz w:w="11900" w:h="16838" w:orient="portrait"/>
          <w:cols w:equalWidth="0" w:num="2">
            <w:col w:w="5420" w:space="340"/>
            <w:col w:w="5380"/>
          </w:cols>
          <w:pgMar w:left="320" w:top="482"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10660"/>
        <w:spacing w:after="0"/>
        <w:rPr>
          <w:sz w:val="20"/>
          <w:szCs w:val="20"/>
          <w:color w:val="auto"/>
        </w:rPr>
      </w:pPr>
      <w:r>
        <w:rPr>
          <w:rFonts w:ascii="Arial" w:cs="Arial" w:eastAsia="Arial" w:hAnsi="Arial"/>
          <w:sz w:val="14"/>
          <w:szCs w:val="14"/>
          <w:color w:val="0071CE"/>
        </w:rPr>
        <w:t>33</w:t>
      </w:r>
    </w:p>
    <w:p>
      <w:pPr>
        <w:sectPr>
          <w:pgSz w:w="11900" w:h="16838" w:orient="portrait"/>
          <w:cols w:equalWidth="0" w:num="1">
            <w:col w:w="11140"/>
          </w:cols>
          <w:pgMar w:left="320" w:top="482" w:right="439" w:bottom="1440" w:gutter="0" w:footer="0" w:header="0"/>
          <w:type w:val="continuous"/>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29"/>
          <w:szCs w:val="29"/>
          <w:color w:val="3E3935"/>
        </w:rPr>
        <w:t>Board and Committee Oversight of Risk</w:t>
      </w:r>
    </w:p>
    <w:p>
      <w:pPr>
        <w:spacing w:after="0" w:line="162" w:lineRule="exact"/>
        <w:rPr>
          <w:sz w:val="20"/>
          <w:szCs w:val="20"/>
          <w:color w:val="auto"/>
        </w:rPr>
      </w:pPr>
    </w:p>
    <w:p>
      <w:pPr>
        <w:ind w:left="660" w:hanging="544"/>
        <w:spacing w:after="0"/>
        <w:tabs>
          <w:tab w:leader="none" w:pos="660" w:val="left"/>
        </w:tabs>
        <w:numPr>
          <w:ilvl w:val="0"/>
          <w:numId w:val="47"/>
        </w:numPr>
        <w:rPr>
          <w:rFonts w:ascii="Times New Roman" w:cs="Times New Roman" w:eastAsia="Times New Roman" w:hAnsi="Times New Roman"/>
          <w:sz w:val="19"/>
          <w:szCs w:val="19"/>
          <w:color w:val="0071CE"/>
        </w:rPr>
      </w:pPr>
      <w:r>
        <w:rPr>
          <w:rFonts w:ascii="Arial" w:cs="Arial" w:eastAsia="Arial" w:hAnsi="Arial"/>
          <w:sz w:val="25"/>
          <w:szCs w:val="25"/>
          <w:color w:val="3E3935"/>
        </w:rPr>
        <w:t>Role of the Board of Directors</w:t>
      </w:r>
    </w:p>
    <w:p>
      <w:pPr>
        <w:spacing w:after="0" w:line="213" w:lineRule="exact"/>
        <w:rPr>
          <w:sz w:val="20"/>
          <w:szCs w:val="20"/>
          <w:color w:val="auto"/>
        </w:rPr>
      </w:pPr>
    </w:p>
    <w:p>
      <w:pPr>
        <w:jc w:val="both"/>
        <w:ind w:left="120" w:right="5740"/>
        <w:spacing w:after="0" w:line="228" w:lineRule="auto"/>
        <w:rPr>
          <w:sz w:val="20"/>
          <w:szCs w:val="20"/>
          <w:color w:val="auto"/>
        </w:rPr>
      </w:pPr>
      <w:r>
        <w:rPr>
          <w:rFonts w:ascii="Arial" w:cs="Arial" w:eastAsia="Arial" w:hAnsi="Arial"/>
          <w:sz w:val="20"/>
          <w:szCs w:val="20"/>
          <w:color w:val="3E3935"/>
        </w:rPr>
        <w:t>The Board has overall responsibility for risk oversight and focuses on the most significant risks facing the Company. The Board discharges its risk oversight responsibilities, in part, through delegation to its committees. The Company’s risk governance is facilitated through a top-down and bottom-up communication structure, with the tone established at the top by Ms. Barra, our Board Chair and CEO, and other members of management, specifically the Senior Leadership Team. The Senior Leadership Team also utilizes our Risk Advisory Council, an executive-level body with delegates from each business unit, to discuss and monitor the most significant enterprise and emerging risks in a cross-functional setting. They are tasked with championing risk management practices and integrating them into their functional or regional business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4385310</wp:posOffset>
            </wp:positionH>
            <wp:positionV relativeFrom="paragraph">
              <wp:posOffset>-2066925</wp:posOffset>
            </wp:positionV>
            <wp:extent cx="1945640" cy="300037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945640" cy="30003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660" w:hanging="544"/>
        <w:spacing w:after="0"/>
        <w:tabs>
          <w:tab w:leader="none" w:pos="660" w:val="left"/>
        </w:tabs>
        <w:numPr>
          <w:ilvl w:val="0"/>
          <w:numId w:val="48"/>
        </w:numPr>
        <w:rPr>
          <w:rFonts w:ascii="Times New Roman" w:cs="Times New Roman" w:eastAsia="Times New Roman" w:hAnsi="Times New Roman"/>
          <w:sz w:val="19"/>
          <w:szCs w:val="19"/>
          <w:color w:val="0071CE"/>
        </w:rPr>
      </w:pPr>
      <w:r>
        <w:rPr>
          <w:rFonts w:ascii="Arial" w:cs="Arial" w:eastAsia="Arial" w:hAnsi="Arial"/>
          <w:sz w:val="25"/>
          <w:szCs w:val="25"/>
          <w:color w:val="3E3935"/>
        </w:rPr>
        <w:t>Role of the Board Committees</w:t>
      </w:r>
    </w:p>
    <w:p>
      <w:pPr>
        <w:spacing w:after="0" w:line="159" w:lineRule="exact"/>
        <w:rPr>
          <w:sz w:val="20"/>
          <w:szCs w:val="20"/>
          <w:color w:val="auto"/>
        </w:rPr>
      </w:pPr>
    </w:p>
    <w:p>
      <w:pPr>
        <w:jc w:val="both"/>
        <w:ind w:left="120"/>
        <w:spacing w:after="0" w:line="231" w:lineRule="auto"/>
        <w:rPr>
          <w:sz w:val="20"/>
          <w:szCs w:val="20"/>
          <w:color w:val="auto"/>
        </w:rPr>
      </w:pPr>
      <w:r>
        <w:rPr>
          <w:rFonts w:ascii="Arial" w:cs="Arial" w:eastAsia="Arial" w:hAnsi="Arial"/>
          <w:sz w:val="20"/>
          <w:szCs w:val="20"/>
          <w:color w:val="3E3935"/>
        </w:rPr>
        <w:t>Each of the Board’s committees has a critical role to play in the overall execution of the Board’s risk oversight duties. The Board delegates oversight for certain risks to each committee based on the risk categories relevant to the subject matter of the committee. The Risk and Cybersecurity Committee Chair coordinates with the chairs of the other committees to support them in managing the relationship between risk management policies and practices and their respective oversight responsibilities. The Risk and Cybersecurity Committee also assists the Board by monitoring the overall effectiveness of the Company’s risk management framework and processes. For example, GM’s Strategic Risk Management team conducts an annual risk assessment, which the Risk and Cybersecurity Committee reviews and receives detailed management updates regularly throughout the year.</w:t>
      </w:r>
    </w:p>
    <w:p>
      <w:pPr>
        <w:spacing w:after="0" w:line="92" w:lineRule="exact"/>
        <w:rPr>
          <w:sz w:val="20"/>
          <w:szCs w:val="20"/>
          <w:color w:val="auto"/>
        </w:rPr>
      </w:pPr>
    </w:p>
    <w:p>
      <w:pPr>
        <w:ind w:left="120"/>
        <w:spacing w:after="0"/>
        <w:rPr>
          <w:sz w:val="20"/>
          <w:szCs w:val="20"/>
          <w:color w:val="auto"/>
        </w:rPr>
      </w:pPr>
      <w:r>
        <w:rPr>
          <w:rFonts w:ascii="Arial" w:cs="Arial" w:eastAsia="Arial" w:hAnsi="Arial"/>
          <w:sz w:val="20"/>
          <w:szCs w:val="20"/>
          <w:color w:val="3E3935"/>
        </w:rPr>
        <w:t>Below is a summary of the key risk oversight responsibilities that the Board has delegated to its committees.</w:t>
      </w:r>
    </w:p>
    <w:p>
      <w:pPr>
        <w:spacing w:after="0" w:line="65" w:lineRule="exact"/>
        <w:rPr>
          <w:sz w:val="20"/>
          <w:szCs w:val="20"/>
          <w:color w:val="auto"/>
        </w:rPr>
      </w:pPr>
    </w:p>
    <w:p>
      <w:pPr>
        <w:ind w:left="440" w:right="20" w:hanging="324"/>
        <w:spacing w:after="0" w:line="259" w:lineRule="auto"/>
        <w:tabs>
          <w:tab w:leader="none" w:pos="440" w:val="left"/>
        </w:tabs>
        <w:numPr>
          <w:ilvl w:val="0"/>
          <w:numId w:val="49"/>
        </w:numPr>
        <w:rPr>
          <w:rFonts w:ascii="Arial" w:cs="Arial" w:eastAsia="Arial" w:hAnsi="Arial"/>
          <w:sz w:val="20"/>
          <w:szCs w:val="20"/>
          <w:color w:val="00C1DE"/>
        </w:rPr>
      </w:pPr>
      <w:r>
        <w:rPr>
          <w:rFonts w:ascii="Arial" w:cs="Arial" w:eastAsia="Arial" w:hAnsi="Arial"/>
          <w:sz w:val="20"/>
          <w:szCs w:val="20"/>
          <w:b w:val="1"/>
          <w:bCs w:val="1"/>
          <w:color w:val="3E3935"/>
        </w:rPr>
        <w:t xml:space="preserve">Audit Committee: </w:t>
      </w:r>
      <w:r>
        <w:rPr>
          <w:rFonts w:ascii="Arial" w:cs="Arial" w:eastAsia="Arial" w:hAnsi="Arial"/>
          <w:sz w:val="20"/>
          <w:szCs w:val="20"/>
          <w:color w:val="3E3935"/>
        </w:rPr>
        <w:t>Oversees risks related to (i) financial reporting, internal disclosure controls (including with respect to</w:t>
      </w:r>
      <w:r>
        <w:rPr>
          <w:rFonts w:ascii="Arial" w:cs="Arial" w:eastAsia="Arial" w:hAnsi="Arial"/>
          <w:sz w:val="20"/>
          <w:szCs w:val="20"/>
          <w:b w:val="1"/>
          <w:bCs w:val="1"/>
          <w:color w:val="3E3935"/>
        </w:rPr>
        <w:t xml:space="preserve"> </w:t>
      </w:r>
      <w:r>
        <w:rPr>
          <w:rFonts w:ascii="Arial" w:cs="Arial" w:eastAsia="Arial" w:hAnsi="Arial"/>
          <w:sz w:val="20"/>
          <w:szCs w:val="20"/>
          <w:color w:val="3E3935"/>
        </w:rPr>
        <w:t>ESG issues, reporting, and disclosures), and auditing matters; and (ii) legal, regulatory, and compliance programs.</w:t>
      </w:r>
    </w:p>
    <w:p>
      <w:pPr>
        <w:spacing w:after="0" w:line="16" w:lineRule="exact"/>
        <w:rPr>
          <w:rFonts w:ascii="Arial" w:cs="Arial" w:eastAsia="Arial" w:hAnsi="Arial"/>
          <w:sz w:val="20"/>
          <w:szCs w:val="20"/>
          <w:color w:val="00C1DE"/>
        </w:rPr>
      </w:pPr>
    </w:p>
    <w:p>
      <w:pPr>
        <w:ind w:left="440" w:right="20" w:hanging="324"/>
        <w:spacing w:after="0" w:line="281" w:lineRule="auto"/>
        <w:tabs>
          <w:tab w:leader="none" w:pos="440" w:val="left"/>
        </w:tabs>
        <w:numPr>
          <w:ilvl w:val="0"/>
          <w:numId w:val="49"/>
        </w:numPr>
        <w:rPr>
          <w:rFonts w:ascii="Arial" w:cs="Arial" w:eastAsia="Arial" w:hAnsi="Arial"/>
          <w:sz w:val="19"/>
          <w:szCs w:val="19"/>
          <w:color w:val="00C1DE"/>
        </w:rPr>
      </w:pPr>
      <w:r>
        <w:rPr>
          <w:rFonts w:ascii="Arial" w:cs="Arial" w:eastAsia="Arial" w:hAnsi="Arial"/>
          <w:sz w:val="19"/>
          <w:szCs w:val="19"/>
          <w:b w:val="1"/>
          <w:bCs w:val="1"/>
          <w:color w:val="3E3935"/>
        </w:rPr>
        <w:t xml:space="preserve">Executive Compensation Committee: </w:t>
      </w:r>
      <w:r>
        <w:rPr>
          <w:rFonts w:ascii="Arial" w:cs="Arial" w:eastAsia="Arial" w:hAnsi="Arial"/>
          <w:sz w:val="19"/>
          <w:szCs w:val="19"/>
          <w:color w:val="3E3935"/>
        </w:rPr>
        <w:t>Oversees risks related to executive and employee compensation plans, including</w:t>
      </w:r>
      <w:r>
        <w:rPr>
          <w:rFonts w:ascii="Arial" w:cs="Arial" w:eastAsia="Arial" w:hAnsi="Arial"/>
          <w:sz w:val="19"/>
          <w:szCs w:val="19"/>
          <w:b w:val="1"/>
          <w:bCs w:val="1"/>
          <w:color w:val="3E3935"/>
        </w:rPr>
        <w:t xml:space="preserve"> </w:t>
      </w:r>
      <w:r>
        <w:rPr>
          <w:rFonts w:ascii="Arial" w:cs="Arial" w:eastAsia="Arial" w:hAnsi="Arial"/>
          <w:sz w:val="19"/>
          <w:szCs w:val="19"/>
          <w:color w:val="3E3935"/>
        </w:rPr>
        <w:t>by designing compensation plans that promote prudent risk management and do not encourage excessive risk-taking.</w:t>
      </w:r>
    </w:p>
    <w:p>
      <w:pPr>
        <w:spacing w:after="0" w:line="1" w:lineRule="exact"/>
        <w:rPr>
          <w:rFonts w:ascii="Arial" w:cs="Arial" w:eastAsia="Arial" w:hAnsi="Arial"/>
          <w:sz w:val="19"/>
          <w:szCs w:val="19"/>
          <w:color w:val="00C1DE"/>
        </w:rPr>
      </w:pPr>
    </w:p>
    <w:p>
      <w:pPr>
        <w:jc w:val="both"/>
        <w:ind w:left="440" w:right="20" w:hanging="324"/>
        <w:spacing w:after="0" w:line="242" w:lineRule="auto"/>
        <w:tabs>
          <w:tab w:leader="none" w:pos="440" w:val="left"/>
        </w:tabs>
        <w:numPr>
          <w:ilvl w:val="0"/>
          <w:numId w:val="49"/>
        </w:numPr>
        <w:rPr>
          <w:rFonts w:ascii="Arial" w:cs="Arial" w:eastAsia="Arial" w:hAnsi="Arial"/>
          <w:sz w:val="20"/>
          <w:szCs w:val="20"/>
          <w:color w:val="00C1DE"/>
        </w:rPr>
      </w:pPr>
      <w:r>
        <w:rPr>
          <w:rFonts w:ascii="Arial" w:cs="Arial" w:eastAsia="Arial" w:hAnsi="Arial"/>
          <w:sz w:val="20"/>
          <w:szCs w:val="20"/>
          <w:b w:val="1"/>
          <w:bCs w:val="1"/>
          <w:color w:val="3E3935"/>
        </w:rPr>
        <w:t xml:space="preserve">Finance Committee: </w:t>
      </w:r>
      <w:r>
        <w:rPr>
          <w:rFonts w:ascii="Arial" w:cs="Arial" w:eastAsia="Arial" w:hAnsi="Arial"/>
          <w:sz w:val="20"/>
          <w:szCs w:val="20"/>
          <w:color w:val="3E3935"/>
        </w:rPr>
        <w:t>Oversees risks related to (i) significant financial exposures and contingent liabilities of the</w:t>
      </w:r>
      <w:r>
        <w:rPr>
          <w:rFonts w:ascii="Arial" w:cs="Arial" w:eastAsia="Arial" w:hAnsi="Arial"/>
          <w:sz w:val="20"/>
          <w:szCs w:val="20"/>
          <w:b w:val="1"/>
          <w:bCs w:val="1"/>
          <w:color w:val="3E3935"/>
        </w:rPr>
        <w:t xml:space="preserve"> </w:t>
      </w:r>
      <w:r>
        <w:rPr>
          <w:rFonts w:ascii="Arial" w:cs="Arial" w:eastAsia="Arial" w:hAnsi="Arial"/>
          <w:sz w:val="20"/>
          <w:szCs w:val="20"/>
          <w:color w:val="3E3935"/>
        </w:rPr>
        <w:t>Company; (ii) regulatory compliance of employee-defined benefit plans; and (iii) M&amp;A activity and impacts from changes to the Company’s shareholder base.</w:t>
      </w:r>
    </w:p>
    <w:p>
      <w:pPr>
        <w:spacing w:after="0" w:line="33" w:lineRule="exact"/>
        <w:rPr>
          <w:rFonts w:ascii="Arial" w:cs="Arial" w:eastAsia="Arial" w:hAnsi="Arial"/>
          <w:sz w:val="20"/>
          <w:szCs w:val="20"/>
          <w:color w:val="00C1DE"/>
        </w:rPr>
      </w:pPr>
    </w:p>
    <w:p>
      <w:pPr>
        <w:ind w:left="440" w:hanging="324"/>
        <w:spacing w:after="0"/>
        <w:tabs>
          <w:tab w:leader="none" w:pos="440" w:val="left"/>
        </w:tabs>
        <w:numPr>
          <w:ilvl w:val="0"/>
          <w:numId w:val="49"/>
        </w:numPr>
        <w:rPr>
          <w:rFonts w:ascii="Arial" w:cs="Arial" w:eastAsia="Arial" w:hAnsi="Arial"/>
          <w:sz w:val="19"/>
          <w:szCs w:val="19"/>
          <w:color w:val="00C1DE"/>
        </w:rPr>
      </w:pPr>
      <w:r>
        <w:rPr>
          <w:rFonts w:ascii="Arial" w:cs="Arial" w:eastAsia="Arial" w:hAnsi="Arial"/>
          <w:sz w:val="19"/>
          <w:szCs w:val="19"/>
          <w:b w:val="1"/>
          <w:bCs w:val="1"/>
          <w:color w:val="3E3935"/>
        </w:rPr>
        <w:t xml:space="preserve">Governance and Corporate Responsibility Committee: </w:t>
      </w:r>
      <w:r>
        <w:rPr>
          <w:rFonts w:ascii="Arial" w:cs="Arial" w:eastAsia="Arial" w:hAnsi="Arial"/>
          <w:sz w:val="19"/>
          <w:szCs w:val="19"/>
          <w:color w:val="3E3935"/>
        </w:rPr>
        <w:t>Oversees risks related to (i) public policy and political activities;</w:t>
      </w:r>
    </w:p>
    <w:p>
      <w:pPr>
        <w:spacing w:after="0" w:line="17" w:lineRule="exact"/>
        <w:rPr>
          <w:rFonts w:ascii="Arial" w:cs="Arial" w:eastAsia="Arial" w:hAnsi="Arial"/>
          <w:sz w:val="19"/>
          <w:szCs w:val="19"/>
          <w:color w:val="00C1DE"/>
        </w:rPr>
      </w:pPr>
    </w:p>
    <w:p>
      <w:pPr>
        <w:ind w:left="760" w:hanging="320"/>
        <w:spacing w:after="0" w:line="225" w:lineRule="auto"/>
        <w:tabs>
          <w:tab w:leader="none" w:pos="760" w:val="left"/>
        </w:tabs>
        <w:numPr>
          <w:ilvl w:val="1"/>
          <w:numId w:val="49"/>
        </w:numPr>
        <w:rPr>
          <w:rFonts w:ascii="Arial" w:cs="Arial" w:eastAsia="Arial" w:hAnsi="Arial"/>
          <w:sz w:val="20"/>
          <w:szCs w:val="20"/>
          <w:color w:val="3E3935"/>
        </w:rPr>
      </w:pPr>
      <w:r>
        <w:rPr>
          <w:rFonts w:ascii="Arial" w:cs="Arial" w:eastAsia="Arial" w:hAnsi="Arial"/>
          <w:sz w:val="20"/>
          <w:szCs w:val="20"/>
          <w:color w:val="3E3935"/>
        </w:rPr>
        <w:t>director independence and related party transactions; (iii) the sustainability of our operations and products; and</w:t>
      </w:r>
    </w:p>
    <w:p>
      <w:pPr>
        <w:ind w:left="760" w:hanging="320"/>
        <w:spacing w:after="0"/>
        <w:tabs>
          <w:tab w:leader="none" w:pos="760" w:val="left"/>
        </w:tabs>
        <w:numPr>
          <w:ilvl w:val="1"/>
          <w:numId w:val="50"/>
        </w:numPr>
        <w:rPr>
          <w:rFonts w:ascii="Arial" w:cs="Arial" w:eastAsia="Arial" w:hAnsi="Arial"/>
          <w:sz w:val="20"/>
          <w:szCs w:val="20"/>
          <w:color w:val="3E3935"/>
        </w:rPr>
      </w:pPr>
      <w:r>
        <w:rPr>
          <w:rFonts w:ascii="Arial" w:cs="Arial" w:eastAsia="Arial" w:hAnsi="Arial"/>
          <w:sz w:val="20"/>
          <w:szCs w:val="20"/>
          <w:color w:val="3E3935"/>
        </w:rPr>
        <w:t>ESG disclosures in consultation with the Audit Committee.</w:t>
      </w:r>
    </w:p>
    <w:p>
      <w:pPr>
        <w:spacing w:after="0" w:line="87" w:lineRule="exact"/>
        <w:rPr>
          <w:rFonts w:ascii="Arial" w:cs="Arial" w:eastAsia="Arial" w:hAnsi="Arial"/>
          <w:sz w:val="20"/>
          <w:szCs w:val="20"/>
          <w:color w:val="3E3935"/>
        </w:rPr>
      </w:pPr>
    </w:p>
    <w:p>
      <w:pPr>
        <w:ind w:left="440" w:right="20" w:hanging="324"/>
        <w:spacing w:after="0" w:line="259" w:lineRule="auto"/>
        <w:tabs>
          <w:tab w:leader="none" w:pos="440" w:val="left"/>
        </w:tabs>
        <w:numPr>
          <w:ilvl w:val="0"/>
          <w:numId w:val="50"/>
        </w:numPr>
        <w:rPr>
          <w:rFonts w:ascii="Arial" w:cs="Arial" w:eastAsia="Arial" w:hAnsi="Arial"/>
          <w:sz w:val="20"/>
          <w:szCs w:val="20"/>
          <w:color w:val="00C1DE"/>
        </w:rPr>
      </w:pPr>
      <w:r>
        <w:rPr>
          <w:rFonts w:ascii="Arial" w:cs="Arial" w:eastAsia="Arial" w:hAnsi="Arial"/>
          <w:sz w:val="20"/>
          <w:szCs w:val="20"/>
          <w:b w:val="1"/>
          <w:bCs w:val="1"/>
          <w:color w:val="3E3935"/>
        </w:rPr>
        <w:t xml:space="preserve">Risk and Cybersecurity Committee: </w:t>
      </w:r>
      <w:r>
        <w:rPr>
          <w:rFonts w:ascii="Arial" w:cs="Arial" w:eastAsia="Arial" w:hAnsi="Arial"/>
          <w:sz w:val="20"/>
          <w:szCs w:val="20"/>
          <w:color w:val="3E3935"/>
        </w:rPr>
        <w:t>Oversees risks related to the Company’s key strategic, enterprise, and</w:t>
      </w:r>
      <w:r>
        <w:rPr>
          <w:rFonts w:ascii="Arial" w:cs="Arial" w:eastAsia="Arial" w:hAnsi="Arial"/>
          <w:sz w:val="20"/>
          <w:szCs w:val="20"/>
          <w:b w:val="1"/>
          <w:bCs w:val="1"/>
          <w:color w:val="3E3935"/>
        </w:rPr>
        <w:t xml:space="preserve"> </w:t>
      </w:r>
      <w:r>
        <w:rPr>
          <w:rFonts w:ascii="Arial" w:cs="Arial" w:eastAsia="Arial" w:hAnsi="Arial"/>
          <w:sz w:val="20"/>
          <w:szCs w:val="20"/>
          <w:color w:val="3E3935"/>
        </w:rPr>
        <w:t>cybersecurity risks, including climate change, workplace and product safety, and privacy.</w:t>
      </w:r>
    </w:p>
    <w:p>
      <w:pPr>
        <w:spacing w:after="0" w:line="99" w:lineRule="exact"/>
        <w:rPr>
          <w:sz w:val="20"/>
          <w:szCs w:val="20"/>
          <w:color w:val="auto"/>
        </w:rPr>
      </w:pPr>
    </w:p>
    <w:p>
      <w:pPr>
        <w:ind w:left="120"/>
        <w:spacing w:after="0"/>
        <w:rPr>
          <w:sz w:val="20"/>
          <w:szCs w:val="20"/>
          <w:color w:val="auto"/>
        </w:rPr>
      </w:pPr>
      <w:r>
        <w:rPr>
          <w:rFonts w:ascii="Arial" w:cs="Arial" w:eastAsia="Arial" w:hAnsi="Arial"/>
          <w:sz w:val="14"/>
          <w:szCs w:val="14"/>
          <w:color w:val="0071CE"/>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wp:posOffset>
            </wp:positionH>
            <wp:positionV relativeFrom="paragraph">
              <wp:posOffset>-95885</wp:posOffset>
            </wp:positionV>
            <wp:extent cx="5983605" cy="10287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5983605" cy="102870"/>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305" w:lineRule="exact"/>
        <w:rPr>
          <w:sz w:val="20"/>
          <w:szCs w:val="20"/>
          <w:color w:val="auto"/>
        </w:rPr>
      </w:pPr>
    </w:p>
    <w:p>
      <w:pPr>
        <w:ind w:left="660" w:hanging="544"/>
        <w:spacing w:after="0"/>
        <w:tabs>
          <w:tab w:leader="none" w:pos="660" w:val="left"/>
        </w:tabs>
        <w:numPr>
          <w:ilvl w:val="0"/>
          <w:numId w:val="51"/>
        </w:numPr>
        <w:rPr>
          <w:rFonts w:ascii="Times New Roman" w:cs="Times New Roman" w:eastAsia="Times New Roman" w:hAnsi="Times New Roman"/>
          <w:sz w:val="19"/>
          <w:szCs w:val="19"/>
          <w:color w:val="0071CE"/>
        </w:rPr>
      </w:pPr>
      <w:r>
        <w:rPr>
          <w:rFonts w:ascii="Arial" w:cs="Arial" w:eastAsia="Arial" w:hAnsi="Arial"/>
          <w:sz w:val="25"/>
          <w:szCs w:val="25"/>
          <w:color w:val="3E3935"/>
        </w:rPr>
        <w:t>Cybersecurity Risk Oversight</w:t>
      </w:r>
    </w:p>
    <w:p>
      <w:pPr>
        <w:spacing w:after="0" w:line="213" w:lineRule="exact"/>
        <w:rPr>
          <w:sz w:val="20"/>
          <w:szCs w:val="20"/>
          <w:color w:val="auto"/>
        </w:rPr>
      </w:pPr>
    </w:p>
    <w:p>
      <w:pPr>
        <w:jc w:val="both"/>
        <w:ind w:left="120"/>
        <w:spacing w:after="0" w:line="229" w:lineRule="auto"/>
        <w:rPr>
          <w:sz w:val="20"/>
          <w:szCs w:val="20"/>
          <w:color w:val="auto"/>
        </w:rPr>
      </w:pPr>
      <w:r>
        <w:rPr>
          <w:rFonts w:ascii="Arial" w:cs="Arial" w:eastAsia="Arial" w:hAnsi="Arial"/>
          <w:sz w:val="20"/>
          <w:szCs w:val="20"/>
          <w:color w:val="3E3935"/>
        </w:rPr>
        <w:t>Each quarter, the Risk and Cybersecurity Committee reviews management’s Cybersecurity Maturity Scorecard, which leverages both the National Institute of Standards and Technology cybersecurity framework and the Capability Maturity Model Integration maturity rating. Management discusses various topics, including information security, manufacturing cybersecurity, and product cybersecurity, and provides intelligence briefings on notable cyber events impacting the industry. The briefings summarize the vulnerabilities that led to the event, provide insight into what happened, and highlight learnings that GM can leverage in the future.</w:t>
      </w:r>
    </w:p>
    <w:p>
      <w:pPr>
        <w:spacing w:after="0" w:line="107" w:lineRule="exact"/>
        <w:rPr>
          <w:sz w:val="20"/>
          <w:szCs w:val="20"/>
          <w:color w:val="auto"/>
        </w:rPr>
      </w:pPr>
    </w:p>
    <w:p>
      <w:pPr>
        <w:jc w:val="both"/>
        <w:ind w:left="120"/>
        <w:spacing w:after="0" w:line="228" w:lineRule="auto"/>
        <w:rPr>
          <w:sz w:val="20"/>
          <w:szCs w:val="20"/>
          <w:color w:val="auto"/>
        </w:rPr>
      </w:pPr>
      <w:r>
        <w:rPr>
          <w:rFonts w:ascii="Arial" w:cs="Arial" w:eastAsia="Arial" w:hAnsi="Arial"/>
          <w:sz w:val="20"/>
          <w:szCs w:val="20"/>
          <w:color w:val="3E3935"/>
        </w:rPr>
        <w:t>GM’s Cybersecurity organization, which was recently restructured to report to the Company’s Executive Vice President – Legal, Public Policy, Cybersecurity, and Strategic Technology Initiatives to reflect the best practice of creating an independent cybersecurity office, aligns cybersecurity domains across GM, GM Financial, Cruise, and our other growth businesses (such as BrightDrop and OnStar Insurance). It also enables GM to leverage both business and technical experts to accelerate the development and execution of security solutions. Our global team is charged with executing enterprise, product, and manufacturing cybersecurity programs with a focus on security architecture, penetration testing, cyber risk management, incident response, vulnerability management, intelligence, awareness and training, and governance. GM applies a defense-in-depth cybersecurity strategy, making it more difficult for attackers to breach our defenses and allowing for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both"/>
        <w:spacing w:after="0" w:line="232" w:lineRule="auto"/>
        <w:rPr>
          <w:sz w:val="20"/>
          <w:szCs w:val="20"/>
          <w:color w:val="auto"/>
        </w:rPr>
      </w:pPr>
      <w:r>
        <w:rPr>
          <w:rFonts w:ascii="Arial" w:cs="Arial" w:eastAsia="Arial" w:hAnsi="Arial"/>
          <w:sz w:val="20"/>
          <w:szCs w:val="20"/>
          <w:color w:val="3E3935"/>
        </w:rPr>
        <w:t>quick detection, deflection, and counteraction of attempts at unauthorized access. Beyond the GM ecosystem, GM leverages a Third-Party Cybersecurity Program to minimize disruption to GM’s business and production operations, strengthen supply chain resilience in response to cyber-related events, and ensure the integrity of components and systems used in GM’s products and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-3651885</wp:posOffset>
            </wp:positionH>
            <wp:positionV relativeFrom="paragraph">
              <wp:posOffset>-1848485</wp:posOffset>
            </wp:positionV>
            <wp:extent cx="7174865" cy="5588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p>
    <w:p>
      <w:pPr>
        <w:spacing w:after="0" w:line="84" w:lineRule="exact"/>
        <w:rPr>
          <w:sz w:val="20"/>
          <w:szCs w:val="20"/>
          <w:color w:val="auto"/>
        </w:rPr>
      </w:pPr>
    </w:p>
    <w:p>
      <w:pPr>
        <w:jc w:val="both"/>
        <w:spacing w:after="0" w:line="227" w:lineRule="auto"/>
        <w:rPr>
          <w:sz w:val="20"/>
          <w:szCs w:val="20"/>
          <w:color w:val="auto"/>
        </w:rPr>
      </w:pPr>
      <w:r>
        <w:rPr>
          <w:rFonts w:ascii="Arial" w:cs="Arial" w:eastAsia="Arial" w:hAnsi="Arial"/>
          <w:sz w:val="20"/>
          <w:szCs w:val="20"/>
          <w:color w:val="3E3935"/>
        </w:rPr>
        <w:t>GM also includes multi-domain cybersecurity training as part of its annual corporate required training program. In addition, training and awareness is integrated and continues throughout the year, utilizing various delivery methods such as phishing awareness campaigns, live training sessions, and informational articles. GM continues to invest heavily in cybersecurity, including through our over 500 dedicated employees. These employees have diverse skillsets and include pen-testers, cryptologists, analysts, architects, data analysts, security engineers, program managers, and “true hackers.” In addition, the Company protects itself and shareholder interests through comprehensive information security and cybersecurity policies. The Cybersecurity team uses a balanced approach in validating the efficacy of its risk management program, leveraging cybersecurity resources and GM’s internal audit services, as well as engaging with external, third-party auditors and other experts at least annually across the domains. In 2022, GM did not have any material cybersecurity incidents or any material customer privacy complaints from regulatory bodies or outside parties.</w:t>
      </w:r>
    </w:p>
    <w:p>
      <w:pPr>
        <w:spacing w:after="0" w:line="862" w:lineRule="exact"/>
        <w:rPr>
          <w:sz w:val="20"/>
          <w:szCs w:val="20"/>
          <w:color w:val="auto"/>
        </w:rPr>
      </w:pPr>
    </w:p>
    <w:p>
      <w:pPr>
        <w:sectPr>
          <w:pgSz w:w="11900" w:h="16838" w:orient="portrait"/>
          <w:cols w:equalWidth="0" w:num="2">
            <w:col w:w="5400" w:space="340"/>
            <w:col w:w="5400"/>
          </w:cols>
          <w:pgMar w:left="320" w:top="482" w:right="439" w:bottom="1440" w:gutter="0" w:footer="0" w:header="0"/>
        </w:sectPr>
      </w:pPr>
    </w:p>
    <w:p>
      <w:pPr>
        <w:spacing w:after="0" w:line="241" w:lineRule="exact"/>
        <w:rPr>
          <w:sz w:val="20"/>
          <w:szCs w:val="20"/>
          <w:color w:val="auto"/>
        </w:rPr>
      </w:pPr>
    </w:p>
    <w:p>
      <w:pPr>
        <w:ind w:left="660" w:hanging="544"/>
        <w:spacing w:after="0"/>
        <w:tabs>
          <w:tab w:leader="none" w:pos="660" w:val="left"/>
        </w:tabs>
        <w:numPr>
          <w:ilvl w:val="0"/>
          <w:numId w:val="52"/>
        </w:numPr>
        <w:rPr>
          <w:rFonts w:ascii="Times New Roman" w:cs="Times New Roman" w:eastAsia="Times New Roman" w:hAnsi="Times New Roman"/>
          <w:sz w:val="19"/>
          <w:szCs w:val="19"/>
          <w:color w:val="0071CE"/>
        </w:rPr>
      </w:pPr>
      <w:r>
        <w:rPr>
          <w:rFonts w:ascii="Arial" w:cs="Arial" w:eastAsia="Arial" w:hAnsi="Arial"/>
          <w:sz w:val="25"/>
          <w:szCs w:val="25"/>
          <w:color w:val="3E3935"/>
        </w:rPr>
        <w:t>Privacy Risk Oversight</w:t>
      </w:r>
    </w:p>
    <w:p>
      <w:pPr>
        <w:spacing w:after="0" w:line="213" w:lineRule="exact"/>
        <w:rPr>
          <w:sz w:val="20"/>
          <w:szCs w:val="20"/>
          <w:color w:val="auto"/>
        </w:rPr>
      </w:pPr>
    </w:p>
    <w:p>
      <w:pPr>
        <w:jc w:val="both"/>
        <w:ind w:left="120"/>
        <w:spacing w:after="0" w:line="230" w:lineRule="auto"/>
        <w:rPr>
          <w:sz w:val="20"/>
          <w:szCs w:val="20"/>
          <w:color w:val="auto"/>
        </w:rPr>
      </w:pPr>
      <w:r>
        <w:rPr>
          <w:rFonts w:ascii="Arial" w:cs="Arial" w:eastAsia="Arial" w:hAnsi="Arial"/>
          <w:sz w:val="20"/>
          <w:szCs w:val="20"/>
          <w:color w:val="3E3935"/>
        </w:rPr>
        <w:t>In recent years, GM’s Strategic Risk Management team determined that privacy risks were increasing in significance due to the enactment of new and more stringent U.S. and global regulations on the use and protection of personal information, especially as we move toward a software-defined vehicle. Accordingly, the Risk and Cybersecurity Committee has taken steps to continue to enhance its oversight of GM’s data privacy policies and practices. Pursuant to its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both"/>
        <w:ind w:right="20"/>
        <w:spacing w:after="0" w:line="232" w:lineRule="auto"/>
        <w:rPr>
          <w:sz w:val="20"/>
          <w:szCs w:val="20"/>
          <w:color w:val="auto"/>
        </w:rPr>
      </w:pPr>
      <w:r>
        <w:rPr>
          <w:rFonts w:ascii="Arial" w:cs="Arial" w:eastAsia="Arial" w:hAnsi="Arial"/>
          <w:sz w:val="20"/>
          <w:szCs w:val="20"/>
          <w:color w:val="3E3935"/>
        </w:rPr>
        <w:t>charter, the Committee is responsible for overseeing GM’s privacy risks relating to the Company’s employees, customers, and other stakeholders. The Committee also devotes portions of its meetings to discuss critical privacy issues with management, including GM’s processes and policies designed to ensure compliance with emerging state, federal, and international laws and regulations.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4920"/>
        <w:spacing w:after="0"/>
        <w:rPr>
          <w:sz w:val="20"/>
          <w:szCs w:val="20"/>
          <w:color w:val="auto"/>
        </w:rPr>
      </w:pPr>
      <w:r>
        <w:rPr>
          <w:rFonts w:ascii="Arial" w:cs="Arial" w:eastAsia="Arial" w:hAnsi="Arial"/>
          <w:sz w:val="14"/>
          <w:szCs w:val="14"/>
          <w:color w:val="0071CE"/>
        </w:rPr>
        <w:t>35</w:t>
      </w:r>
    </w:p>
    <w:p>
      <w:pPr>
        <w:sectPr>
          <w:pgSz w:w="11900" w:h="16838" w:orient="portrait"/>
          <w:cols w:equalWidth="0" w:num="2">
            <w:col w:w="5400" w:space="340"/>
            <w:col w:w="5400"/>
          </w:cols>
          <w:pgMar w:left="320" w:top="482" w:right="439" w:bottom="1440" w:gutter="0" w:footer="0" w:header="0"/>
          <w:type w:val="continuous"/>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ind w:left="660" w:hanging="544"/>
        <w:spacing w:after="0"/>
        <w:tabs>
          <w:tab w:leader="none" w:pos="660" w:val="left"/>
        </w:tabs>
        <w:numPr>
          <w:ilvl w:val="0"/>
          <w:numId w:val="53"/>
        </w:numPr>
        <w:rPr>
          <w:rFonts w:ascii="Times New Roman" w:cs="Times New Roman" w:eastAsia="Times New Roman" w:hAnsi="Times New Roman"/>
          <w:sz w:val="19"/>
          <w:szCs w:val="19"/>
          <w:color w:val="0071CE"/>
        </w:rPr>
      </w:pPr>
      <w:r>
        <w:rPr>
          <w:rFonts w:ascii="Arial" w:cs="Arial" w:eastAsia="Arial" w:hAnsi="Arial"/>
          <w:sz w:val="25"/>
          <w:szCs w:val="25"/>
          <w:color w:val="3E3935"/>
        </w:rPr>
        <w:t>ESG Risk Oversight</w:t>
      </w:r>
    </w:p>
    <w:p>
      <w:pPr>
        <w:spacing w:after="0" w:line="159" w:lineRule="exact"/>
        <w:rPr>
          <w:sz w:val="20"/>
          <w:szCs w:val="20"/>
          <w:color w:val="auto"/>
        </w:rPr>
      </w:pPr>
    </w:p>
    <w:p>
      <w:pPr>
        <w:jc w:val="both"/>
        <w:ind w:left="120" w:right="20"/>
        <w:spacing w:after="0" w:line="241" w:lineRule="auto"/>
        <w:rPr>
          <w:sz w:val="20"/>
          <w:szCs w:val="20"/>
          <w:color w:val="auto"/>
        </w:rPr>
      </w:pPr>
      <w:r>
        <w:rPr>
          <w:rFonts w:ascii="Arial" w:cs="Arial" w:eastAsia="Arial" w:hAnsi="Arial"/>
          <w:sz w:val="20"/>
          <w:szCs w:val="20"/>
          <w:color w:val="3E3935"/>
        </w:rPr>
        <w:t>The Board oversees ESG principles throughout the enterprise and has delegated specific ESG oversight responsibilities to each of its committees. In 2021, the committees further incorporated ESG responsibilities into their charters in recognition that ESG impacts all aspects of the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139700</wp:posOffset>
            </wp:positionV>
            <wp:extent cx="6995160" cy="327469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995160" cy="3274695"/>
                    </a:xfrm>
                    <a:prstGeom prst="rect">
                      <a:avLst/>
                    </a:prstGeom>
                    <a:noFill/>
                  </pic:spPr>
                </pic:pic>
              </a:graphicData>
            </a:graphic>
          </wp:anchor>
        </w:drawing>
      </w:r>
    </w:p>
    <w:p>
      <w:pPr>
        <w:spacing w:after="0" w:line="200" w:lineRule="exact"/>
        <w:rPr>
          <w:sz w:val="20"/>
          <w:szCs w:val="20"/>
          <w:color w:val="auto"/>
        </w:rPr>
      </w:pPr>
    </w:p>
    <w:tbl>
      <w:tblPr>
        <w:tblLayout w:type="fixed"/>
        <w:tblInd w:w="120" w:type="dxa"/>
        <w:tblCellMar>
          <w:top w:w="0" w:type="dxa"/>
          <w:left w:w="0" w:type="dxa"/>
          <w:bottom w:w="0" w:type="dxa"/>
          <w:right w:w="0" w:type="dxa"/>
        </w:tblCellMar>
      </w:tblPr>
      <w:tr>
        <w:trPr>
          <w:trHeight w:val="323"/>
        </w:trPr>
        <w:tc>
          <w:tcPr>
            <w:tcW w:w="3200" w:type="dxa"/>
            <w:vAlign w:val="bottom"/>
            <w:shd w:val="clear" w:color="auto" w:fill="D8F5FA"/>
          </w:tcPr>
          <w:p>
            <w:pPr>
              <w:ind w:left="80"/>
              <w:spacing w:after="0"/>
              <w:rPr>
                <w:sz w:val="20"/>
                <w:szCs w:val="20"/>
                <w:color w:val="auto"/>
              </w:rPr>
            </w:pPr>
            <w:r>
              <w:rPr>
                <w:rFonts w:ascii="Arial" w:cs="Arial" w:eastAsia="Arial" w:hAnsi="Arial"/>
                <w:sz w:val="20"/>
                <w:szCs w:val="20"/>
                <w:b w:val="1"/>
                <w:bCs w:val="1"/>
                <w:color w:val="00C1DE"/>
              </w:rPr>
              <w:t>Audit Committee</w:t>
            </w:r>
          </w:p>
        </w:tc>
        <w:tc>
          <w:tcPr>
            <w:tcW w:w="7820" w:type="dxa"/>
            <w:vAlign w:val="bottom"/>
            <w:shd w:val="clear" w:color="auto" w:fill="D8F5FA"/>
          </w:tcPr>
          <w:p>
            <w:pPr>
              <w:ind w:left="200"/>
              <w:spacing w:after="0"/>
              <w:rPr>
                <w:sz w:val="20"/>
                <w:szCs w:val="20"/>
                <w:color w:val="auto"/>
              </w:rPr>
            </w:pPr>
            <w:r>
              <w:rPr>
                <w:rFonts w:ascii="Arial" w:cs="Arial" w:eastAsia="Arial" w:hAnsi="Arial"/>
                <w:sz w:val="20"/>
                <w:szCs w:val="20"/>
                <w:color w:val="00C1DE"/>
              </w:rPr>
              <w:t>•</w:t>
            </w:r>
            <w:r>
              <w:rPr>
                <w:rFonts w:ascii="Arial" w:cs="Arial" w:eastAsia="Arial" w:hAnsi="Arial"/>
                <w:sz w:val="17"/>
                <w:szCs w:val="17"/>
                <w:color w:val="3E3935"/>
              </w:rPr>
              <w:t xml:space="preserve">    Reviews the processes and control procedures over ESG disclosures</w:t>
            </w:r>
          </w:p>
        </w:tc>
      </w:tr>
      <w:tr>
        <w:trPr>
          <w:trHeight w:val="225"/>
        </w:trPr>
        <w:tc>
          <w:tcPr>
            <w:tcW w:w="3200" w:type="dxa"/>
            <w:vAlign w:val="bottom"/>
            <w:shd w:val="clear" w:color="auto" w:fill="D8F5FA"/>
          </w:tcPr>
          <w:p>
            <w:pPr>
              <w:spacing w:after="0"/>
              <w:rPr>
                <w:sz w:val="19"/>
                <w:szCs w:val="19"/>
                <w:color w:val="auto"/>
              </w:rPr>
            </w:pPr>
          </w:p>
        </w:tc>
        <w:tc>
          <w:tcPr>
            <w:tcW w:w="7820" w:type="dxa"/>
            <w:vAlign w:val="bottom"/>
            <w:shd w:val="clear" w:color="auto" w:fill="D8F5FA"/>
          </w:tcPr>
          <w:p>
            <w:pPr>
              <w:ind w:left="200"/>
              <w:spacing w:after="0" w:line="225" w:lineRule="exact"/>
              <w:rPr>
                <w:sz w:val="20"/>
                <w:szCs w:val="20"/>
                <w:color w:val="auto"/>
              </w:rPr>
            </w:pPr>
            <w:r>
              <w:rPr>
                <w:rFonts w:ascii="Arial" w:cs="Arial" w:eastAsia="Arial" w:hAnsi="Arial"/>
                <w:sz w:val="20"/>
                <w:szCs w:val="20"/>
                <w:color w:val="00C1DE"/>
              </w:rPr>
              <w:t>•</w:t>
            </w:r>
            <w:r>
              <w:rPr>
                <w:rFonts w:ascii="Arial" w:cs="Arial" w:eastAsia="Arial" w:hAnsi="Arial"/>
                <w:sz w:val="17"/>
                <w:szCs w:val="17"/>
                <w:color w:val="3E3935"/>
              </w:rPr>
              <w:t xml:space="preserve">    Oversees the internal audit function, which includes coverage of controls around ESG</w:t>
            </w:r>
          </w:p>
        </w:tc>
      </w:tr>
      <w:tr>
        <w:trPr>
          <w:trHeight w:val="207"/>
        </w:trPr>
        <w:tc>
          <w:tcPr>
            <w:tcW w:w="3200" w:type="dxa"/>
            <w:vAlign w:val="bottom"/>
            <w:shd w:val="clear" w:color="auto" w:fill="D8F5FA"/>
          </w:tcPr>
          <w:p>
            <w:pPr>
              <w:spacing w:after="0"/>
              <w:rPr>
                <w:sz w:val="18"/>
                <w:szCs w:val="18"/>
                <w:color w:val="auto"/>
              </w:rPr>
            </w:pPr>
          </w:p>
        </w:tc>
        <w:tc>
          <w:tcPr>
            <w:tcW w:w="7820" w:type="dxa"/>
            <w:vAlign w:val="bottom"/>
            <w:shd w:val="clear" w:color="auto" w:fill="D8F5FA"/>
          </w:tcPr>
          <w:p>
            <w:pPr>
              <w:ind w:left="460"/>
              <w:spacing w:after="0"/>
              <w:rPr>
                <w:sz w:val="20"/>
                <w:szCs w:val="20"/>
                <w:color w:val="auto"/>
              </w:rPr>
            </w:pPr>
            <w:r>
              <w:rPr>
                <w:rFonts w:ascii="Arial" w:cs="Arial" w:eastAsia="Arial" w:hAnsi="Arial"/>
                <w:sz w:val="18"/>
                <w:szCs w:val="18"/>
                <w:color w:val="3E3935"/>
              </w:rPr>
              <w:t>disclosures</w:t>
            </w:r>
          </w:p>
        </w:tc>
      </w:tr>
      <w:tr>
        <w:trPr>
          <w:trHeight w:val="267"/>
        </w:trPr>
        <w:tc>
          <w:tcPr>
            <w:tcW w:w="3200" w:type="dxa"/>
            <w:vAlign w:val="bottom"/>
            <w:shd w:val="clear" w:color="auto" w:fill="D8F5FA"/>
          </w:tcPr>
          <w:p>
            <w:pPr>
              <w:spacing w:after="0"/>
              <w:rPr>
                <w:sz w:val="23"/>
                <w:szCs w:val="23"/>
                <w:color w:val="auto"/>
              </w:rPr>
            </w:pPr>
          </w:p>
        </w:tc>
        <w:tc>
          <w:tcPr>
            <w:tcW w:w="7820" w:type="dxa"/>
            <w:vAlign w:val="bottom"/>
            <w:shd w:val="clear" w:color="auto" w:fill="D8F5FA"/>
          </w:tcPr>
          <w:p>
            <w:pPr>
              <w:ind w:left="200"/>
              <w:spacing w:after="0"/>
              <w:rPr>
                <w:sz w:val="20"/>
                <w:szCs w:val="20"/>
                <w:color w:val="auto"/>
              </w:rPr>
            </w:pPr>
            <w:r>
              <w:rPr>
                <w:rFonts w:ascii="Arial" w:cs="Arial" w:eastAsia="Arial" w:hAnsi="Arial"/>
                <w:sz w:val="20"/>
                <w:szCs w:val="20"/>
                <w:color w:val="00C1DE"/>
              </w:rPr>
              <w:t>•</w:t>
            </w:r>
            <w:r>
              <w:rPr>
                <w:rFonts w:ascii="Arial" w:cs="Arial" w:eastAsia="Arial" w:hAnsi="Arial"/>
                <w:sz w:val="17"/>
                <w:szCs w:val="17"/>
                <w:color w:val="3E3935"/>
              </w:rPr>
              <w:t xml:space="preserve">    Reviews and approves the annual Sustainability Report</w:t>
            </w:r>
          </w:p>
        </w:tc>
      </w:tr>
      <w:tr>
        <w:trPr>
          <w:trHeight w:val="430"/>
        </w:trPr>
        <w:tc>
          <w:tcPr>
            <w:tcW w:w="3200" w:type="dxa"/>
            <w:vAlign w:val="bottom"/>
            <w:shd w:val="clear" w:color="auto" w:fill="D8F5FA"/>
          </w:tcPr>
          <w:p>
            <w:pPr>
              <w:ind w:left="80"/>
              <w:spacing w:after="0"/>
              <w:rPr>
                <w:sz w:val="20"/>
                <w:szCs w:val="20"/>
                <w:color w:val="auto"/>
              </w:rPr>
            </w:pPr>
            <w:r>
              <w:rPr>
                <w:rFonts w:ascii="Arial" w:cs="Arial" w:eastAsia="Arial" w:hAnsi="Arial"/>
                <w:sz w:val="20"/>
                <w:szCs w:val="20"/>
                <w:b w:val="1"/>
                <w:bCs w:val="1"/>
                <w:color w:val="00C1DE"/>
              </w:rPr>
              <w:t>Compensation Committee</w:t>
            </w:r>
          </w:p>
        </w:tc>
        <w:tc>
          <w:tcPr>
            <w:tcW w:w="7820" w:type="dxa"/>
            <w:vAlign w:val="bottom"/>
            <w:shd w:val="clear" w:color="auto" w:fill="D8F5FA"/>
          </w:tcPr>
          <w:p>
            <w:pPr>
              <w:ind w:left="200"/>
              <w:spacing w:after="0"/>
              <w:rPr>
                <w:sz w:val="20"/>
                <w:szCs w:val="20"/>
                <w:color w:val="auto"/>
              </w:rPr>
            </w:pPr>
            <w:r>
              <w:rPr>
                <w:rFonts w:ascii="Arial" w:cs="Arial" w:eastAsia="Arial" w:hAnsi="Arial"/>
                <w:sz w:val="20"/>
                <w:szCs w:val="20"/>
                <w:color w:val="00C1DE"/>
              </w:rPr>
              <w:t>•</w:t>
            </w:r>
            <w:r>
              <w:rPr>
                <w:rFonts w:ascii="Arial" w:cs="Arial" w:eastAsia="Arial" w:hAnsi="Arial"/>
                <w:sz w:val="17"/>
                <w:szCs w:val="17"/>
                <w:color w:val="3E3935"/>
              </w:rPr>
              <w:t xml:space="preserve">    Makes an annual determination as to whether the Company’s ESG goals and milestones</w:t>
            </w:r>
          </w:p>
        </w:tc>
      </w:tr>
      <w:tr>
        <w:trPr>
          <w:trHeight w:val="207"/>
        </w:trPr>
        <w:tc>
          <w:tcPr>
            <w:tcW w:w="3200" w:type="dxa"/>
            <w:vAlign w:val="bottom"/>
            <w:shd w:val="clear" w:color="auto" w:fill="D8F5FA"/>
          </w:tcPr>
          <w:p>
            <w:pPr>
              <w:spacing w:after="0"/>
              <w:rPr>
                <w:sz w:val="18"/>
                <w:szCs w:val="18"/>
                <w:color w:val="auto"/>
              </w:rPr>
            </w:pPr>
          </w:p>
        </w:tc>
        <w:tc>
          <w:tcPr>
            <w:tcW w:w="7820" w:type="dxa"/>
            <w:vAlign w:val="bottom"/>
            <w:shd w:val="clear" w:color="auto" w:fill="D8F5FA"/>
          </w:tcPr>
          <w:p>
            <w:pPr>
              <w:ind w:left="460"/>
              <w:spacing w:after="0"/>
              <w:rPr>
                <w:sz w:val="20"/>
                <w:szCs w:val="20"/>
                <w:color w:val="auto"/>
              </w:rPr>
            </w:pPr>
            <w:r>
              <w:rPr>
                <w:rFonts w:ascii="Arial" w:cs="Arial" w:eastAsia="Arial" w:hAnsi="Arial"/>
                <w:sz w:val="18"/>
                <w:szCs w:val="18"/>
                <w:color w:val="3E3935"/>
              </w:rPr>
              <w:t>are effectively integrated into compensation programs</w:t>
            </w:r>
          </w:p>
        </w:tc>
      </w:tr>
      <w:tr>
        <w:trPr>
          <w:trHeight w:val="267"/>
        </w:trPr>
        <w:tc>
          <w:tcPr>
            <w:tcW w:w="3200" w:type="dxa"/>
            <w:vAlign w:val="bottom"/>
            <w:shd w:val="clear" w:color="auto" w:fill="D8F5FA"/>
          </w:tcPr>
          <w:p>
            <w:pPr>
              <w:spacing w:after="0"/>
              <w:rPr>
                <w:sz w:val="23"/>
                <w:szCs w:val="23"/>
                <w:color w:val="auto"/>
              </w:rPr>
            </w:pPr>
          </w:p>
        </w:tc>
        <w:tc>
          <w:tcPr>
            <w:tcW w:w="7820" w:type="dxa"/>
            <w:vAlign w:val="bottom"/>
            <w:shd w:val="clear" w:color="auto" w:fill="D8F5FA"/>
          </w:tcPr>
          <w:p>
            <w:pPr>
              <w:ind w:left="200"/>
              <w:spacing w:after="0"/>
              <w:rPr>
                <w:sz w:val="20"/>
                <w:szCs w:val="20"/>
                <w:color w:val="auto"/>
              </w:rPr>
            </w:pPr>
            <w:r>
              <w:rPr>
                <w:rFonts w:ascii="Arial" w:cs="Arial" w:eastAsia="Arial" w:hAnsi="Arial"/>
                <w:sz w:val="20"/>
                <w:szCs w:val="20"/>
                <w:color w:val="00C1DE"/>
              </w:rPr>
              <w:t>•</w:t>
            </w:r>
            <w:r>
              <w:rPr>
                <w:rFonts w:ascii="Arial" w:cs="Arial" w:eastAsia="Arial" w:hAnsi="Arial"/>
                <w:sz w:val="17"/>
                <w:szCs w:val="17"/>
                <w:color w:val="3E3935"/>
              </w:rPr>
              <w:t xml:space="preserve">    Considers shareholder feedback relative to the alignment of GM’s sustainability goals</w:t>
            </w:r>
          </w:p>
        </w:tc>
      </w:tr>
      <w:tr>
        <w:trPr>
          <w:trHeight w:val="430"/>
        </w:trPr>
        <w:tc>
          <w:tcPr>
            <w:tcW w:w="3200" w:type="dxa"/>
            <w:vAlign w:val="bottom"/>
            <w:shd w:val="clear" w:color="auto" w:fill="D8F5FA"/>
          </w:tcPr>
          <w:p>
            <w:pPr>
              <w:ind w:left="80"/>
              <w:spacing w:after="0"/>
              <w:rPr>
                <w:sz w:val="20"/>
                <w:szCs w:val="20"/>
                <w:color w:val="auto"/>
              </w:rPr>
            </w:pPr>
            <w:r>
              <w:rPr>
                <w:rFonts w:ascii="Arial" w:cs="Arial" w:eastAsia="Arial" w:hAnsi="Arial"/>
                <w:sz w:val="20"/>
                <w:szCs w:val="20"/>
                <w:b w:val="1"/>
                <w:bCs w:val="1"/>
                <w:color w:val="00C1DE"/>
              </w:rPr>
              <w:t>Finance Committee</w:t>
            </w:r>
          </w:p>
        </w:tc>
        <w:tc>
          <w:tcPr>
            <w:tcW w:w="7820" w:type="dxa"/>
            <w:vAlign w:val="bottom"/>
            <w:shd w:val="clear" w:color="auto" w:fill="D8F5FA"/>
          </w:tcPr>
          <w:p>
            <w:pPr>
              <w:ind w:left="200"/>
              <w:spacing w:after="0"/>
              <w:rPr>
                <w:sz w:val="20"/>
                <w:szCs w:val="20"/>
                <w:color w:val="auto"/>
              </w:rPr>
            </w:pPr>
            <w:r>
              <w:rPr>
                <w:rFonts w:ascii="Arial" w:cs="Arial" w:eastAsia="Arial" w:hAnsi="Arial"/>
                <w:sz w:val="20"/>
                <w:szCs w:val="20"/>
                <w:color w:val="00C1DE"/>
              </w:rPr>
              <w:t>•</w:t>
            </w:r>
            <w:r>
              <w:rPr>
                <w:rFonts w:ascii="Arial" w:cs="Arial" w:eastAsia="Arial" w:hAnsi="Arial"/>
                <w:sz w:val="17"/>
                <w:szCs w:val="17"/>
                <w:color w:val="3E3935"/>
              </w:rPr>
              <w:t xml:space="preserve">    Reviews changes to our shareholder composition, including the impact of ESG-oriented</w:t>
            </w:r>
          </w:p>
        </w:tc>
      </w:tr>
      <w:tr>
        <w:trPr>
          <w:trHeight w:val="239"/>
        </w:trPr>
        <w:tc>
          <w:tcPr>
            <w:tcW w:w="3200" w:type="dxa"/>
            <w:vAlign w:val="bottom"/>
            <w:shd w:val="clear" w:color="auto" w:fill="D8F5FA"/>
          </w:tcPr>
          <w:p>
            <w:pPr>
              <w:spacing w:after="0"/>
              <w:rPr>
                <w:sz w:val="20"/>
                <w:szCs w:val="20"/>
                <w:color w:val="auto"/>
              </w:rPr>
            </w:pPr>
          </w:p>
        </w:tc>
        <w:tc>
          <w:tcPr>
            <w:tcW w:w="7820" w:type="dxa"/>
            <w:vAlign w:val="bottom"/>
            <w:shd w:val="clear" w:color="auto" w:fill="D8F5FA"/>
          </w:tcPr>
          <w:p>
            <w:pPr>
              <w:ind w:left="460"/>
              <w:spacing w:after="0"/>
              <w:rPr>
                <w:sz w:val="20"/>
                <w:szCs w:val="20"/>
                <w:color w:val="auto"/>
              </w:rPr>
            </w:pPr>
            <w:r>
              <w:rPr>
                <w:rFonts w:ascii="Arial" w:cs="Arial" w:eastAsia="Arial" w:hAnsi="Arial"/>
                <w:sz w:val="18"/>
                <w:szCs w:val="18"/>
                <w:color w:val="3E3935"/>
              </w:rPr>
              <w:t>investors</w:t>
            </w:r>
          </w:p>
        </w:tc>
      </w:tr>
      <w:tr>
        <w:trPr>
          <w:trHeight w:val="423"/>
        </w:trPr>
        <w:tc>
          <w:tcPr>
            <w:tcW w:w="3200" w:type="dxa"/>
            <w:vAlign w:val="bottom"/>
            <w:shd w:val="clear" w:color="auto" w:fill="D8F5FA"/>
          </w:tcPr>
          <w:p>
            <w:pPr>
              <w:ind w:left="80"/>
              <w:spacing w:after="0"/>
              <w:rPr>
                <w:sz w:val="20"/>
                <w:szCs w:val="20"/>
                <w:color w:val="auto"/>
              </w:rPr>
            </w:pPr>
            <w:r>
              <w:rPr>
                <w:rFonts w:ascii="Arial" w:cs="Arial" w:eastAsia="Arial" w:hAnsi="Arial"/>
                <w:sz w:val="20"/>
                <w:szCs w:val="20"/>
                <w:b w:val="1"/>
                <w:bCs w:val="1"/>
                <w:color w:val="00C1DE"/>
              </w:rPr>
              <w:t>Governance Committee</w:t>
            </w:r>
          </w:p>
        </w:tc>
        <w:tc>
          <w:tcPr>
            <w:tcW w:w="7820" w:type="dxa"/>
            <w:vAlign w:val="bottom"/>
            <w:shd w:val="clear" w:color="auto" w:fill="D8F5FA"/>
          </w:tcPr>
          <w:p>
            <w:pPr>
              <w:ind w:left="200"/>
              <w:spacing w:after="0"/>
              <w:rPr>
                <w:sz w:val="20"/>
                <w:szCs w:val="20"/>
                <w:color w:val="auto"/>
              </w:rPr>
            </w:pPr>
            <w:r>
              <w:rPr>
                <w:rFonts w:ascii="Arial" w:cs="Arial" w:eastAsia="Arial" w:hAnsi="Arial"/>
                <w:sz w:val="20"/>
                <w:szCs w:val="20"/>
                <w:color w:val="00C1DE"/>
              </w:rPr>
              <w:t>•</w:t>
            </w:r>
            <w:r>
              <w:rPr>
                <w:rFonts w:ascii="Arial" w:cs="Arial" w:eastAsia="Arial" w:hAnsi="Arial"/>
                <w:sz w:val="17"/>
                <w:szCs w:val="17"/>
                <w:color w:val="3E3935"/>
              </w:rPr>
              <w:t xml:space="preserve">    Oversees ESG initiatives, strategies, and policies that have a material impact on the</w:t>
            </w:r>
          </w:p>
        </w:tc>
      </w:tr>
      <w:tr>
        <w:trPr>
          <w:trHeight w:val="207"/>
        </w:trPr>
        <w:tc>
          <w:tcPr>
            <w:tcW w:w="3200" w:type="dxa"/>
            <w:vAlign w:val="bottom"/>
            <w:shd w:val="clear" w:color="auto" w:fill="D8F5FA"/>
          </w:tcPr>
          <w:p>
            <w:pPr>
              <w:spacing w:after="0"/>
              <w:rPr>
                <w:sz w:val="18"/>
                <w:szCs w:val="18"/>
                <w:color w:val="auto"/>
              </w:rPr>
            </w:pPr>
          </w:p>
        </w:tc>
        <w:tc>
          <w:tcPr>
            <w:tcW w:w="7820" w:type="dxa"/>
            <w:vAlign w:val="bottom"/>
            <w:shd w:val="clear" w:color="auto" w:fill="D8F5FA"/>
          </w:tcPr>
          <w:p>
            <w:pPr>
              <w:ind w:left="460"/>
              <w:spacing w:after="0"/>
              <w:rPr>
                <w:sz w:val="20"/>
                <w:szCs w:val="20"/>
                <w:color w:val="auto"/>
              </w:rPr>
            </w:pPr>
            <w:r>
              <w:rPr>
                <w:rFonts w:ascii="Arial" w:cs="Arial" w:eastAsia="Arial" w:hAnsi="Arial"/>
                <w:sz w:val="18"/>
                <w:szCs w:val="18"/>
                <w:color w:val="3E3935"/>
              </w:rPr>
              <w:t>Company</w:t>
            </w:r>
          </w:p>
        </w:tc>
      </w:tr>
      <w:tr>
        <w:trPr>
          <w:trHeight w:val="229"/>
        </w:trPr>
        <w:tc>
          <w:tcPr>
            <w:tcW w:w="3200" w:type="dxa"/>
            <w:vAlign w:val="bottom"/>
            <w:shd w:val="clear" w:color="auto" w:fill="D8F5FA"/>
          </w:tcPr>
          <w:p>
            <w:pPr>
              <w:spacing w:after="0"/>
              <w:rPr>
                <w:sz w:val="19"/>
                <w:szCs w:val="19"/>
                <w:color w:val="auto"/>
              </w:rPr>
            </w:pPr>
          </w:p>
        </w:tc>
        <w:tc>
          <w:tcPr>
            <w:tcW w:w="7820" w:type="dxa"/>
            <w:vAlign w:val="bottom"/>
            <w:shd w:val="clear" w:color="auto" w:fill="D8F5FA"/>
          </w:tcPr>
          <w:p>
            <w:pPr>
              <w:ind w:left="200"/>
              <w:spacing w:after="0"/>
              <w:rPr>
                <w:sz w:val="20"/>
                <w:szCs w:val="20"/>
                <w:color w:val="auto"/>
              </w:rPr>
            </w:pPr>
            <w:r>
              <w:rPr>
                <w:rFonts w:ascii="Arial" w:cs="Arial" w:eastAsia="Arial" w:hAnsi="Arial"/>
                <w:sz w:val="20"/>
                <w:szCs w:val="20"/>
                <w:color w:val="00C1DE"/>
              </w:rPr>
              <w:t>•</w:t>
            </w:r>
            <w:r>
              <w:rPr>
                <w:rFonts w:ascii="Arial" w:cs="Arial" w:eastAsia="Arial" w:hAnsi="Arial"/>
                <w:sz w:val="17"/>
                <w:szCs w:val="17"/>
                <w:color w:val="3E3935"/>
              </w:rPr>
              <w:t xml:space="preserve">    Tracks an ESG scorecard of 10 key targets and conducts annual reviews of ESG topics</w:t>
            </w:r>
          </w:p>
        </w:tc>
      </w:tr>
      <w:tr>
        <w:trPr>
          <w:trHeight w:val="230"/>
        </w:trPr>
        <w:tc>
          <w:tcPr>
            <w:tcW w:w="3200" w:type="dxa"/>
            <w:vAlign w:val="bottom"/>
            <w:shd w:val="clear" w:color="auto" w:fill="D8F5FA"/>
          </w:tcPr>
          <w:p>
            <w:pPr>
              <w:spacing w:after="0"/>
              <w:rPr>
                <w:sz w:val="19"/>
                <w:szCs w:val="19"/>
                <w:color w:val="auto"/>
              </w:rPr>
            </w:pPr>
          </w:p>
        </w:tc>
        <w:tc>
          <w:tcPr>
            <w:tcW w:w="7820" w:type="dxa"/>
            <w:vAlign w:val="bottom"/>
            <w:shd w:val="clear" w:color="auto" w:fill="D8F5FA"/>
          </w:tcPr>
          <w:p>
            <w:pPr>
              <w:ind w:left="200"/>
              <w:spacing w:after="0"/>
              <w:rPr>
                <w:sz w:val="20"/>
                <w:szCs w:val="20"/>
                <w:color w:val="auto"/>
              </w:rPr>
            </w:pPr>
            <w:r>
              <w:rPr>
                <w:rFonts w:ascii="Arial" w:cs="Arial" w:eastAsia="Arial" w:hAnsi="Arial"/>
                <w:sz w:val="20"/>
                <w:szCs w:val="20"/>
                <w:color w:val="00C1DE"/>
              </w:rPr>
              <w:t>•</w:t>
            </w:r>
            <w:r>
              <w:rPr>
                <w:rFonts w:ascii="Arial" w:cs="Arial" w:eastAsia="Arial" w:hAnsi="Arial"/>
                <w:sz w:val="17"/>
                <w:szCs w:val="17"/>
                <w:color w:val="3E3935"/>
              </w:rPr>
              <w:t xml:space="preserve">    Manages the Board’s shareholder engagement program</w:t>
            </w:r>
          </w:p>
        </w:tc>
      </w:tr>
      <w:tr>
        <w:trPr>
          <w:trHeight w:val="267"/>
        </w:trPr>
        <w:tc>
          <w:tcPr>
            <w:tcW w:w="3200" w:type="dxa"/>
            <w:vAlign w:val="bottom"/>
            <w:shd w:val="clear" w:color="auto" w:fill="D8F5FA"/>
          </w:tcPr>
          <w:p>
            <w:pPr>
              <w:spacing w:after="0"/>
              <w:rPr>
                <w:sz w:val="23"/>
                <w:szCs w:val="23"/>
                <w:color w:val="auto"/>
              </w:rPr>
            </w:pPr>
          </w:p>
        </w:tc>
        <w:tc>
          <w:tcPr>
            <w:tcW w:w="7820" w:type="dxa"/>
            <w:vAlign w:val="bottom"/>
            <w:shd w:val="clear" w:color="auto" w:fill="D8F5FA"/>
          </w:tcPr>
          <w:p>
            <w:pPr>
              <w:ind w:left="200"/>
              <w:spacing w:after="0"/>
              <w:rPr>
                <w:sz w:val="20"/>
                <w:szCs w:val="20"/>
                <w:color w:val="auto"/>
              </w:rPr>
            </w:pPr>
            <w:r>
              <w:rPr>
                <w:rFonts w:ascii="Arial" w:cs="Arial" w:eastAsia="Arial" w:hAnsi="Arial"/>
                <w:sz w:val="20"/>
                <w:szCs w:val="20"/>
                <w:color w:val="00C1DE"/>
              </w:rPr>
              <w:t>•</w:t>
            </w:r>
            <w:r>
              <w:rPr>
                <w:rFonts w:ascii="Arial" w:cs="Arial" w:eastAsia="Arial" w:hAnsi="Arial"/>
                <w:sz w:val="17"/>
                <w:szCs w:val="17"/>
                <w:color w:val="3E3935"/>
              </w:rPr>
              <w:t xml:space="preserve">    Reviews and approves the annual Sustainability Report</w:t>
            </w:r>
          </w:p>
        </w:tc>
      </w:tr>
      <w:tr>
        <w:trPr>
          <w:trHeight w:val="412"/>
        </w:trPr>
        <w:tc>
          <w:tcPr>
            <w:tcW w:w="3200" w:type="dxa"/>
            <w:vAlign w:val="bottom"/>
            <w:shd w:val="clear" w:color="auto" w:fill="D8F5FA"/>
          </w:tcPr>
          <w:p>
            <w:pPr>
              <w:ind w:left="80"/>
              <w:spacing w:after="0"/>
              <w:rPr>
                <w:sz w:val="20"/>
                <w:szCs w:val="20"/>
                <w:color w:val="auto"/>
              </w:rPr>
            </w:pPr>
            <w:r>
              <w:rPr>
                <w:rFonts w:ascii="Arial" w:cs="Arial" w:eastAsia="Arial" w:hAnsi="Arial"/>
                <w:sz w:val="20"/>
                <w:szCs w:val="20"/>
                <w:b w:val="1"/>
                <w:bCs w:val="1"/>
                <w:color w:val="00C1DE"/>
              </w:rPr>
              <w:t>Risk and Cybersecurity</w:t>
            </w:r>
          </w:p>
        </w:tc>
        <w:tc>
          <w:tcPr>
            <w:tcW w:w="7820" w:type="dxa"/>
            <w:vAlign w:val="bottom"/>
            <w:shd w:val="clear" w:color="auto" w:fill="D8F5FA"/>
          </w:tcPr>
          <w:p>
            <w:pPr>
              <w:ind w:left="200"/>
              <w:spacing w:after="0"/>
              <w:rPr>
                <w:sz w:val="20"/>
                <w:szCs w:val="20"/>
                <w:color w:val="auto"/>
              </w:rPr>
            </w:pPr>
            <w:r>
              <w:rPr>
                <w:rFonts w:ascii="Arial" w:cs="Arial" w:eastAsia="Arial" w:hAnsi="Arial"/>
                <w:sz w:val="20"/>
                <w:szCs w:val="20"/>
                <w:color w:val="00C1DE"/>
              </w:rPr>
              <w:t>•</w:t>
            </w:r>
            <w:r>
              <w:rPr>
                <w:rFonts w:ascii="Arial" w:cs="Arial" w:eastAsia="Arial" w:hAnsi="Arial"/>
                <w:sz w:val="17"/>
                <w:szCs w:val="17"/>
                <w:color w:val="3E3935"/>
              </w:rPr>
              <w:t xml:space="preserve">    Reviews GM’s strategic, operational, and cybersecurity risks, including workplace safety,</w:t>
            </w:r>
          </w:p>
        </w:tc>
      </w:tr>
      <w:tr>
        <w:trPr>
          <w:trHeight w:val="225"/>
        </w:trPr>
        <w:tc>
          <w:tcPr>
            <w:tcW w:w="3200" w:type="dxa"/>
            <w:vAlign w:val="bottom"/>
            <w:shd w:val="clear" w:color="auto" w:fill="D8F5FA"/>
          </w:tcPr>
          <w:p>
            <w:pPr>
              <w:ind w:left="80"/>
              <w:spacing w:after="0" w:line="226" w:lineRule="exact"/>
              <w:rPr>
                <w:sz w:val="20"/>
                <w:szCs w:val="20"/>
                <w:color w:val="auto"/>
              </w:rPr>
            </w:pPr>
            <w:r>
              <w:rPr>
                <w:rFonts w:ascii="Arial" w:cs="Arial" w:eastAsia="Arial" w:hAnsi="Arial"/>
                <w:sz w:val="20"/>
                <w:szCs w:val="20"/>
                <w:b w:val="1"/>
                <w:bCs w:val="1"/>
                <w:color w:val="00C1DE"/>
              </w:rPr>
              <w:t>Committee</w:t>
            </w:r>
          </w:p>
        </w:tc>
        <w:tc>
          <w:tcPr>
            <w:tcW w:w="7820" w:type="dxa"/>
            <w:vAlign w:val="bottom"/>
            <w:shd w:val="clear" w:color="auto" w:fill="D8F5FA"/>
          </w:tcPr>
          <w:p>
            <w:pPr>
              <w:ind w:left="460"/>
              <w:spacing w:after="0"/>
              <w:rPr>
                <w:sz w:val="20"/>
                <w:szCs w:val="20"/>
                <w:color w:val="auto"/>
              </w:rPr>
            </w:pPr>
            <w:r>
              <w:rPr>
                <w:rFonts w:ascii="Arial" w:cs="Arial" w:eastAsia="Arial" w:hAnsi="Arial"/>
                <w:sz w:val="18"/>
                <w:szCs w:val="18"/>
                <w:color w:val="3E3935"/>
              </w:rPr>
              <w:t>vehicle cybersecurity safety, climate change, and privacy risk</w:t>
            </w:r>
          </w:p>
        </w:tc>
      </w:tr>
      <w:tr>
        <w:trPr>
          <w:trHeight w:val="225"/>
        </w:trPr>
        <w:tc>
          <w:tcPr>
            <w:tcW w:w="3200" w:type="dxa"/>
            <w:vAlign w:val="bottom"/>
            <w:shd w:val="clear" w:color="auto" w:fill="D8F5FA"/>
          </w:tcPr>
          <w:p>
            <w:pPr>
              <w:spacing w:after="0"/>
              <w:rPr>
                <w:sz w:val="19"/>
                <w:szCs w:val="19"/>
                <w:color w:val="auto"/>
              </w:rPr>
            </w:pPr>
          </w:p>
        </w:tc>
        <w:tc>
          <w:tcPr>
            <w:tcW w:w="7820" w:type="dxa"/>
            <w:vAlign w:val="bottom"/>
            <w:shd w:val="clear" w:color="auto" w:fill="D8F5FA"/>
          </w:tcPr>
          <w:p>
            <w:pPr>
              <w:ind w:left="200"/>
              <w:spacing w:after="0" w:line="225" w:lineRule="exact"/>
              <w:rPr>
                <w:sz w:val="20"/>
                <w:szCs w:val="20"/>
                <w:color w:val="auto"/>
              </w:rPr>
            </w:pPr>
            <w:r>
              <w:rPr>
                <w:rFonts w:ascii="Arial" w:cs="Arial" w:eastAsia="Arial" w:hAnsi="Arial"/>
                <w:sz w:val="20"/>
                <w:szCs w:val="20"/>
                <w:color w:val="00C1DE"/>
              </w:rPr>
              <w:t>•</w:t>
            </w:r>
            <w:r>
              <w:rPr>
                <w:rFonts w:ascii="Arial" w:cs="Arial" w:eastAsia="Arial" w:hAnsi="Arial"/>
                <w:sz w:val="17"/>
                <w:szCs w:val="17"/>
                <w:color w:val="3E3935"/>
              </w:rPr>
              <w:t xml:space="preserve">    Considers climate change as part of its key strategic and operational risk management</w:t>
            </w:r>
          </w:p>
        </w:tc>
      </w:tr>
      <w:tr>
        <w:trPr>
          <w:trHeight w:val="239"/>
        </w:trPr>
        <w:tc>
          <w:tcPr>
            <w:tcW w:w="3200" w:type="dxa"/>
            <w:vAlign w:val="bottom"/>
            <w:shd w:val="clear" w:color="auto" w:fill="D8F5FA"/>
          </w:tcPr>
          <w:p>
            <w:pPr>
              <w:spacing w:after="0"/>
              <w:rPr>
                <w:sz w:val="20"/>
                <w:szCs w:val="20"/>
                <w:color w:val="auto"/>
              </w:rPr>
            </w:pPr>
          </w:p>
        </w:tc>
        <w:tc>
          <w:tcPr>
            <w:tcW w:w="7820" w:type="dxa"/>
            <w:vAlign w:val="bottom"/>
            <w:shd w:val="clear" w:color="auto" w:fill="D8F5FA"/>
          </w:tcPr>
          <w:p>
            <w:pPr>
              <w:ind w:left="460"/>
              <w:spacing w:after="0"/>
              <w:rPr>
                <w:sz w:val="20"/>
                <w:szCs w:val="20"/>
                <w:color w:val="auto"/>
              </w:rPr>
            </w:pPr>
            <w:r>
              <w:rPr>
                <w:rFonts w:ascii="Arial" w:cs="Arial" w:eastAsia="Arial" w:hAnsi="Arial"/>
                <w:sz w:val="18"/>
                <w:szCs w:val="18"/>
                <w:color w:val="3E3935"/>
              </w:rPr>
              <w:t>framework</w:t>
            </w:r>
          </w:p>
        </w:tc>
      </w:tr>
      <w:tr>
        <w:trPr>
          <w:trHeight w:val="104"/>
        </w:trPr>
        <w:tc>
          <w:tcPr>
            <w:tcW w:w="3200" w:type="dxa"/>
            <w:vAlign w:val="bottom"/>
            <w:shd w:val="clear" w:color="auto" w:fill="D8F5FA"/>
          </w:tcPr>
          <w:p>
            <w:pPr>
              <w:spacing w:after="0"/>
              <w:rPr>
                <w:sz w:val="9"/>
                <w:szCs w:val="9"/>
                <w:color w:val="auto"/>
              </w:rPr>
            </w:pPr>
          </w:p>
        </w:tc>
        <w:tc>
          <w:tcPr>
            <w:tcW w:w="7820" w:type="dxa"/>
            <w:vAlign w:val="bottom"/>
            <w:shd w:val="clear" w:color="auto" w:fill="D8F5FA"/>
          </w:tcPr>
          <w:p>
            <w:pPr>
              <w:spacing w:after="0"/>
              <w:rPr>
                <w:sz w:val="9"/>
                <w:szCs w:val="9"/>
                <w:color w:val="auto"/>
              </w:rPr>
            </w:pPr>
          </w:p>
        </w:tc>
      </w:tr>
    </w:tbl>
    <w:p>
      <w:pPr>
        <w:spacing w:after="0" w:line="194" w:lineRule="exact"/>
        <w:rPr>
          <w:sz w:val="20"/>
          <w:szCs w:val="20"/>
          <w:color w:val="auto"/>
        </w:rPr>
      </w:pPr>
    </w:p>
    <w:p>
      <w:pPr>
        <w:jc w:val="both"/>
        <w:ind w:left="120" w:right="20"/>
        <w:spacing w:after="0" w:line="234" w:lineRule="auto"/>
        <w:rPr>
          <w:sz w:val="20"/>
          <w:szCs w:val="20"/>
          <w:color w:val="auto"/>
        </w:rPr>
      </w:pPr>
      <w:r>
        <w:rPr>
          <w:rFonts w:ascii="Arial" w:cs="Arial" w:eastAsia="Arial" w:hAnsi="Arial"/>
          <w:sz w:val="20"/>
          <w:szCs w:val="20"/>
          <w:color w:val="3E3935"/>
        </w:rPr>
        <w:t>At the management level, GM’s Senior Leadership Team establishes and executes the Company’s ESG strategy. This cross-functional group of senior leaders drives GM’s ESG initiatives throughout the Company – from global product development, portfolio planning, manufacturing, and supply chain to human resources (including DE&amp;I and other workforce matters), legal, compliance, social, and community impact projects. The Senior Leadership Team is supported in this work by the Company’s Office of Sustainability and ESG Disclosure Committee.</w:t>
      </w:r>
    </w:p>
    <w:p>
      <w:pPr>
        <w:spacing w:after="0" w:line="107" w:lineRule="exact"/>
        <w:rPr>
          <w:sz w:val="20"/>
          <w:szCs w:val="20"/>
          <w:color w:val="auto"/>
        </w:rPr>
      </w:pPr>
    </w:p>
    <w:p>
      <w:pPr>
        <w:jc w:val="both"/>
        <w:ind w:left="120" w:right="20"/>
        <w:spacing w:after="0" w:line="252" w:lineRule="auto"/>
        <w:rPr>
          <w:sz w:val="20"/>
          <w:szCs w:val="20"/>
          <w:color w:val="auto"/>
        </w:rPr>
      </w:pPr>
      <w:r>
        <w:rPr>
          <w:rFonts w:ascii="Arial" w:cs="Arial" w:eastAsia="Arial" w:hAnsi="Arial"/>
          <w:sz w:val="19"/>
          <w:szCs w:val="19"/>
          <w:color w:val="3E3935"/>
        </w:rPr>
        <w:t>GM’s Chief Sustainability Officer, reporting to the Executive Vice President of Global Manufacturing and Sustainability, is the enterprise-wide leader for sustainability initiatives, who develops and coordinates sustainability strategy and efforts across the Company. GM’s Chief of Diversity, Equity, and Inclusion, reporting to the Senior Vice President and Chief People Officer, is the enterprise-wide leader for DE&amp;I initiatives, who develops and coordinates DE&amp;I strategy and efforts across the Company.</w:t>
      </w:r>
    </w:p>
    <w:p>
      <w:pPr>
        <w:spacing w:after="0" w:line="107" w:lineRule="exact"/>
        <w:rPr>
          <w:sz w:val="20"/>
          <w:szCs w:val="20"/>
          <w:color w:val="auto"/>
        </w:rPr>
      </w:pPr>
    </w:p>
    <w:p>
      <w:pPr>
        <w:ind w:left="120"/>
        <w:spacing w:after="0"/>
        <w:rPr>
          <w:sz w:val="20"/>
          <w:szCs w:val="20"/>
          <w:color w:val="auto"/>
        </w:rPr>
      </w:pPr>
      <w:r>
        <w:rPr>
          <w:rFonts w:ascii="Arial" w:cs="Arial" w:eastAsia="Arial" w:hAnsi="Arial"/>
          <w:sz w:val="14"/>
          <w:szCs w:val="14"/>
          <w:color w:val="0071CE"/>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wp:posOffset>
            </wp:positionH>
            <wp:positionV relativeFrom="paragraph">
              <wp:posOffset>-95885</wp:posOffset>
            </wp:positionV>
            <wp:extent cx="5983605" cy="10287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5983605" cy="102870"/>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28"/>
          <w:szCs w:val="28"/>
          <w:color w:val="3E3935"/>
        </w:rPr>
        <w:t>The Board’s Governance Policies and Practices</w:t>
      </w:r>
    </w:p>
    <w:p>
      <w:pPr>
        <w:sectPr>
          <w:pgSz w:w="11900" w:h="16838" w:orient="portrait"/>
          <w:cols w:equalWidth="0" w:num="1">
            <w:col w:w="11140"/>
          </w:cols>
          <w:pgMar w:left="320" w:top="482" w:right="439" w:bottom="1440" w:gutter="0" w:footer="0" w:header="0"/>
        </w:sectPr>
      </w:pPr>
    </w:p>
    <w:p>
      <w:pPr>
        <w:spacing w:after="0" w:line="174" w:lineRule="exact"/>
        <w:rPr>
          <w:sz w:val="20"/>
          <w:szCs w:val="20"/>
          <w:color w:val="auto"/>
        </w:rPr>
      </w:pPr>
    </w:p>
    <w:p>
      <w:pPr>
        <w:ind w:left="660" w:hanging="544"/>
        <w:spacing w:after="0"/>
        <w:tabs>
          <w:tab w:leader="none" w:pos="660" w:val="left"/>
        </w:tabs>
        <w:numPr>
          <w:ilvl w:val="0"/>
          <w:numId w:val="54"/>
        </w:numPr>
        <w:rPr>
          <w:rFonts w:ascii="Times New Roman" w:cs="Times New Roman" w:eastAsia="Times New Roman" w:hAnsi="Times New Roman"/>
          <w:sz w:val="19"/>
          <w:szCs w:val="19"/>
          <w:color w:val="0071CE"/>
        </w:rPr>
      </w:pPr>
      <w:r>
        <w:rPr>
          <w:rFonts w:ascii="Arial" w:cs="Arial" w:eastAsia="Arial" w:hAnsi="Arial"/>
          <w:sz w:val="25"/>
          <w:szCs w:val="25"/>
          <w:color w:val="3E3935"/>
        </w:rPr>
        <w:t>Code of Conduct: “Winning with Integrity”</w:t>
      </w:r>
    </w:p>
    <w:p>
      <w:pPr>
        <w:spacing w:after="0" w:line="213" w:lineRule="exact"/>
        <w:rPr>
          <w:sz w:val="20"/>
          <w:szCs w:val="20"/>
          <w:color w:val="auto"/>
        </w:rPr>
      </w:pPr>
    </w:p>
    <w:p>
      <w:pPr>
        <w:jc w:val="both"/>
        <w:ind w:left="120"/>
        <w:spacing w:after="0" w:line="227" w:lineRule="auto"/>
        <w:rPr>
          <w:sz w:val="20"/>
          <w:szCs w:val="20"/>
          <w:color w:val="auto"/>
        </w:rPr>
      </w:pPr>
      <w:r>
        <w:rPr>
          <w:rFonts w:ascii="Arial" w:cs="Arial" w:eastAsia="Arial" w:hAnsi="Arial"/>
          <w:sz w:val="20"/>
          <w:szCs w:val="20"/>
          <w:color w:val="3E3935"/>
        </w:rPr>
        <w:t xml:space="preserve">The Board is committed to the highest legal and ethical standards in fulfilling its responsibilities. We have adopted a code of business conduct and ethics, “Winning with Integrity,” that applies to everyone in our Company, at every level, including employees, executives, Board members and, as applicable, subsidiaries that GM controls. This Code of Conduct forms the foundation for compliance with corporate policies and procedures and creates a Company-wide focus on uncompromising integrity in every aspect of our operations. It embodies our expectations on a number of topics, including workplace and vehicle safety; DE&amp;I; conflicts of interest; protection of confidential information; insider trading; competition and fair dealing; human rights; community involvement and corporate citizenship; political activities and lobbying; preservation and use of Company assets; and compliance with laws and regulations. Employees are expected to report any conduct that they believe in good faith to be an actual or apparent violation of our Code of Conduct. The Code of Conduct is available at </w:t>
      </w:r>
      <w:r>
        <w:rPr>
          <w:rFonts w:ascii="Arial" w:cs="Arial" w:eastAsia="Arial" w:hAnsi="Arial"/>
          <w:sz w:val="20"/>
          <w:szCs w:val="20"/>
          <w:i w:val="1"/>
          <w:iCs w:val="1"/>
          <w:color w:val="00C1DE"/>
        </w:rPr>
        <w:t>investor.gm.com/esg</w:t>
      </w:r>
      <w:r>
        <w:rPr>
          <w:rFonts w:ascii="Arial" w:cs="Arial" w:eastAsia="Arial" w:hAnsi="Arial"/>
          <w:sz w:val="20"/>
          <w:szCs w:val="20"/>
          <w:color w:val="3E3935"/>
        </w:rPr>
        <w:t>.</w:t>
      </w:r>
    </w:p>
    <w:p>
      <w:pPr>
        <w:spacing w:after="0" w:line="118" w:lineRule="exact"/>
        <w:rPr>
          <w:sz w:val="20"/>
          <w:szCs w:val="20"/>
          <w:color w:val="auto"/>
        </w:rPr>
      </w:pPr>
    </w:p>
    <w:p>
      <w:pPr>
        <w:jc w:val="both"/>
        <w:ind w:left="120"/>
        <w:spacing w:after="0" w:line="257" w:lineRule="auto"/>
        <w:rPr>
          <w:sz w:val="20"/>
          <w:szCs w:val="20"/>
          <w:color w:val="auto"/>
        </w:rPr>
      </w:pPr>
      <w:r>
        <w:rPr>
          <w:rFonts w:ascii="Arial" w:cs="Arial" w:eastAsia="Arial" w:hAnsi="Arial"/>
          <w:sz w:val="20"/>
          <w:szCs w:val="20"/>
          <w:color w:val="3E3935"/>
        </w:rPr>
        <w:t>In addition, GM’s Insider Trading Policy prohibits all GM directors and employees, including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both"/>
        <w:ind w:right="20"/>
        <w:spacing w:after="0" w:line="233" w:lineRule="auto"/>
        <w:rPr>
          <w:sz w:val="20"/>
          <w:szCs w:val="20"/>
          <w:color w:val="auto"/>
        </w:rPr>
      </w:pPr>
      <w:r>
        <w:rPr>
          <w:rFonts w:ascii="Arial" w:cs="Arial" w:eastAsia="Arial" w:hAnsi="Arial"/>
          <w:sz w:val="20"/>
          <w:szCs w:val="20"/>
          <w:color w:val="3E3935"/>
        </w:rPr>
        <w:t xml:space="preserve">executive officers, from trading in GM securities while in possession of material non-public information about the Company, trading any GM derivatives (e.g., put or call options), engaging in short sales, or otherwise engaging in hedging activities, and pledging of GM securities. This policy is posted on our website at </w:t>
      </w:r>
      <w:r>
        <w:rPr>
          <w:rFonts w:ascii="Arial" w:cs="Arial" w:eastAsia="Arial" w:hAnsi="Arial"/>
          <w:sz w:val="20"/>
          <w:szCs w:val="20"/>
          <w:i w:val="1"/>
          <w:iCs w:val="1"/>
          <w:color w:val="00C1DE"/>
        </w:rPr>
        <w:t>investor.gm.com/esg</w:t>
      </w:r>
      <w:r>
        <w:rPr>
          <w:rFonts w:ascii="Arial" w:cs="Arial" w:eastAsia="Arial" w:hAnsi="Arial"/>
          <w:sz w:val="20"/>
          <w:szCs w:val="20"/>
          <w:color w:val="3E3935"/>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294640</wp:posOffset>
            </wp:positionH>
            <wp:positionV relativeFrom="paragraph">
              <wp:posOffset>140335</wp:posOffset>
            </wp:positionV>
            <wp:extent cx="2828925" cy="267462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2828925" cy="2674620"/>
                    </a:xfrm>
                    <a:prstGeom prst="rect">
                      <a:avLst/>
                    </a:prstGeom>
                    <a:noFill/>
                  </pic:spPr>
                </pic:pic>
              </a:graphicData>
            </a:graphic>
          </wp:anchor>
        </w:drawing>
      </w:r>
    </w:p>
    <w:p>
      <w:pPr>
        <w:spacing w:after="0" w:line="3821" w:lineRule="exact"/>
        <w:rPr>
          <w:sz w:val="20"/>
          <w:szCs w:val="20"/>
          <w:color w:val="auto"/>
        </w:rPr>
      </w:pPr>
    </w:p>
    <w:p>
      <w:pPr>
        <w:sectPr>
          <w:pgSz w:w="11900" w:h="16838" w:orient="portrait"/>
          <w:cols w:equalWidth="0" w:num="2">
            <w:col w:w="5400" w:space="340"/>
            <w:col w:w="5400"/>
          </w:cols>
          <w:pgMar w:left="320" w:top="482" w:right="4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60" w:hanging="544"/>
        <w:spacing w:after="0"/>
        <w:tabs>
          <w:tab w:leader="none" w:pos="660" w:val="left"/>
        </w:tabs>
        <w:numPr>
          <w:ilvl w:val="0"/>
          <w:numId w:val="55"/>
        </w:numPr>
        <w:rPr>
          <w:rFonts w:ascii="Times New Roman" w:cs="Times New Roman" w:eastAsia="Times New Roman" w:hAnsi="Times New Roman"/>
          <w:sz w:val="19"/>
          <w:szCs w:val="19"/>
          <w:color w:val="0071CE"/>
        </w:rPr>
      </w:pPr>
      <w:r>
        <w:rPr>
          <w:rFonts w:ascii="Arial" w:cs="Arial" w:eastAsia="Arial" w:hAnsi="Arial"/>
          <w:sz w:val="25"/>
          <w:szCs w:val="25"/>
          <w:color w:val="3E3935"/>
        </w:rPr>
        <w:t>Corporate Governance Guidelines</w:t>
      </w:r>
    </w:p>
    <w:p>
      <w:pPr>
        <w:spacing w:after="0" w:line="213" w:lineRule="exact"/>
        <w:rPr>
          <w:sz w:val="20"/>
          <w:szCs w:val="20"/>
          <w:color w:val="auto"/>
        </w:rPr>
      </w:pPr>
    </w:p>
    <w:p>
      <w:pPr>
        <w:jc w:val="both"/>
        <w:ind w:left="120"/>
        <w:spacing w:after="0" w:line="229" w:lineRule="auto"/>
        <w:rPr>
          <w:sz w:val="20"/>
          <w:szCs w:val="20"/>
          <w:color w:val="auto"/>
        </w:rPr>
      </w:pPr>
      <w:r>
        <w:rPr>
          <w:rFonts w:ascii="Arial" w:cs="Arial" w:eastAsia="Arial" w:hAnsi="Arial"/>
          <w:sz w:val="20"/>
          <w:szCs w:val="20"/>
          <w:color w:val="3E3935"/>
        </w:rPr>
        <w:t>Our Corporate Governance Guidelines form a transparent framework for the effective governance of the Company. The Corporate Governance Guidelines address matters such as the respective roles and responsibilities of the Board and management, the Board’s leadership structure, the responsibilities of the Independent Lead Director, director independence, Board membership criteria, Board committees, and Board and CEO evaluations. The Governance Committee annually reviews the Corporate Governance Guidelines and periodically recommends to the Board the adoption of amendments in response to changing regulations, evolving best practices, and shareholder concerns.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both"/>
        <w:spacing w:after="0" w:line="241" w:lineRule="auto"/>
        <w:rPr>
          <w:sz w:val="20"/>
          <w:szCs w:val="20"/>
          <w:color w:val="auto"/>
        </w:rPr>
      </w:pPr>
      <w:r>
        <w:rPr>
          <w:rFonts w:ascii="Arial" w:cs="Arial" w:eastAsia="Arial" w:hAnsi="Arial"/>
          <w:sz w:val="19"/>
          <w:szCs w:val="19"/>
          <w:color w:val="3E3935"/>
        </w:rPr>
        <w:t>Last year, this review led to a number of enhancements and refinements, including, among other changes: adding context to the Board’s oversight of ESG and risk management; clarifying that a former CEO can remain on the Board if serving as executive chair; supplementing the Board’s diversity policy and its perspectives on recruitment of candidates from minority groups; adding more insight into the Board’s perspective on its retirement policy; and disclosing the Governance Committee’s practice of reviewing each director’s time and availability commitments. A summary of our corporate governance best practices is discussed in the “Governance Highlights” section on page 10.</w:t>
      </w:r>
    </w:p>
    <w:p>
      <w:pPr>
        <w:spacing w:after="0" w:line="200" w:lineRule="exact"/>
        <w:rPr>
          <w:sz w:val="20"/>
          <w:szCs w:val="20"/>
          <w:color w:val="auto"/>
        </w:rPr>
      </w:pPr>
    </w:p>
    <w:p>
      <w:pPr>
        <w:spacing w:after="0" w:line="285" w:lineRule="exact"/>
        <w:rPr>
          <w:sz w:val="20"/>
          <w:szCs w:val="20"/>
          <w:color w:val="auto"/>
        </w:rPr>
      </w:pPr>
    </w:p>
    <w:p>
      <w:pPr>
        <w:ind w:left="4920"/>
        <w:spacing w:after="0"/>
        <w:rPr>
          <w:sz w:val="20"/>
          <w:szCs w:val="20"/>
          <w:color w:val="auto"/>
        </w:rPr>
      </w:pPr>
      <w:r>
        <w:rPr>
          <w:rFonts w:ascii="Arial" w:cs="Arial" w:eastAsia="Arial" w:hAnsi="Arial"/>
          <w:sz w:val="14"/>
          <w:szCs w:val="14"/>
          <w:color w:val="0071CE"/>
        </w:rPr>
        <w:t>37</w:t>
      </w:r>
    </w:p>
    <w:p>
      <w:pPr>
        <w:sectPr>
          <w:pgSz w:w="11900" w:h="16838" w:orient="portrait"/>
          <w:cols w:equalWidth="0" w:num="2">
            <w:col w:w="5400" w:space="340"/>
            <w:col w:w="5400"/>
          </w:cols>
          <w:pgMar w:left="320" w:top="482" w:right="439" w:bottom="1440" w:gutter="0" w:footer="0" w:header="0"/>
          <w:type w:val="continuous"/>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305" w:lineRule="exact"/>
        <w:rPr>
          <w:sz w:val="20"/>
          <w:szCs w:val="20"/>
          <w:color w:val="auto"/>
        </w:rPr>
      </w:pPr>
    </w:p>
    <w:p>
      <w:pPr>
        <w:ind w:left="660" w:hanging="544"/>
        <w:spacing w:after="0"/>
        <w:tabs>
          <w:tab w:leader="none" w:pos="660" w:val="left"/>
        </w:tabs>
        <w:numPr>
          <w:ilvl w:val="0"/>
          <w:numId w:val="56"/>
        </w:numPr>
        <w:rPr>
          <w:rFonts w:ascii="Times New Roman" w:cs="Times New Roman" w:eastAsia="Times New Roman" w:hAnsi="Times New Roman"/>
          <w:sz w:val="19"/>
          <w:szCs w:val="19"/>
          <w:color w:val="0071CE"/>
        </w:rPr>
      </w:pPr>
      <w:r>
        <w:rPr>
          <w:rFonts w:ascii="Arial" w:cs="Arial" w:eastAsia="Arial" w:hAnsi="Arial"/>
          <w:sz w:val="25"/>
          <w:szCs w:val="25"/>
          <w:color w:val="3E3935"/>
        </w:rPr>
        <w:t>CEO Succession Planning</w:t>
      </w:r>
    </w:p>
    <w:p>
      <w:pPr>
        <w:spacing w:after="0" w:line="213" w:lineRule="exact"/>
        <w:rPr>
          <w:sz w:val="20"/>
          <w:szCs w:val="20"/>
          <w:color w:val="auto"/>
        </w:rPr>
      </w:pPr>
    </w:p>
    <w:p>
      <w:pPr>
        <w:jc w:val="both"/>
        <w:ind w:left="120"/>
        <w:spacing w:after="0" w:line="232" w:lineRule="auto"/>
        <w:rPr>
          <w:sz w:val="20"/>
          <w:szCs w:val="20"/>
          <w:color w:val="auto"/>
        </w:rPr>
      </w:pPr>
      <w:r>
        <w:rPr>
          <w:rFonts w:ascii="Arial" w:cs="Arial" w:eastAsia="Arial" w:hAnsi="Arial"/>
          <w:sz w:val="20"/>
          <w:szCs w:val="20"/>
          <w:color w:val="3E3935"/>
        </w:rPr>
        <w:t>Our Independent Lead Director oversees the CEO succession planning process and leads, at least annually, the Board’s discussion of CEO succession planning. During this review, our CEO provides the Board with recommendations for, and evaluations of, potential CEO successors and discusses developmental plans for these successors. Directors engage with CEO candidates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660" w:hanging="544"/>
        <w:spacing w:after="0"/>
        <w:tabs>
          <w:tab w:leader="none" w:pos="660" w:val="left"/>
        </w:tabs>
        <w:numPr>
          <w:ilvl w:val="0"/>
          <w:numId w:val="57"/>
        </w:numPr>
        <w:rPr>
          <w:rFonts w:ascii="Times New Roman" w:cs="Times New Roman" w:eastAsia="Times New Roman" w:hAnsi="Times New Roman"/>
          <w:sz w:val="19"/>
          <w:szCs w:val="19"/>
          <w:color w:val="0071CE"/>
        </w:rPr>
      </w:pPr>
      <w:r>
        <w:rPr>
          <w:rFonts w:ascii="Arial" w:cs="Arial" w:eastAsia="Arial" w:hAnsi="Arial"/>
          <w:sz w:val="25"/>
          <w:szCs w:val="25"/>
          <w:color w:val="3E3935"/>
        </w:rPr>
        <w:t>Board and Committee Evaluations</w:t>
      </w:r>
    </w:p>
    <w:p>
      <w:pPr>
        <w:spacing w:after="0" w:line="213" w:lineRule="exact"/>
        <w:rPr>
          <w:sz w:val="20"/>
          <w:szCs w:val="20"/>
          <w:color w:val="auto"/>
        </w:rPr>
      </w:pPr>
    </w:p>
    <w:p>
      <w:pPr>
        <w:jc w:val="both"/>
        <w:ind w:left="120"/>
        <w:spacing w:after="0" w:line="239" w:lineRule="auto"/>
        <w:rPr>
          <w:sz w:val="20"/>
          <w:szCs w:val="20"/>
          <w:color w:val="auto"/>
        </w:rPr>
      </w:pPr>
      <w:r>
        <w:rPr>
          <w:rFonts w:ascii="Arial" w:cs="Arial" w:eastAsia="Arial" w:hAnsi="Arial"/>
          <w:sz w:val="19"/>
          <w:szCs w:val="19"/>
          <w:color w:val="3E3935"/>
        </w:rPr>
        <w:t>The Governance Committee annually reviews the form and process for Board and committee self-evaluations. The Board’s evaluation process is based on extensive benchmarking, engagement with shareholders, and internal discussion. In 2022, the self-evaluation process for the Board and its committees included (i) committee evaluations led by each committee chair; (ii) interviews between the Board Chair and CEO and each director nominee; and</w:t>
      </w:r>
    </w:p>
    <w:p>
      <w:pPr>
        <w:spacing w:after="0" w:line="5" w:lineRule="exact"/>
        <w:rPr>
          <w:sz w:val="20"/>
          <w:szCs w:val="20"/>
          <w:color w:val="auto"/>
        </w:rPr>
      </w:pPr>
    </w:p>
    <w:p>
      <w:pPr>
        <w:jc w:val="both"/>
        <w:ind w:left="120" w:hanging="4"/>
        <w:spacing w:after="0" w:line="244" w:lineRule="auto"/>
        <w:tabs>
          <w:tab w:leader="none" w:pos="529" w:val="left"/>
        </w:tabs>
        <w:numPr>
          <w:ilvl w:val="0"/>
          <w:numId w:val="58"/>
        </w:numPr>
        <w:rPr>
          <w:rFonts w:ascii="Arial" w:cs="Arial" w:eastAsia="Arial" w:hAnsi="Arial"/>
          <w:sz w:val="19"/>
          <w:szCs w:val="19"/>
          <w:color w:val="3E3935"/>
        </w:rPr>
      </w:pPr>
      <w:r>
        <w:rPr>
          <w:rFonts w:ascii="Arial" w:cs="Arial" w:eastAsia="Arial" w:hAnsi="Arial"/>
          <w:sz w:val="19"/>
          <w:szCs w:val="19"/>
          <w:color w:val="3E3935"/>
        </w:rPr>
        <w:t>an executive session of the Board to review the feedback received by the Board Chair and CEO. In addition, the Independent Lead Director met in executive session after each Board meeting without the Board Chair and CEO to gather feedback from the other non-employee directors.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both"/>
        <w:spacing w:after="0" w:line="233" w:lineRule="auto"/>
        <w:rPr>
          <w:sz w:val="20"/>
          <w:szCs w:val="20"/>
          <w:color w:val="auto"/>
        </w:rPr>
      </w:pPr>
      <w:r>
        <w:rPr>
          <w:rFonts w:ascii="Arial" w:cs="Arial" w:eastAsia="Arial" w:hAnsi="Arial"/>
          <w:sz w:val="20"/>
          <w:szCs w:val="20"/>
          <w:color w:val="3E3935"/>
        </w:rPr>
        <w:t>and senior management talent at Board and committee meetings and other forums to enable directors to personally assess candidates. The Board reviews management succession planning in the ordinary course of business as well as contingency planning in the event of an emergency or unanticipated event.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-3651885</wp:posOffset>
            </wp:positionH>
            <wp:positionV relativeFrom="paragraph">
              <wp:posOffset>-1710690</wp:posOffset>
            </wp:positionV>
            <wp:extent cx="7174865" cy="5588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74865" cy="55880"/>
                    </a:xfrm>
                    <a:prstGeom prst="rect">
                      <a:avLst/>
                    </a:prstGeom>
                    <a:noFill/>
                  </pic:spPr>
                </pic:pic>
              </a:graphicData>
            </a:graphic>
          </wp:anchor>
        </w:drawing>
        <w:drawing>
          <wp:anchor simplePos="0" relativeHeight="251657728" behindDoc="1" locked="0" layoutInCell="0" allowOverlap="1">
            <wp:simplePos x="0" y="0"/>
            <wp:positionH relativeFrom="column">
              <wp:posOffset>-3030855</wp:posOffset>
            </wp:positionH>
            <wp:positionV relativeFrom="paragraph">
              <wp:posOffset>371475</wp:posOffset>
            </wp:positionV>
            <wp:extent cx="5923280" cy="129413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5923280" cy="12941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29" w:lineRule="auto"/>
        <w:rPr>
          <w:sz w:val="20"/>
          <w:szCs w:val="20"/>
          <w:color w:val="auto"/>
        </w:rPr>
      </w:pPr>
      <w:r>
        <w:rPr>
          <w:rFonts w:ascii="Arial" w:cs="Arial" w:eastAsia="Arial" w:hAnsi="Arial"/>
          <w:sz w:val="20"/>
          <w:szCs w:val="20"/>
          <w:color w:val="3E3935"/>
        </w:rPr>
        <w:t>The Board believes this process provides ample opportunity to provide feedback on Board, committee, and individual director performance. The Board is committed to implementing feedback from its self-evaluations. Recent examples of changes to practices include evolving the composition of the Board, conducting extensive reviews of the Company’s marketing, software and digital strategies, focusing on supply chain sustainability and battery raw material costs, and prioritizing Board meetings outside Company headquarters to increase interaction with employees and experience the transformation efforts.</w:t>
      </w:r>
    </w:p>
    <w:p>
      <w:pPr>
        <w:spacing w:after="0" w:line="642" w:lineRule="exact"/>
        <w:rPr>
          <w:sz w:val="20"/>
          <w:szCs w:val="20"/>
          <w:color w:val="auto"/>
        </w:rPr>
      </w:pPr>
    </w:p>
    <w:p>
      <w:pPr>
        <w:sectPr>
          <w:pgSz w:w="11900" w:h="16838" w:orient="portrait"/>
          <w:cols w:equalWidth="0" w:num="2">
            <w:col w:w="5400" w:space="340"/>
            <w:col w:w="5400"/>
          </w:cols>
          <w:pgMar w:left="320" w:top="482" w:right="439" w:bottom="1440" w:gutter="0" w:footer="0" w:header="0"/>
        </w:sectPr>
      </w:pPr>
    </w:p>
    <w:p>
      <w:pPr>
        <w:spacing w:after="0" w:line="47" w:lineRule="exact"/>
        <w:rPr>
          <w:sz w:val="20"/>
          <w:szCs w:val="20"/>
          <w:color w:val="auto"/>
        </w:rPr>
      </w:pPr>
    </w:p>
    <w:p>
      <w:pPr>
        <w:ind w:left="660" w:hanging="544"/>
        <w:spacing w:after="0"/>
        <w:tabs>
          <w:tab w:leader="none" w:pos="660" w:val="left"/>
        </w:tabs>
        <w:numPr>
          <w:ilvl w:val="0"/>
          <w:numId w:val="59"/>
        </w:numPr>
        <w:rPr>
          <w:rFonts w:ascii="Times New Roman" w:cs="Times New Roman" w:eastAsia="Times New Roman" w:hAnsi="Times New Roman"/>
          <w:sz w:val="19"/>
          <w:szCs w:val="19"/>
          <w:color w:val="0071CE"/>
        </w:rPr>
      </w:pPr>
      <w:r>
        <w:rPr>
          <w:rFonts w:ascii="Arial" w:cs="Arial" w:eastAsia="Arial" w:hAnsi="Arial"/>
          <w:sz w:val="25"/>
          <w:szCs w:val="25"/>
          <w:color w:val="3E3935"/>
        </w:rPr>
        <w:t>Annual Evaluation of CEO</w:t>
      </w:r>
    </w:p>
    <w:p>
      <w:pPr>
        <w:spacing w:after="0" w:line="213" w:lineRule="exact"/>
        <w:rPr>
          <w:sz w:val="20"/>
          <w:szCs w:val="20"/>
          <w:color w:val="auto"/>
        </w:rPr>
      </w:pPr>
    </w:p>
    <w:p>
      <w:pPr>
        <w:jc w:val="both"/>
        <w:ind w:left="120"/>
        <w:spacing w:after="0" w:line="243" w:lineRule="auto"/>
        <w:rPr>
          <w:sz w:val="20"/>
          <w:szCs w:val="20"/>
          <w:color w:val="auto"/>
        </w:rPr>
      </w:pPr>
      <w:r>
        <w:rPr>
          <w:rFonts w:ascii="Arial" w:cs="Arial" w:eastAsia="Arial" w:hAnsi="Arial"/>
          <w:sz w:val="19"/>
          <w:szCs w:val="19"/>
          <w:color w:val="3E3935"/>
        </w:rPr>
        <w:t>Each year, the Board reviews the CEO’s performance against her annual strategic goals. The non-management directors, meeting separately in executive session, annually conduct a formal evaluation of the CEO, which is communicated to the CEO by the Independent Lead Director and Compensation Committee Chair. The evaluation is based on both objective and subjective criteria, including, but not limited to, the Company’s financial</w:t>
      </w:r>
    </w:p>
    <w:p>
      <w:pPr>
        <w:spacing w:after="0" w:line="254" w:lineRule="exact"/>
        <w:rPr>
          <w:sz w:val="20"/>
          <w:szCs w:val="20"/>
          <w:color w:val="auto"/>
        </w:rPr>
      </w:pPr>
    </w:p>
    <w:p>
      <w:pPr>
        <w:ind w:left="120"/>
        <w:spacing w:after="0"/>
        <w:rPr>
          <w:sz w:val="20"/>
          <w:szCs w:val="20"/>
          <w:color w:val="auto"/>
        </w:rPr>
      </w:pPr>
      <w:r>
        <w:rPr>
          <w:rFonts w:ascii="Arial" w:cs="Arial" w:eastAsia="Arial" w:hAnsi="Arial"/>
          <w:sz w:val="14"/>
          <w:szCs w:val="14"/>
          <w:color w:val="0071CE"/>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wp:posOffset>
            </wp:positionH>
            <wp:positionV relativeFrom="paragraph">
              <wp:posOffset>-95885</wp:posOffset>
            </wp:positionV>
            <wp:extent cx="5983605" cy="10287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5983605" cy="10287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8" w:lineRule="exact"/>
        <w:rPr>
          <w:sz w:val="20"/>
          <w:szCs w:val="20"/>
          <w:color w:val="auto"/>
        </w:rPr>
      </w:pPr>
    </w:p>
    <w:p>
      <w:pPr>
        <w:jc w:val="both"/>
        <w:spacing w:after="0" w:line="232" w:lineRule="auto"/>
        <w:rPr>
          <w:sz w:val="20"/>
          <w:szCs w:val="20"/>
          <w:color w:val="auto"/>
        </w:rPr>
      </w:pPr>
      <w:r>
        <w:rPr>
          <w:rFonts w:ascii="Arial" w:cs="Arial" w:eastAsia="Arial" w:hAnsi="Arial"/>
          <w:sz w:val="20"/>
          <w:szCs w:val="20"/>
          <w:color w:val="3E3935"/>
        </w:rPr>
        <w:t>performance, accomplishment of ongoing initiatives in furtherance of the Company’s long-term strategic objectives, and development of the Company’s senior management talent. The results of the evaluation are considered by the Compensation Committee in determining the compensation of the CEO as further described in the “Compensation Discussion and Analysis” section beginning on page 51.</w:t>
      </w:r>
    </w:p>
    <w:p>
      <w:pPr>
        <w:sectPr>
          <w:pgSz w:w="11900" w:h="16838" w:orient="portrait"/>
          <w:cols w:equalWidth="0" w:num="2">
            <w:col w:w="5400" w:space="340"/>
            <w:col w:w="5400"/>
          </w:cols>
          <w:pgMar w:left="320" w:top="482" w:right="439" w:bottom="1440" w:gutter="0" w:footer="0" w:header="0"/>
          <w:type w:val="continuous"/>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660" w:hanging="544"/>
        <w:spacing w:after="0"/>
        <w:tabs>
          <w:tab w:leader="none" w:pos="660" w:val="left"/>
        </w:tabs>
        <w:numPr>
          <w:ilvl w:val="0"/>
          <w:numId w:val="60"/>
        </w:numPr>
        <w:rPr>
          <w:rFonts w:ascii="Times New Roman" w:cs="Times New Roman" w:eastAsia="Times New Roman" w:hAnsi="Times New Roman"/>
          <w:sz w:val="19"/>
          <w:szCs w:val="19"/>
          <w:color w:val="0071CE"/>
        </w:rPr>
      </w:pPr>
      <w:r>
        <w:rPr>
          <w:rFonts w:ascii="Arial" w:cs="Arial" w:eastAsia="Arial" w:hAnsi="Arial"/>
          <w:sz w:val="25"/>
          <w:szCs w:val="25"/>
          <w:color w:val="3E3935"/>
        </w:rPr>
        <w:t>Director Orientation and Continuing Education</w:t>
      </w:r>
    </w:p>
    <w:p>
      <w:pPr>
        <w:sectPr>
          <w:pgSz w:w="11900" w:h="16838" w:orient="portrait"/>
          <w:cols w:equalWidth="0" w:num="1">
            <w:col w:w="11140"/>
          </w:cols>
          <w:pgMar w:left="320" w:top="482" w:right="439" w:bottom="1440" w:gutter="0" w:footer="0" w:header="0"/>
        </w:sectPr>
      </w:pPr>
    </w:p>
    <w:p>
      <w:pPr>
        <w:spacing w:after="0" w:line="213" w:lineRule="exact"/>
        <w:rPr>
          <w:sz w:val="20"/>
          <w:szCs w:val="20"/>
          <w:color w:val="auto"/>
        </w:rPr>
      </w:pPr>
    </w:p>
    <w:p>
      <w:pPr>
        <w:jc w:val="both"/>
        <w:ind w:left="120"/>
        <w:spacing w:after="0" w:line="229" w:lineRule="auto"/>
        <w:rPr>
          <w:sz w:val="20"/>
          <w:szCs w:val="20"/>
          <w:color w:val="auto"/>
        </w:rPr>
      </w:pPr>
      <w:r>
        <w:rPr>
          <w:rFonts w:ascii="Arial" w:cs="Arial" w:eastAsia="Arial" w:hAnsi="Arial"/>
          <w:sz w:val="20"/>
          <w:szCs w:val="20"/>
          <w:color w:val="3E3935"/>
        </w:rPr>
        <w:t>All new directors complete the Company’s director orientation program within the first year of their election. The orientation enables new directors to become familiar with the Company’s business and strategic plans, significant financial matters, core values and behaviors, compliance programs, corporate governance practices, and other key policies and practices. As part of the orientation, they meet individually with the Board Chair and CEO, President, General Counsel, and other key members of the Senior Leadership Team. They also attend a meeting of each Board committee at least once before being assigned to committees by the Board.</w:t>
      </w:r>
    </w:p>
    <w:p>
      <w:pPr>
        <w:spacing w:after="0" w:line="107" w:lineRule="exact"/>
        <w:rPr>
          <w:sz w:val="20"/>
          <w:szCs w:val="20"/>
          <w:color w:val="auto"/>
        </w:rPr>
      </w:pPr>
    </w:p>
    <w:p>
      <w:pPr>
        <w:jc w:val="both"/>
        <w:ind w:left="120"/>
        <w:spacing w:after="0" w:line="257" w:lineRule="auto"/>
        <w:rPr>
          <w:sz w:val="20"/>
          <w:szCs w:val="20"/>
          <w:color w:val="auto"/>
        </w:rPr>
      </w:pPr>
      <w:r>
        <w:rPr>
          <w:rFonts w:ascii="Arial" w:cs="Arial" w:eastAsia="Arial" w:hAnsi="Arial"/>
          <w:sz w:val="20"/>
          <w:szCs w:val="20"/>
          <w:color w:val="3E3935"/>
        </w:rPr>
        <w:t>Continuing education opportunities are also provided to keep directors updated with information</w:t>
      </w:r>
    </w:p>
    <w:p>
      <w:pPr>
        <w:spacing w:after="0" w:line="20" w:lineRule="exact"/>
        <w:rPr>
          <w:sz w:val="20"/>
          <w:szCs w:val="20"/>
          <w:color w:val="auto"/>
        </w:rPr>
      </w:pPr>
      <w:r>
        <w:rPr>
          <w:sz w:val="20"/>
          <w:szCs w:val="20"/>
          <w:color w:val="auto"/>
        </w:rPr>
        <w:br w:type="column"/>
      </w:r>
    </w:p>
    <w:p>
      <w:pPr>
        <w:spacing w:after="0" w:line="193" w:lineRule="exact"/>
        <w:rPr>
          <w:sz w:val="20"/>
          <w:szCs w:val="20"/>
          <w:color w:val="auto"/>
        </w:rPr>
      </w:pPr>
    </w:p>
    <w:p>
      <w:pPr>
        <w:jc w:val="both"/>
        <w:spacing w:after="0" w:line="229" w:lineRule="auto"/>
        <w:rPr>
          <w:sz w:val="20"/>
          <w:szCs w:val="20"/>
          <w:color w:val="auto"/>
        </w:rPr>
      </w:pPr>
      <w:r>
        <w:rPr>
          <w:rFonts w:ascii="Arial" w:cs="Arial" w:eastAsia="Arial" w:hAnsi="Arial"/>
          <w:sz w:val="20"/>
          <w:szCs w:val="20"/>
          <w:color w:val="3E3935"/>
        </w:rPr>
        <w:t>about the Company and its strategy, operations, products, and other matters relevant to Board service. Board members are also encouraged to visit GM facilities and dealers and attend auto shows and other key corporate and industry events to enhance their understanding of the Company and its competitors in the automotive industry. Examples of such educational opportunities in 2022 included touring the Company’s new engineering facility in Concord, North Carolina and receiving in-depth competitor reviews throughout the year. In addition, all directors are encouraged to attend, at our expense, director continuing education programs sponsored by governance organizations and other institutions.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-3030855</wp:posOffset>
            </wp:positionH>
            <wp:positionV relativeFrom="paragraph">
              <wp:posOffset>465455</wp:posOffset>
            </wp:positionV>
            <wp:extent cx="5923280" cy="89154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5923280" cy="891540"/>
                    </a:xfrm>
                    <a:prstGeom prst="rect">
                      <a:avLst/>
                    </a:prstGeom>
                    <a:noFill/>
                  </pic:spPr>
                </pic:pic>
              </a:graphicData>
            </a:graphic>
          </wp:anchor>
        </w:drawing>
      </w:r>
    </w:p>
    <w:p>
      <w:pPr>
        <w:spacing w:after="0" w:line="580" w:lineRule="exact"/>
        <w:rPr>
          <w:sz w:val="20"/>
          <w:szCs w:val="20"/>
          <w:color w:val="auto"/>
        </w:rPr>
      </w:pPr>
    </w:p>
    <w:p>
      <w:pPr>
        <w:sectPr>
          <w:pgSz w:w="11900" w:h="16838" w:orient="portrait"/>
          <w:cols w:equalWidth="0" w:num="2">
            <w:col w:w="5400" w:space="340"/>
            <w:col w:w="5400"/>
          </w:cols>
          <w:pgMar w:left="320" w:top="482" w:right="4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10660"/>
        <w:spacing w:after="0"/>
        <w:rPr>
          <w:sz w:val="20"/>
          <w:szCs w:val="20"/>
          <w:color w:val="auto"/>
        </w:rPr>
      </w:pPr>
      <w:r>
        <w:rPr>
          <w:rFonts w:ascii="Arial" w:cs="Arial" w:eastAsia="Arial" w:hAnsi="Arial"/>
          <w:sz w:val="14"/>
          <w:szCs w:val="14"/>
          <w:color w:val="0071CE"/>
        </w:rPr>
        <w:t>39</w:t>
      </w:r>
    </w:p>
    <w:p>
      <w:pPr>
        <w:sectPr>
          <w:pgSz w:w="11900" w:h="16838" w:orient="portrait"/>
          <w:cols w:equalWidth="0" w:num="1">
            <w:col w:w="11140"/>
          </w:cols>
          <w:pgMar w:left="320" w:top="482" w:right="439" w:bottom="1440" w:gutter="0" w:footer="0" w:header="0"/>
          <w:type w:val="continuous"/>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ind w:left="660" w:hanging="544"/>
        <w:spacing w:after="0"/>
        <w:tabs>
          <w:tab w:leader="none" w:pos="660" w:val="left"/>
        </w:tabs>
        <w:numPr>
          <w:ilvl w:val="0"/>
          <w:numId w:val="61"/>
        </w:numPr>
        <w:rPr>
          <w:rFonts w:ascii="Times New Roman" w:cs="Times New Roman" w:eastAsia="Times New Roman" w:hAnsi="Times New Roman"/>
          <w:sz w:val="19"/>
          <w:szCs w:val="19"/>
          <w:color w:val="0071CE"/>
        </w:rPr>
      </w:pPr>
      <w:r>
        <w:rPr>
          <w:rFonts w:ascii="Arial" w:cs="Arial" w:eastAsia="Arial" w:hAnsi="Arial"/>
          <w:sz w:val="25"/>
          <w:szCs w:val="25"/>
          <w:color w:val="3E3935"/>
        </w:rPr>
        <w:t>Director Service on Other Public Company Boards</w:t>
      </w:r>
    </w:p>
    <w:p>
      <w:pPr>
        <w:sectPr>
          <w:pgSz w:w="11900" w:h="16838" w:orient="portrait"/>
          <w:cols w:equalWidth="0" w:num="1">
            <w:col w:w="11120"/>
          </w:cols>
          <w:pgMar w:left="320" w:top="482" w:right="459" w:bottom="1440" w:gutter="0" w:footer="0" w:header="0"/>
        </w:sectPr>
      </w:pPr>
    </w:p>
    <w:p>
      <w:pPr>
        <w:spacing w:after="0" w:line="213" w:lineRule="exact"/>
        <w:rPr>
          <w:sz w:val="20"/>
          <w:szCs w:val="20"/>
          <w:color w:val="auto"/>
        </w:rPr>
      </w:pPr>
    </w:p>
    <w:p>
      <w:pPr>
        <w:jc w:val="both"/>
        <w:ind w:left="120"/>
        <w:spacing w:after="0" w:line="228" w:lineRule="auto"/>
        <w:rPr>
          <w:sz w:val="20"/>
          <w:szCs w:val="20"/>
          <w:color w:val="auto"/>
        </w:rPr>
      </w:pPr>
      <w:r>
        <w:rPr>
          <w:rFonts w:ascii="Arial" w:cs="Arial" w:eastAsia="Arial" w:hAnsi="Arial"/>
          <w:sz w:val="20"/>
          <w:szCs w:val="20"/>
          <w:color w:val="3E3935"/>
        </w:rPr>
        <w:t>The Board recognizes that service on other public company boards provides directors valuable experience that benefits the Company. The Board also believes, however, that it is critical that directors dedicate sufficient time to their service on the Company’s Board. Directors are expected to advise the Board Chair, Independent Lead Director, or Governance Committee Chair in advance of accepting an invitation to serve on another board of directors or any audit committee of another public company’s board. This allows the Governance Committee to assess the impact of the director joining another board based on various factors relevant to the specific situation, including the nature and extent of a director’s other professional obligations and the time commitment required by the new position. The Governance Committee conducts an annual review of director commitment levels and affirms that all directors are able to comply with the Company’s expectations on a director’s time and availability. Sometimes, for example, the</w:t>
      </w:r>
    </w:p>
    <w:p>
      <w:pPr>
        <w:spacing w:after="0" w:line="20" w:lineRule="exact"/>
        <w:rPr>
          <w:sz w:val="20"/>
          <w:szCs w:val="20"/>
          <w:color w:val="auto"/>
        </w:rPr>
      </w:pPr>
      <w:r>
        <w:rPr>
          <w:sz w:val="20"/>
          <w:szCs w:val="20"/>
          <w:color w:val="auto"/>
        </w:rPr>
        <w:br w:type="column"/>
      </w:r>
    </w:p>
    <w:p>
      <w:pPr>
        <w:spacing w:after="0" w:line="193" w:lineRule="exact"/>
        <w:rPr>
          <w:sz w:val="20"/>
          <w:szCs w:val="20"/>
          <w:color w:val="auto"/>
        </w:rPr>
      </w:pPr>
    </w:p>
    <w:p>
      <w:pPr>
        <w:jc w:val="both"/>
        <w:ind w:left="6"/>
        <w:spacing w:after="0" w:line="233" w:lineRule="auto"/>
        <w:rPr>
          <w:sz w:val="20"/>
          <w:szCs w:val="20"/>
          <w:color w:val="auto"/>
        </w:rPr>
      </w:pPr>
      <w:r>
        <w:rPr>
          <w:rFonts w:ascii="Arial" w:cs="Arial" w:eastAsia="Arial" w:hAnsi="Arial"/>
          <w:sz w:val="20"/>
          <w:szCs w:val="20"/>
          <w:color w:val="3E3935"/>
        </w:rPr>
        <w:t>Governance Committee determines that directors who are engaged in active, full-time employment have less time to devote to board service than a director whose principal occupation is serving on boards. Our Corporate Governance Guidelines provide that, without obtaining the approval of the Board:</w:t>
      </w:r>
    </w:p>
    <w:p>
      <w:pPr>
        <w:spacing w:after="0" w:line="78" w:lineRule="exact"/>
        <w:rPr>
          <w:sz w:val="20"/>
          <w:szCs w:val="20"/>
          <w:color w:val="auto"/>
        </w:rPr>
      </w:pPr>
    </w:p>
    <w:p>
      <w:pPr>
        <w:jc w:val="both"/>
        <w:ind w:left="266" w:hanging="266"/>
        <w:spacing w:after="0" w:line="241" w:lineRule="auto"/>
        <w:tabs>
          <w:tab w:leader="none" w:pos="266" w:val="left"/>
        </w:tabs>
        <w:numPr>
          <w:ilvl w:val="0"/>
          <w:numId w:val="62"/>
        </w:numPr>
        <w:rPr>
          <w:rFonts w:ascii="Arial" w:cs="Arial" w:eastAsia="Arial" w:hAnsi="Arial"/>
          <w:sz w:val="20"/>
          <w:szCs w:val="20"/>
          <w:color w:val="00C1DE"/>
        </w:rPr>
      </w:pPr>
      <w:r>
        <w:rPr>
          <w:rFonts w:ascii="Arial" w:cs="Arial" w:eastAsia="Arial" w:hAnsi="Arial"/>
          <w:sz w:val="20"/>
          <w:szCs w:val="20"/>
          <w:color w:val="3E3935"/>
        </w:rPr>
        <w:t>A director may not serve on the boards of more than four other public companies (excluding nonprofits and subsidiaries); and</w:t>
      </w:r>
    </w:p>
    <w:p>
      <w:pPr>
        <w:spacing w:after="0" w:line="76" w:lineRule="exact"/>
        <w:rPr>
          <w:rFonts w:ascii="Arial" w:cs="Arial" w:eastAsia="Arial" w:hAnsi="Arial"/>
          <w:sz w:val="20"/>
          <w:szCs w:val="20"/>
          <w:color w:val="00C1DE"/>
        </w:rPr>
      </w:pPr>
    </w:p>
    <w:p>
      <w:pPr>
        <w:ind w:left="266" w:right="20" w:hanging="266"/>
        <w:spacing w:after="0" w:line="257" w:lineRule="auto"/>
        <w:tabs>
          <w:tab w:leader="none" w:pos="266" w:val="left"/>
        </w:tabs>
        <w:numPr>
          <w:ilvl w:val="0"/>
          <w:numId w:val="62"/>
        </w:numPr>
        <w:rPr>
          <w:rFonts w:ascii="Arial" w:cs="Arial" w:eastAsia="Arial" w:hAnsi="Arial"/>
          <w:sz w:val="20"/>
          <w:szCs w:val="20"/>
          <w:color w:val="00C1DE"/>
        </w:rPr>
      </w:pPr>
      <w:r>
        <w:rPr>
          <w:rFonts w:ascii="Arial" w:cs="Arial" w:eastAsia="Arial" w:hAnsi="Arial"/>
          <w:sz w:val="20"/>
          <w:szCs w:val="20"/>
          <w:color w:val="3E3935"/>
        </w:rPr>
        <w:t>No member of the Audit Committee may serve on more than two other public company audit committees.</w:t>
      </w:r>
    </w:p>
    <w:p>
      <w:pPr>
        <w:spacing w:after="0" w:line="88" w:lineRule="exact"/>
        <w:rPr>
          <w:sz w:val="20"/>
          <w:szCs w:val="20"/>
          <w:color w:val="auto"/>
        </w:rPr>
      </w:pPr>
    </w:p>
    <w:p>
      <w:pPr>
        <w:jc w:val="both"/>
        <w:ind w:left="6"/>
        <w:spacing w:after="0" w:line="232" w:lineRule="auto"/>
        <w:rPr>
          <w:sz w:val="20"/>
          <w:szCs w:val="20"/>
          <w:color w:val="auto"/>
        </w:rPr>
      </w:pPr>
      <w:r>
        <w:rPr>
          <w:rFonts w:ascii="Arial" w:cs="Arial" w:eastAsia="Arial" w:hAnsi="Arial"/>
          <w:sz w:val="20"/>
          <w:szCs w:val="20"/>
          <w:color w:val="3E3935"/>
        </w:rPr>
        <w:t>The Board also prefers that senior members of management not serve on the board of more than one other public company or for-profit entity, and requires that executive officers obtain the approval of the Governance Committee prior to accepting an invitation to serve on an outside board. At this time, all members of management are in compliance with these guidelines.</w:t>
      </w:r>
    </w:p>
    <w:p>
      <w:pPr>
        <w:spacing w:after="0" w:line="200" w:lineRule="exact"/>
        <w:rPr>
          <w:sz w:val="20"/>
          <w:szCs w:val="20"/>
          <w:color w:val="auto"/>
        </w:rPr>
      </w:pPr>
    </w:p>
    <w:p>
      <w:pPr>
        <w:sectPr>
          <w:pgSz w:w="11900" w:h="16838" w:orient="portrait"/>
          <w:cols w:equalWidth="0" w:num="2">
            <w:col w:w="5400" w:space="334"/>
            <w:col w:w="5386"/>
          </w:cols>
          <w:pgMar w:left="320" w:top="482" w:right="459" w:bottom="1440" w:gutter="0" w:footer="0" w:header="0"/>
          <w:type w:val="continuous"/>
        </w:sectPr>
      </w:pPr>
    </w:p>
    <w:p>
      <w:pPr>
        <w:spacing w:after="0" w:line="241" w:lineRule="exact"/>
        <w:rPr>
          <w:sz w:val="20"/>
          <w:szCs w:val="20"/>
          <w:color w:val="auto"/>
        </w:rPr>
      </w:pPr>
    </w:p>
    <w:p>
      <w:pPr>
        <w:ind w:left="660" w:hanging="544"/>
        <w:spacing w:after="0"/>
        <w:tabs>
          <w:tab w:leader="none" w:pos="660" w:val="left"/>
        </w:tabs>
        <w:numPr>
          <w:ilvl w:val="0"/>
          <w:numId w:val="63"/>
        </w:numPr>
        <w:rPr>
          <w:rFonts w:ascii="Times New Roman" w:cs="Times New Roman" w:eastAsia="Times New Roman" w:hAnsi="Times New Roman"/>
          <w:sz w:val="19"/>
          <w:szCs w:val="19"/>
          <w:color w:val="0071CE"/>
        </w:rPr>
      </w:pPr>
      <w:r>
        <w:rPr>
          <w:rFonts w:ascii="Arial" w:cs="Arial" w:eastAsia="Arial" w:hAnsi="Arial"/>
          <w:sz w:val="25"/>
          <w:szCs w:val="25"/>
          <w:color w:val="3E3935"/>
        </w:rPr>
        <w:t>Compensation Committee Interlocks and Insider Participation</w:t>
      </w:r>
    </w:p>
    <w:p>
      <w:pPr>
        <w:sectPr>
          <w:pgSz w:w="11900" w:h="16838" w:orient="portrait"/>
          <w:cols w:equalWidth="0" w:num="1">
            <w:col w:w="11120"/>
          </w:cols>
          <w:pgMar w:left="320" w:top="482" w:right="459" w:bottom="1440" w:gutter="0" w:footer="0" w:header="0"/>
          <w:type w:val="continuous"/>
        </w:sectPr>
      </w:pPr>
    </w:p>
    <w:p>
      <w:pPr>
        <w:spacing w:after="0" w:line="213" w:lineRule="exact"/>
        <w:rPr>
          <w:sz w:val="20"/>
          <w:szCs w:val="20"/>
          <w:color w:val="auto"/>
        </w:rPr>
      </w:pPr>
    </w:p>
    <w:p>
      <w:pPr>
        <w:jc w:val="both"/>
        <w:ind w:left="120"/>
        <w:spacing w:after="0" w:line="233" w:lineRule="auto"/>
        <w:rPr>
          <w:sz w:val="20"/>
          <w:szCs w:val="20"/>
          <w:color w:val="auto"/>
        </w:rPr>
      </w:pPr>
      <w:r>
        <w:rPr>
          <w:rFonts w:ascii="Arial" w:cs="Arial" w:eastAsia="Arial" w:hAnsi="Arial"/>
          <w:sz w:val="20"/>
          <w:szCs w:val="20"/>
          <w:color w:val="3E3935"/>
        </w:rPr>
        <w:t>Mses. Russo and Stephenson and Messrs. Bhusri, Bush, and Jimenez serve on the Compensation Committee and Ms. Whitman served on it until her departure from the Board in July 2022. As of the date of this Proxy Statement, no member of the Compensation Committee was or is a GM officer or</w:t>
      </w:r>
    </w:p>
    <w:p>
      <w:pPr>
        <w:spacing w:after="0" w:line="20" w:lineRule="exact"/>
        <w:rPr>
          <w:sz w:val="20"/>
          <w:szCs w:val="20"/>
          <w:color w:val="auto"/>
        </w:rPr>
      </w:pPr>
      <w:r>
        <w:rPr>
          <w:sz w:val="20"/>
          <w:szCs w:val="20"/>
          <w:color w:val="auto"/>
        </w:rPr>
        <w:br w:type="column"/>
      </w:r>
    </w:p>
    <w:p>
      <w:pPr>
        <w:spacing w:after="0" w:line="193" w:lineRule="exact"/>
        <w:rPr>
          <w:sz w:val="20"/>
          <w:szCs w:val="20"/>
          <w:color w:val="auto"/>
        </w:rPr>
      </w:pPr>
    </w:p>
    <w:p>
      <w:pPr>
        <w:jc w:val="both"/>
        <w:spacing w:after="0" w:line="237" w:lineRule="auto"/>
        <w:rPr>
          <w:sz w:val="20"/>
          <w:szCs w:val="20"/>
          <w:color w:val="auto"/>
        </w:rPr>
      </w:pPr>
      <w:r>
        <w:rPr>
          <w:rFonts w:ascii="Arial" w:cs="Arial" w:eastAsia="Arial" w:hAnsi="Arial"/>
          <w:sz w:val="20"/>
          <w:szCs w:val="20"/>
          <w:color w:val="3E3935"/>
        </w:rPr>
        <w:t>employee, and no executive officer of the Company served or serves on a compensation committee or board of any company that employed or employs any member of the Company’s Compensation Committee or Board.</w:t>
      </w:r>
    </w:p>
    <w:p>
      <w:pPr>
        <w:spacing w:after="0" w:line="631" w:lineRule="exact"/>
        <w:rPr>
          <w:sz w:val="20"/>
          <w:szCs w:val="20"/>
          <w:color w:val="auto"/>
        </w:rPr>
      </w:pPr>
    </w:p>
    <w:p>
      <w:pPr>
        <w:sectPr>
          <w:pgSz w:w="11900" w:h="16838" w:orient="portrait"/>
          <w:cols w:equalWidth="0" w:num="2">
            <w:col w:w="5400" w:space="340"/>
            <w:col w:w="5380"/>
          </w:cols>
          <w:pgMar w:left="320" w:top="482" w:right="459" w:bottom="1440" w:gutter="0" w:footer="0" w:header="0"/>
          <w:type w:val="continuous"/>
        </w:sectPr>
      </w:pPr>
    </w:p>
    <w:p>
      <w:pPr>
        <w:spacing w:after="0" w:line="52" w:lineRule="exact"/>
        <w:rPr>
          <w:sz w:val="20"/>
          <w:szCs w:val="20"/>
          <w:color w:val="auto"/>
        </w:rPr>
      </w:pPr>
    </w:p>
    <w:p>
      <w:pPr>
        <w:ind w:left="120"/>
        <w:spacing w:after="0"/>
        <w:rPr>
          <w:sz w:val="20"/>
          <w:szCs w:val="20"/>
          <w:color w:val="auto"/>
        </w:rPr>
      </w:pPr>
      <w:r>
        <w:rPr>
          <w:rFonts w:ascii="Arial" w:cs="Arial" w:eastAsia="Arial" w:hAnsi="Arial"/>
          <w:sz w:val="14"/>
          <w:szCs w:val="14"/>
          <w:color w:val="0071CE"/>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wp:posOffset>
            </wp:positionH>
            <wp:positionV relativeFrom="paragraph">
              <wp:posOffset>-95885</wp:posOffset>
            </wp:positionV>
            <wp:extent cx="5983605" cy="10287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5983605" cy="102870"/>
                    </a:xfrm>
                    <a:prstGeom prst="rect">
                      <a:avLst/>
                    </a:prstGeom>
                    <a:noFill/>
                  </pic:spPr>
                </pic:pic>
              </a:graphicData>
            </a:graphic>
          </wp:anchor>
        </w:drawing>
      </w:r>
    </w:p>
    <w:p>
      <w:pPr>
        <w:sectPr>
          <w:pgSz w:w="11900" w:h="16838" w:orient="portrait"/>
          <w:cols w:equalWidth="0" w:num="1">
            <w:col w:w="11120"/>
          </w:cols>
          <w:pgMar w:left="320" w:top="482" w:right="459" w:bottom="1440" w:gutter="0" w:footer="0" w:header="0"/>
          <w:type w:val="continuous"/>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28"/>
          <w:szCs w:val="28"/>
          <w:color w:val="3E3935"/>
        </w:rPr>
        <w:t>Corporate Political Contributions and Lobbying Expenditures</w:t>
      </w:r>
    </w:p>
    <w:p>
      <w:pPr>
        <w:sectPr>
          <w:pgSz w:w="11900" w:h="16838" w:orient="portrait"/>
          <w:cols w:equalWidth="0" w:num="1">
            <w:col w:w="11140"/>
          </w:cols>
          <w:pgMar w:left="320" w:top="482" w:right="439" w:bottom="1440" w:gutter="0" w:footer="0" w:header="0"/>
        </w:sectPr>
      </w:pPr>
    </w:p>
    <w:p>
      <w:pPr>
        <w:spacing w:after="0" w:line="174" w:lineRule="exact"/>
        <w:rPr>
          <w:sz w:val="20"/>
          <w:szCs w:val="20"/>
          <w:color w:val="auto"/>
        </w:rPr>
      </w:pPr>
    </w:p>
    <w:p>
      <w:pPr>
        <w:ind w:left="660" w:hanging="544"/>
        <w:spacing w:after="0"/>
        <w:tabs>
          <w:tab w:leader="none" w:pos="660" w:val="left"/>
        </w:tabs>
        <w:numPr>
          <w:ilvl w:val="0"/>
          <w:numId w:val="64"/>
        </w:numPr>
        <w:rPr>
          <w:rFonts w:ascii="Times New Roman" w:cs="Times New Roman" w:eastAsia="Times New Roman" w:hAnsi="Times New Roman"/>
          <w:sz w:val="19"/>
          <w:szCs w:val="19"/>
          <w:color w:val="0071CE"/>
        </w:rPr>
      </w:pPr>
      <w:r>
        <w:rPr>
          <w:rFonts w:ascii="Arial" w:cs="Arial" w:eastAsia="Arial" w:hAnsi="Arial"/>
          <w:sz w:val="25"/>
          <w:szCs w:val="25"/>
          <w:color w:val="3E3935"/>
        </w:rPr>
        <w:t>Board Oversight</w:t>
      </w:r>
    </w:p>
    <w:p>
      <w:pPr>
        <w:spacing w:after="0" w:line="213" w:lineRule="exact"/>
        <w:rPr>
          <w:sz w:val="20"/>
          <w:szCs w:val="20"/>
          <w:color w:val="auto"/>
        </w:rPr>
      </w:pPr>
    </w:p>
    <w:p>
      <w:pPr>
        <w:jc w:val="both"/>
        <w:ind w:left="120"/>
        <w:spacing w:after="0" w:line="231" w:lineRule="auto"/>
        <w:rPr>
          <w:sz w:val="20"/>
          <w:szCs w:val="20"/>
          <w:color w:val="auto"/>
        </w:rPr>
      </w:pPr>
      <w:r>
        <w:rPr>
          <w:rFonts w:ascii="Arial" w:cs="Arial" w:eastAsia="Arial" w:hAnsi="Arial"/>
          <w:sz w:val="20"/>
          <w:szCs w:val="20"/>
          <w:color w:val="3E3935"/>
        </w:rPr>
        <w:t>We participate in the legislative, regulatory, and political processes to help shape public policy that supports our industry, reflects our values and principles, and advances our vision for the future of mobility. To guide our activities and ensure compliance with applicable laws and regulations, the Board has adopted a Company Policy on Corporate Political Contributions and Expenditures (“Political Contributions Policy”).</w:t>
      </w:r>
    </w:p>
    <w:p>
      <w:pPr>
        <w:spacing w:after="0" w:line="106" w:lineRule="exact"/>
        <w:rPr>
          <w:sz w:val="20"/>
          <w:szCs w:val="20"/>
          <w:color w:val="auto"/>
        </w:rPr>
      </w:pPr>
    </w:p>
    <w:p>
      <w:pPr>
        <w:jc w:val="both"/>
        <w:ind w:left="120"/>
        <w:spacing w:after="0" w:line="233" w:lineRule="auto"/>
        <w:rPr>
          <w:sz w:val="20"/>
          <w:szCs w:val="20"/>
          <w:color w:val="auto"/>
        </w:rPr>
      </w:pPr>
      <w:r>
        <w:rPr>
          <w:rFonts w:ascii="Arial" w:cs="Arial" w:eastAsia="Arial" w:hAnsi="Arial"/>
          <w:sz w:val="20"/>
          <w:szCs w:val="20"/>
          <w:color w:val="3E3935"/>
        </w:rPr>
        <w:t>The Governance Committee oversees the Political Contributions Policy and annually reviews the Company’s engagement in the public policy process. The Governance Committee also annually reviews all corporate political contributions, GM PAC contributions and expenditures, and the process by which such contributions and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both"/>
        <w:spacing w:after="0" w:line="234" w:lineRule="auto"/>
        <w:rPr>
          <w:sz w:val="20"/>
          <w:szCs w:val="20"/>
          <w:color w:val="auto"/>
        </w:rPr>
      </w:pPr>
      <w:r>
        <w:rPr>
          <w:rFonts w:ascii="Arial" w:cs="Arial" w:eastAsia="Arial" w:hAnsi="Arial"/>
          <w:sz w:val="20"/>
          <w:szCs w:val="20"/>
          <w:color w:val="3E3935"/>
        </w:rPr>
        <w:t>expenditures are made. GM PAC expenditures are funded entirely by voluntary director and employee contributions and are guided by a board of directors and a steering committee using defined criteria set forth in the Political Contributions Policy.</w:t>
      </w:r>
    </w:p>
    <w:p>
      <w:pPr>
        <w:spacing w:after="0" w:line="107" w:lineRule="exact"/>
        <w:rPr>
          <w:sz w:val="20"/>
          <w:szCs w:val="20"/>
          <w:color w:val="auto"/>
        </w:rPr>
      </w:pPr>
    </w:p>
    <w:p>
      <w:pPr>
        <w:jc w:val="both"/>
        <w:ind w:right="20"/>
        <w:spacing w:after="0" w:line="230" w:lineRule="auto"/>
        <w:rPr>
          <w:sz w:val="20"/>
          <w:szCs w:val="20"/>
          <w:color w:val="auto"/>
        </w:rPr>
      </w:pPr>
      <w:r>
        <w:rPr>
          <w:rFonts w:ascii="Arial" w:cs="Arial" w:eastAsia="Arial" w:hAnsi="Arial"/>
          <w:sz w:val="20"/>
          <w:szCs w:val="20"/>
          <w:color w:val="3E3935"/>
        </w:rPr>
        <w:t>Management provides updates to the Governance Committee on a regular basis regarding the Company’s lobbying expenditures. In addition, the full Board receives frequent updates from management regarding significant global policy issues facing the Company. The Board uses this report to continuously assess which issues are most important to the Company’s long-term interests and which organizations the Company is working with to advance those interests.</w:t>
      </w:r>
    </w:p>
    <w:p>
      <w:pPr>
        <w:spacing w:after="0" w:line="204" w:lineRule="exact"/>
        <w:rPr>
          <w:sz w:val="20"/>
          <w:szCs w:val="20"/>
          <w:color w:val="auto"/>
        </w:rPr>
      </w:pPr>
    </w:p>
    <w:p>
      <w:pPr>
        <w:sectPr>
          <w:pgSz w:w="11900" w:h="16838" w:orient="portrait"/>
          <w:cols w:equalWidth="0" w:num="2">
            <w:col w:w="5400" w:space="340"/>
            <w:col w:w="5400"/>
          </w:cols>
          <w:pgMar w:left="320" w:top="482" w:right="439" w:bottom="1440" w:gutter="0" w:footer="0" w:header="0"/>
          <w:type w:val="continuous"/>
        </w:sectPr>
      </w:pPr>
    </w:p>
    <w:p>
      <w:pPr>
        <w:spacing w:after="0" w:line="242" w:lineRule="exact"/>
        <w:rPr>
          <w:sz w:val="20"/>
          <w:szCs w:val="20"/>
          <w:color w:val="auto"/>
        </w:rPr>
      </w:pPr>
    </w:p>
    <w:p>
      <w:pPr>
        <w:ind w:left="660" w:hanging="544"/>
        <w:spacing w:after="0"/>
        <w:tabs>
          <w:tab w:leader="none" w:pos="660" w:val="left"/>
        </w:tabs>
        <w:numPr>
          <w:ilvl w:val="0"/>
          <w:numId w:val="65"/>
        </w:numPr>
        <w:rPr>
          <w:rFonts w:ascii="Times New Roman" w:cs="Times New Roman" w:eastAsia="Times New Roman" w:hAnsi="Times New Roman"/>
          <w:sz w:val="19"/>
          <w:szCs w:val="19"/>
          <w:color w:val="0071CE"/>
        </w:rPr>
      </w:pPr>
      <w:r>
        <w:rPr>
          <w:rFonts w:ascii="Arial" w:cs="Arial" w:eastAsia="Arial" w:hAnsi="Arial"/>
          <w:sz w:val="25"/>
          <w:szCs w:val="25"/>
          <w:color w:val="3E3935"/>
        </w:rPr>
        <w:t>Transparency and Disclosure</w:t>
      </w:r>
    </w:p>
    <w:p>
      <w:pPr>
        <w:spacing w:after="0" w:line="213" w:lineRule="exact"/>
        <w:rPr>
          <w:sz w:val="20"/>
          <w:szCs w:val="20"/>
          <w:color w:val="auto"/>
        </w:rPr>
      </w:pPr>
    </w:p>
    <w:p>
      <w:pPr>
        <w:jc w:val="both"/>
        <w:ind w:left="120"/>
        <w:spacing w:after="0" w:line="230" w:lineRule="auto"/>
        <w:rPr>
          <w:sz w:val="20"/>
          <w:szCs w:val="20"/>
          <w:color w:val="auto"/>
        </w:rPr>
      </w:pPr>
      <w:r>
        <w:rPr>
          <w:rFonts w:ascii="Arial" w:cs="Arial" w:eastAsia="Arial" w:hAnsi="Arial"/>
          <w:sz w:val="20"/>
          <w:szCs w:val="20"/>
          <w:color w:val="3E3935"/>
        </w:rPr>
        <w:t>To promote political transparency and accountability, GM publishes an annual voluntary report of political contributions. In addition, GM files publicly available federal Lobbying Disclosure Act reports each quarter, which disclose GM’s lobbying expenditures, describe the legislative issues on which we have lobbied, and identify the individuals who lobbied on behalf of GM. GM also files similar periodic reports with state agencies. For the fifth consecutive year, the Center for Political Accountability’s Zicklin Index of Corporate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both"/>
        <w:spacing w:after="0" w:line="230" w:lineRule="auto"/>
        <w:rPr>
          <w:sz w:val="20"/>
          <w:szCs w:val="20"/>
          <w:color w:val="auto"/>
        </w:rPr>
      </w:pPr>
      <w:r>
        <w:rPr>
          <w:rFonts w:ascii="Arial" w:cs="Arial" w:eastAsia="Arial" w:hAnsi="Arial"/>
          <w:sz w:val="20"/>
          <w:szCs w:val="20"/>
          <w:color w:val="3E3935"/>
        </w:rPr>
        <w:t xml:space="preserve">Political Disclosure and Accountability, which benchmarks the political disclosure and accountability policies and practices of leading U.S. public companies, recognized the quality of our disclosures and ranked GM among the First Tier of S&amp;P 500 companies, and in 2022, for the first time, GM received a recognition as a top tier “trendsetter.” You can view our 2022 U.S. Political Engagement Overview, Priorities, and Trade Association Disclosures on our website at </w:t>
      </w:r>
      <w:r>
        <w:rPr>
          <w:rFonts w:ascii="Arial" w:cs="Arial" w:eastAsia="Arial" w:hAnsi="Arial"/>
          <w:sz w:val="20"/>
          <w:szCs w:val="20"/>
          <w:i w:val="1"/>
          <w:iCs w:val="1"/>
          <w:color w:val="00C1DE"/>
        </w:rPr>
        <w:t>investor.gm.com/esg</w:t>
      </w:r>
      <w:r>
        <w:rPr>
          <w:rFonts w:ascii="Arial" w:cs="Arial" w:eastAsia="Arial" w:hAnsi="Arial"/>
          <w:sz w:val="20"/>
          <w:szCs w:val="20"/>
          <w:color w:val="3E3935"/>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-3030855</wp:posOffset>
            </wp:positionH>
            <wp:positionV relativeFrom="paragraph">
              <wp:posOffset>365760</wp:posOffset>
            </wp:positionV>
            <wp:extent cx="5923280" cy="89154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5923280" cy="891540"/>
                    </a:xfrm>
                    <a:prstGeom prst="rect">
                      <a:avLst/>
                    </a:prstGeom>
                    <a:noFill/>
                  </pic:spPr>
                </pic:pic>
              </a:graphicData>
            </a:graphic>
          </wp:anchor>
        </w:drawing>
      </w:r>
    </w:p>
    <w:p>
      <w:pPr>
        <w:spacing w:after="0" w:line="420" w:lineRule="exact"/>
        <w:rPr>
          <w:sz w:val="20"/>
          <w:szCs w:val="20"/>
          <w:color w:val="auto"/>
        </w:rPr>
      </w:pPr>
    </w:p>
    <w:p>
      <w:pPr>
        <w:sectPr>
          <w:pgSz w:w="11900" w:h="16838" w:orient="portrait"/>
          <w:cols w:equalWidth="0" w:num="2">
            <w:col w:w="5400" w:space="340"/>
            <w:col w:w="5400"/>
          </w:cols>
          <w:pgMar w:left="320" w:top="482" w:right="4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10660"/>
        <w:spacing w:after="0"/>
        <w:rPr>
          <w:sz w:val="20"/>
          <w:szCs w:val="20"/>
          <w:color w:val="auto"/>
        </w:rPr>
      </w:pPr>
      <w:r>
        <w:rPr>
          <w:rFonts w:ascii="Arial" w:cs="Arial" w:eastAsia="Arial" w:hAnsi="Arial"/>
          <w:sz w:val="14"/>
          <w:szCs w:val="14"/>
          <w:color w:val="0071CE"/>
        </w:rPr>
        <w:t>41</w:t>
      </w:r>
    </w:p>
    <w:p>
      <w:pPr>
        <w:sectPr>
          <w:pgSz w:w="11900" w:h="16838" w:orient="portrait"/>
          <w:cols w:equalWidth="0" w:num="1">
            <w:col w:w="11140"/>
          </w:cols>
          <w:pgMar w:left="320" w:top="482" w:right="439" w:bottom="1440" w:gutter="0" w:footer="0" w:header="0"/>
          <w:type w:val="continuous"/>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28"/>
          <w:szCs w:val="28"/>
          <w:color w:val="3E3935"/>
        </w:rPr>
        <w:t>Certain Relationships and Related Party Transactions</w:t>
      </w:r>
    </w:p>
    <w:p>
      <w:pPr>
        <w:sectPr>
          <w:pgSz w:w="11900" w:h="16838" w:orient="portrait"/>
          <w:cols w:equalWidth="0" w:num="1">
            <w:col w:w="11140"/>
          </w:cols>
          <w:pgMar w:left="320" w:top="482" w:right="439" w:bottom="1440" w:gutter="0" w:footer="0" w:header="0"/>
        </w:sectPr>
      </w:pPr>
    </w:p>
    <w:p>
      <w:pPr>
        <w:spacing w:after="0" w:line="202" w:lineRule="exact"/>
        <w:rPr>
          <w:sz w:val="20"/>
          <w:szCs w:val="20"/>
          <w:color w:val="auto"/>
        </w:rPr>
      </w:pPr>
    </w:p>
    <w:p>
      <w:pPr>
        <w:jc w:val="both"/>
        <w:ind w:left="120"/>
        <w:spacing w:after="0" w:line="233" w:lineRule="auto"/>
        <w:rPr>
          <w:sz w:val="20"/>
          <w:szCs w:val="20"/>
          <w:color w:val="auto"/>
        </w:rPr>
      </w:pPr>
      <w:r>
        <w:rPr>
          <w:rFonts w:ascii="Arial" w:cs="Arial" w:eastAsia="Arial" w:hAnsi="Arial"/>
          <w:sz w:val="20"/>
          <w:szCs w:val="20"/>
          <w:color w:val="3E3935"/>
        </w:rPr>
        <w:t>Our Code of Conduct requires all of our employees and directors to avoid any activity that is in conflict with our business interests. In addition, the Board has adopted a Related Party Transaction Policy regarding the review and approval of related party transactions, which was updated in December 2021.</w:t>
      </w:r>
    </w:p>
    <w:p>
      <w:pPr>
        <w:spacing w:after="0" w:line="105" w:lineRule="exact"/>
        <w:rPr>
          <w:sz w:val="20"/>
          <w:szCs w:val="20"/>
          <w:color w:val="auto"/>
        </w:rPr>
      </w:pPr>
    </w:p>
    <w:p>
      <w:pPr>
        <w:jc w:val="both"/>
        <w:ind w:left="120"/>
        <w:spacing w:after="0" w:line="230" w:lineRule="auto"/>
        <w:rPr>
          <w:sz w:val="20"/>
          <w:szCs w:val="20"/>
          <w:color w:val="auto"/>
        </w:rPr>
      </w:pPr>
      <w:r>
        <w:rPr>
          <w:rFonts w:ascii="Arial" w:cs="Arial" w:eastAsia="Arial" w:hAnsi="Arial"/>
          <w:sz w:val="20"/>
          <w:szCs w:val="20"/>
          <w:color w:val="3E3935"/>
        </w:rPr>
        <w:t>Under the Related Party Transactions Policy, which is administered by our Governance Committee, directors and executive officers must report any potential related party transactions on an annual basis (including transactions involving immediate family members) to the General Counsel to determine whether the transaction constitutes a related party transaction. If any member of the Governance Committee has a potential interest in any related party transaction, such member is recused and will abstain from voting on the approval of the related party transaction.</w:t>
      </w:r>
    </w:p>
    <w:p>
      <w:pPr>
        <w:spacing w:after="0" w:line="105" w:lineRule="exact"/>
        <w:rPr>
          <w:sz w:val="20"/>
          <w:szCs w:val="20"/>
          <w:color w:val="auto"/>
        </w:rPr>
      </w:pPr>
    </w:p>
    <w:p>
      <w:pPr>
        <w:jc w:val="both"/>
        <w:ind w:left="120"/>
        <w:spacing w:after="0" w:line="257" w:lineRule="auto"/>
        <w:rPr>
          <w:sz w:val="20"/>
          <w:szCs w:val="20"/>
          <w:color w:val="auto"/>
        </w:rPr>
      </w:pPr>
      <w:r>
        <w:rPr>
          <w:rFonts w:ascii="Arial" w:cs="Arial" w:eastAsia="Arial" w:hAnsi="Arial"/>
          <w:sz w:val="20"/>
          <w:szCs w:val="20"/>
          <w:color w:val="3E3935"/>
        </w:rPr>
        <w:t>For purposes of our Related Party Transactions Policy, a related party transaction includes</w:t>
      </w:r>
    </w:p>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jc w:val="both"/>
        <w:spacing w:after="0" w:line="228" w:lineRule="auto"/>
        <w:rPr>
          <w:sz w:val="20"/>
          <w:szCs w:val="20"/>
          <w:color w:val="auto"/>
        </w:rPr>
      </w:pPr>
      <w:r>
        <w:rPr>
          <w:rFonts w:ascii="Arial" w:cs="Arial" w:eastAsia="Arial" w:hAnsi="Arial"/>
          <w:sz w:val="20"/>
          <w:szCs w:val="20"/>
          <w:color w:val="3E3935"/>
        </w:rPr>
        <w:t>transactions in which our Company (or a subsidiary) is a participant, the amount involved exceeds $ 120,000, and the related party has or will have a direct or indirect material interest. Related parties of our Company consist of directors (including nominees for election as directors), executive officers, shareholders beneficially owning more than 5 percent of the Company’s voting securities, and the immediate family members of these individuals. Once a potential related party transaction has been identified, the Governance Committee reviews all of the relevant facts and circumstances and approves or disapproves entry into the transaction. As required under SEC rules, we disclose all related party transactions annually in our proxy statement, even in cases when the arrangements predate a relationship with the director or predate the director’s relationship with the Company. When a transaction is ongoing, the transactions are still reviewed annually for reasonableness and fairness to the Company.</w:t>
      </w:r>
    </w:p>
    <w:p>
      <w:pPr>
        <w:spacing w:after="0" w:line="512" w:lineRule="exact"/>
        <w:rPr>
          <w:sz w:val="20"/>
          <w:szCs w:val="20"/>
          <w:color w:val="auto"/>
        </w:rPr>
      </w:pPr>
    </w:p>
    <w:p>
      <w:pPr>
        <w:sectPr>
          <w:pgSz w:w="11900" w:h="16838" w:orient="portrait"/>
          <w:cols w:equalWidth="0" w:num="2">
            <w:col w:w="5400" w:space="340"/>
            <w:col w:w="5400"/>
          </w:cols>
          <w:pgMar w:left="320" w:top="482" w:right="439" w:bottom="1440" w:gutter="0" w:footer="0" w:header="0"/>
          <w:type w:val="continuous"/>
        </w:sectPr>
      </w:pPr>
    </w:p>
    <w:p>
      <w:pPr>
        <w:spacing w:after="0" w:line="211" w:lineRule="exact"/>
        <w:rPr>
          <w:sz w:val="20"/>
          <w:szCs w:val="20"/>
          <w:color w:val="auto"/>
        </w:rPr>
      </w:pPr>
    </w:p>
    <w:p>
      <w:pPr>
        <w:ind w:left="660" w:hanging="544"/>
        <w:spacing w:after="0"/>
        <w:tabs>
          <w:tab w:leader="none" w:pos="660" w:val="left"/>
        </w:tabs>
        <w:numPr>
          <w:ilvl w:val="0"/>
          <w:numId w:val="66"/>
        </w:numPr>
        <w:rPr>
          <w:rFonts w:ascii="Times New Roman" w:cs="Times New Roman" w:eastAsia="Times New Roman" w:hAnsi="Times New Roman"/>
          <w:sz w:val="19"/>
          <w:szCs w:val="19"/>
          <w:color w:val="0071CE"/>
        </w:rPr>
      </w:pPr>
      <w:r>
        <w:rPr>
          <w:rFonts w:ascii="Arial" w:cs="Arial" w:eastAsia="Arial" w:hAnsi="Arial"/>
          <w:sz w:val="25"/>
          <w:szCs w:val="25"/>
          <w:color w:val="3E3935"/>
        </w:rPr>
        <w:t>Factors Used in Assessing Related Party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174625</wp:posOffset>
            </wp:positionV>
            <wp:extent cx="6995160" cy="150050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995160" cy="1500505"/>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type w:val="continuous"/>
        </w:sectPr>
      </w:pPr>
    </w:p>
    <w:p>
      <w:pPr>
        <w:spacing w:after="0" w:line="328" w:lineRule="exact"/>
        <w:rPr>
          <w:sz w:val="20"/>
          <w:szCs w:val="20"/>
          <w:color w:val="auto"/>
        </w:rPr>
      </w:pPr>
    </w:p>
    <w:p>
      <w:pPr>
        <w:jc w:val="both"/>
        <w:ind w:left="440" w:hanging="215"/>
        <w:spacing w:after="0" w:line="257" w:lineRule="auto"/>
        <w:rPr>
          <w:sz w:val="20"/>
          <w:szCs w:val="20"/>
          <w:color w:val="auto"/>
        </w:rPr>
      </w:pPr>
      <w:r>
        <w:rPr>
          <w:rFonts w:ascii="Arial" w:cs="Arial" w:eastAsia="Arial" w:hAnsi="Arial"/>
          <w:sz w:val="20"/>
          <w:szCs w:val="20"/>
          <w:color w:val="00C1DE"/>
        </w:rPr>
        <w:t>•</w:t>
      </w:r>
      <w:r>
        <w:rPr>
          <w:rFonts w:ascii="Arial" w:cs="Arial" w:eastAsia="Arial" w:hAnsi="Arial"/>
          <w:sz w:val="19"/>
          <w:szCs w:val="19"/>
          <w:color w:val="3E3935"/>
        </w:rPr>
        <w:t xml:space="preserve">  Whether the terms of the related party transaction are fair</w:t>
      </w:r>
      <w:r>
        <w:rPr>
          <w:rFonts w:ascii="Arial" w:cs="Arial" w:eastAsia="Arial" w:hAnsi="Arial"/>
          <w:sz w:val="20"/>
          <w:szCs w:val="20"/>
          <w:color w:val="00C1DE"/>
        </w:rPr>
        <w:t xml:space="preserve"> </w:t>
      </w:r>
      <w:r>
        <w:rPr>
          <w:rFonts w:ascii="Arial" w:cs="Arial" w:eastAsia="Arial" w:hAnsi="Arial"/>
          <w:sz w:val="19"/>
          <w:szCs w:val="19"/>
          <w:color w:val="3E3935"/>
        </w:rPr>
        <w:t>to the Company and on the same basis as if the transaction had occurred on an arm’s-length basis;</w:t>
      </w:r>
    </w:p>
    <w:p>
      <w:pPr>
        <w:spacing w:after="0" w:line="28" w:lineRule="exact"/>
        <w:rPr>
          <w:sz w:val="20"/>
          <w:szCs w:val="20"/>
          <w:color w:val="auto"/>
        </w:rPr>
      </w:pPr>
    </w:p>
    <w:p>
      <w:pPr>
        <w:jc w:val="both"/>
        <w:ind w:left="440" w:hanging="215"/>
        <w:spacing w:after="0" w:line="251" w:lineRule="auto"/>
        <w:rPr>
          <w:sz w:val="20"/>
          <w:szCs w:val="20"/>
          <w:color w:val="auto"/>
        </w:rPr>
      </w:pPr>
      <w:r>
        <w:rPr>
          <w:rFonts w:ascii="Arial" w:cs="Arial" w:eastAsia="Arial" w:hAnsi="Arial"/>
          <w:sz w:val="20"/>
          <w:szCs w:val="20"/>
          <w:color w:val="00C1DE"/>
        </w:rPr>
        <w:t>•</w:t>
      </w:r>
      <w:r>
        <w:rPr>
          <w:rFonts w:ascii="Arial" w:cs="Arial" w:eastAsia="Arial" w:hAnsi="Arial"/>
          <w:sz w:val="19"/>
          <w:szCs w:val="19"/>
          <w:color w:val="3E3935"/>
        </w:rPr>
        <w:t xml:space="preserve">  Whether there are any compelling business reasons for the</w:t>
      </w:r>
      <w:r>
        <w:rPr>
          <w:rFonts w:ascii="Arial" w:cs="Arial" w:eastAsia="Arial" w:hAnsi="Arial"/>
          <w:sz w:val="20"/>
          <w:szCs w:val="20"/>
          <w:color w:val="00C1DE"/>
        </w:rPr>
        <w:t xml:space="preserve"> </w:t>
      </w:r>
      <w:r>
        <w:rPr>
          <w:rFonts w:ascii="Arial" w:cs="Arial" w:eastAsia="Arial" w:hAnsi="Arial"/>
          <w:sz w:val="19"/>
          <w:szCs w:val="19"/>
          <w:color w:val="3E3935"/>
        </w:rPr>
        <w:t>Company to enter into the related party transaction and the nature of alternative transactions, if any;</w:t>
      </w:r>
    </w:p>
    <w:p>
      <w:pPr>
        <w:spacing w:after="0" w:line="33" w:lineRule="exact"/>
        <w:rPr>
          <w:sz w:val="20"/>
          <w:szCs w:val="20"/>
          <w:color w:val="auto"/>
        </w:rPr>
      </w:pPr>
    </w:p>
    <w:p>
      <w:pPr>
        <w:jc w:val="both"/>
        <w:ind w:left="440" w:hanging="215"/>
        <w:spacing w:after="0" w:line="257" w:lineRule="auto"/>
        <w:rPr>
          <w:sz w:val="20"/>
          <w:szCs w:val="20"/>
          <w:color w:val="auto"/>
        </w:rPr>
      </w:pPr>
      <w:r>
        <w:rPr>
          <w:rFonts w:ascii="Arial" w:cs="Arial" w:eastAsia="Arial" w:hAnsi="Arial"/>
          <w:sz w:val="20"/>
          <w:szCs w:val="20"/>
          <w:color w:val="00C1DE"/>
        </w:rPr>
        <w:t>•</w:t>
      </w:r>
      <w:r>
        <w:rPr>
          <w:rFonts w:ascii="Arial" w:cs="Arial" w:eastAsia="Arial" w:hAnsi="Arial"/>
          <w:sz w:val="19"/>
          <w:szCs w:val="19"/>
          <w:color w:val="3E3935"/>
        </w:rPr>
        <w:t xml:space="preserve">  Whether grants or contributions made by the Company</w:t>
      </w:r>
      <w:r>
        <w:rPr>
          <w:rFonts w:ascii="Arial" w:cs="Arial" w:eastAsia="Arial" w:hAnsi="Arial"/>
          <w:sz w:val="20"/>
          <w:szCs w:val="20"/>
          <w:color w:val="00C1DE"/>
        </w:rPr>
        <w:t xml:space="preserve"> </w:t>
      </w:r>
      <w:r>
        <w:rPr>
          <w:rFonts w:ascii="Arial" w:cs="Arial" w:eastAsia="Arial" w:hAnsi="Arial"/>
          <w:sz w:val="19"/>
          <w:szCs w:val="19"/>
          <w:color w:val="3E3935"/>
        </w:rPr>
        <w:t>under one of its grant programs are in accordance with the Company’s corporate contribution guidelines;</w:t>
      </w:r>
    </w:p>
    <w:p>
      <w:pPr>
        <w:spacing w:after="0" w:line="20" w:lineRule="exact"/>
        <w:rPr>
          <w:sz w:val="20"/>
          <w:szCs w:val="20"/>
          <w:color w:val="auto"/>
        </w:rPr>
      </w:pPr>
      <w:r>
        <w:rPr>
          <w:sz w:val="20"/>
          <w:szCs w:val="20"/>
          <w:color w:val="auto"/>
        </w:rPr>
        <w:br w:type="column"/>
      </w:r>
    </w:p>
    <w:p>
      <w:pPr>
        <w:spacing w:after="0" w:line="308" w:lineRule="exact"/>
        <w:rPr>
          <w:sz w:val="20"/>
          <w:szCs w:val="20"/>
          <w:color w:val="auto"/>
        </w:rPr>
      </w:pPr>
    </w:p>
    <w:p>
      <w:pPr>
        <w:jc w:val="both"/>
        <w:ind w:right="120" w:hanging="215"/>
        <w:spacing w:after="0" w:line="246" w:lineRule="auto"/>
        <w:rPr>
          <w:sz w:val="20"/>
          <w:szCs w:val="20"/>
          <w:color w:val="auto"/>
        </w:rPr>
      </w:pPr>
      <w:r>
        <w:rPr>
          <w:rFonts w:ascii="Arial" w:cs="Arial" w:eastAsia="Arial" w:hAnsi="Arial"/>
          <w:sz w:val="20"/>
          <w:szCs w:val="20"/>
          <w:color w:val="00C1DE"/>
        </w:rPr>
        <w:t>•</w:t>
      </w:r>
      <w:r>
        <w:rPr>
          <w:rFonts w:ascii="Arial" w:cs="Arial" w:eastAsia="Arial" w:hAnsi="Arial"/>
          <w:sz w:val="19"/>
          <w:szCs w:val="19"/>
          <w:color w:val="3E3935"/>
        </w:rPr>
        <w:t xml:space="preserve">  Whether the related party transaction would impair the</w:t>
      </w:r>
      <w:r>
        <w:rPr>
          <w:rFonts w:ascii="Arial" w:cs="Arial" w:eastAsia="Arial" w:hAnsi="Arial"/>
          <w:sz w:val="20"/>
          <w:szCs w:val="20"/>
          <w:color w:val="00C1DE"/>
        </w:rPr>
        <w:t xml:space="preserve"> </w:t>
      </w:r>
      <w:r>
        <w:rPr>
          <w:rFonts w:ascii="Arial" w:cs="Arial" w:eastAsia="Arial" w:hAnsi="Arial"/>
          <w:sz w:val="19"/>
          <w:szCs w:val="19"/>
          <w:color w:val="3E3935"/>
        </w:rPr>
        <w:t>independence of an otherwise independent director; and</w:t>
      </w:r>
    </w:p>
    <w:p>
      <w:pPr>
        <w:spacing w:after="0" w:line="271" w:lineRule="exact"/>
        <w:rPr>
          <w:sz w:val="20"/>
          <w:szCs w:val="20"/>
          <w:color w:val="auto"/>
        </w:rPr>
      </w:pPr>
    </w:p>
    <w:p>
      <w:pPr>
        <w:jc w:val="both"/>
        <w:ind w:right="120" w:hanging="215"/>
        <w:spacing w:after="0" w:line="242" w:lineRule="auto"/>
        <w:rPr>
          <w:sz w:val="20"/>
          <w:szCs w:val="20"/>
          <w:color w:val="auto"/>
        </w:rPr>
      </w:pPr>
      <w:r>
        <w:rPr>
          <w:rFonts w:ascii="Arial" w:cs="Arial" w:eastAsia="Arial" w:hAnsi="Arial"/>
          <w:sz w:val="20"/>
          <w:szCs w:val="20"/>
          <w:color w:val="00C1DE"/>
        </w:rPr>
        <w:t>•</w:t>
      </w:r>
      <w:r>
        <w:rPr>
          <w:rFonts w:ascii="Arial" w:cs="Arial" w:eastAsia="Arial" w:hAnsi="Arial"/>
          <w:sz w:val="19"/>
          <w:szCs w:val="19"/>
          <w:color w:val="3E3935"/>
        </w:rPr>
        <w:t xml:space="preserve">  Whether the related party transaction would present an</w:t>
      </w:r>
      <w:r>
        <w:rPr>
          <w:rFonts w:ascii="Arial" w:cs="Arial" w:eastAsia="Arial" w:hAnsi="Arial"/>
          <w:sz w:val="20"/>
          <w:szCs w:val="20"/>
          <w:color w:val="00C1DE"/>
        </w:rPr>
        <w:t xml:space="preserve"> </w:t>
      </w:r>
      <w:r>
        <w:rPr>
          <w:rFonts w:ascii="Arial" w:cs="Arial" w:eastAsia="Arial" w:hAnsi="Arial"/>
          <w:sz w:val="19"/>
          <w:szCs w:val="19"/>
          <w:color w:val="3E3935"/>
        </w:rPr>
        <w:t>improper conflict of interest for any director or executive officer of the Company, taking into account the specific facts and circumstances of such transaction.</w:t>
      </w:r>
    </w:p>
    <w:p>
      <w:pPr>
        <w:spacing w:after="0" w:line="752" w:lineRule="exact"/>
        <w:rPr>
          <w:sz w:val="20"/>
          <w:szCs w:val="20"/>
          <w:color w:val="auto"/>
        </w:rPr>
      </w:pPr>
    </w:p>
    <w:p>
      <w:pPr>
        <w:sectPr>
          <w:pgSz w:w="11900" w:h="16838" w:orient="portrait"/>
          <w:cols w:equalWidth="0" w:num="2">
            <w:col w:w="5600" w:space="580"/>
            <w:col w:w="4960"/>
          </w:cols>
          <w:pgMar w:left="320" w:top="482" w:right="439" w:bottom="1440" w:gutter="0" w:footer="0" w:header="0"/>
          <w:type w:val="continuous"/>
        </w:sectPr>
      </w:pPr>
    </w:p>
    <w:p>
      <w:pPr>
        <w:spacing w:after="0" w:line="49" w:lineRule="exact"/>
        <w:rPr>
          <w:sz w:val="20"/>
          <w:szCs w:val="20"/>
          <w:color w:val="auto"/>
        </w:rPr>
      </w:pPr>
    </w:p>
    <w:p>
      <w:pPr>
        <w:ind w:left="120"/>
        <w:spacing w:after="0"/>
        <w:rPr>
          <w:sz w:val="20"/>
          <w:szCs w:val="20"/>
          <w:color w:val="auto"/>
        </w:rPr>
      </w:pPr>
      <w:r>
        <w:rPr>
          <w:rFonts w:ascii="Arial" w:cs="Arial" w:eastAsia="Arial" w:hAnsi="Arial"/>
          <w:sz w:val="14"/>
          <w:szCs w:val="14"/>
          <w:color w:val="0071CE"/>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wp:posOffset>
            </wp:positionH>
            <wp:positionV relativeFrom="paragraph">
              <wp:posOffset>-95885</wp:posOffset>
            </wp:positionV>
            <wp:extent cx="5983605" cy="10287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5983605" cy="102870"/>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type w:val="continuous"/>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305" w:lineRule="exact"/>
        <w:rPr>
          <w:sz w:val="20"/>
          <w:szCs w:val="20"/>
          <w:color w:val="auto"/>
        </w:rPr>
      </w:pPr>
    </w:p>
    <w:p>
      <w:pPr>
        <w:ind w:left="660" w:hanging="544"/>
        <w:spacing w:after="0"/>
        <w:tabs>
          <w:tab w:leader="none" w:pos="660" w:val="left"/>
        </w:tabs>
        <w:numPr>
          <w:ilvl w:val="0"/>
          <w:numId w:val="67"/>
        </w:numPr>
        <w:rPr>
          <w:rFonts w:ascii="Times New Roman" w:cs="Times New Roman" w:eastAsia="Times New Roman" w:hAnsi="Times New Roman"/>
          <w:sz w:val="19"/>
          <w:szCs w:val="19"/>
          <w:color w:val="0071CE"/>
        </w:rPr>
      </w:pPr>
      <w:r>
        <w:rPr>
          <w:rFonts w:ascii="Arial" w:cs="Arial" w:eastAsia="Arial" w:hAnsi="Arial"/>
          <w:sz w:val="25"/>
          <w:szCs w:val="25"/>
          <w:color w:val="3E3935"/>
        </w:rPr>
        <w:t>2022 Related Party Transactions</w:t>
      </w:r>
    </w:p>
    <w:p>
      <w:pPr>
        <w:spacing w:after="0" w:line="186" w:lineRule="exact"/>
        <w:rPr>
          <w:sz w:val="20"/>
          <w:szCs w:val="20"/>
          <w:color w:val="auto"/>
        </w:rPr>
      </w:pPr>
    </w:p>
    <w:p>
      <w:pPr>
        <w:jc w:val="both"/>
        <w:ind w:left="120"/>
        <w:spacing w:after="0" w:line="231" w:lineRule="auto"/>
        <w:rPr>
          <w:sz w:val="20"/>
          <w:szCs w:val="20"/>
          <w:color w:val="auto"/>
        </w:rPr>
      </w:pPr>
      <w:r>
        <w:rPr>
          <w:rFonts w:ascii="Arial" w:cs="Arial" w:eastAsia="Arial" w:hAnsi="Arial"/>
          <w:sz w:val="20"/>
          <w:szCs w:val="20"/>
          <w:color w:val="3E3935"/>
        </w:rPr>
        <w:t>In 2022, two holders of 5 percent or more of the Company’s common stock (BlackRock, Inc. and The Vanguard Group) provided investment management services to Company-sponsored pension plans. In addition, in 2022, GM entered into a real estate contract for design studio space in the United Kingdom that is owned by BlackRock. The contract value is under $5 million for the duration of the ten-year lease.</w:t>
      </w:r>
    </w:p>
    <w:p>
      <w:pPr>
        <w:spacing w:after="0" w:line="106" w:lineRule="exact"/>
        <w:rPr>
          <w:sz w:val="20"/>
          <w:szCs w:val="20"/>
          <w:color w:val="auto"/>
        </w:rPr>
      </w:pPr>
    </w:p>
    <w:p>
      <w:pPr>
        <w:jc w:val="both"/>
        <w:ind w:left="120"/>
        <w:spacing w:after="0" w:line="230" w:lineRule="auto"/>
        <w:rPr>
          <w:sz w:val="20"/>
          <w:szCs w:val="20"/>
          <w:color w:val="auto"/>
        </w:rPr>
      </w:pPr>
      <w:r>
        <w:rPr>
          <w:rFonts w:ascii="Arial" w:cs="Arial" w:eastAsia="Arial" w:hAnsi="Arial"/>
          <w:sz w:val="20"/>
          <w:szCs w:val="20"/>
          <w:color w:val="3E3935"/>
        </w:rPr>
        <w:t>The SEC has identified employment of immediate family members of directors and executive officers as per-se related party transactions and subject to disclosure if the $120,000 threshold is met. In 2022, the following immediate family members of executive officers were employed by General Motors or its subsidiaries and had total compensation in excess of $120,000: the daughter of Mark L. Reuss, our President, is employed by GM in the Marketing organization;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both"/>
        <w:spacing w:after="0" w:line="232" w:lineRule="auto"/>
        <w:rPr>
          <w:sz w:val="20"/>
          <w:szCs w:val="20"/>
          <w:color w:val="auto"/>
        </w:rPr>
      </w:pPr>
      <w:r>
        <w:rPr>
          <w:rFonts w:ascii="Arial" w:cs="Arial" w:eastAsia="Arial" w:hAnsi="Arial"/>
          <w:sz w:val="20"/>
          <w:szCs w:val="20"/>
          <w:color w:val="3E3935"/>
        </w:rPr>
        <w:t>the wife of Julian Blissett, our Executive Vice President and President, GM China, is employed by GM in the Global Manufacturing organization; and the son of Craig B. Glidden, our Executive Vice President, Legal, Public Policy, Cybersecurity, Strategic Technology Initiatives, General Counsel, and Corporate Secretary, is employed by Cruise as a Manager, Reliability and Lifecycle Planning.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-3651885</wp:posOffset>
            </wp:positionH>
            <wp:positionV relativeFrom="paragraph">
              <wp:posOffset>-1831340</wp:posOffset>
            </wp:positionV>
            <wp:extent cx="7174865" cy="5588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p>
    <w:p>
      <w:pPr>
        <w:spacing w:after="0" w:line="84" w:lineRule="exact"/>
        <w:rPr>
          <w:sz w:val="20"/>
          <w:szCs w:val="20"/>
          <w:color w:val="auto"/>
        </w:rPr>
      </w:pPr>
    </w:p>
    <w:p>
      <w:pPr>
        <w:jc w:val="both"/>
        <w:spacing w:after="0" w:line="230" w:lineRule="auto"/>
        <w:rPr>
          <w:sz w:val="20"/>
          <w:szCs w:val="20"/>
          <w:color w:val="auto"/>
        </w:rPr>
      </w:pPr>
      <w:r>
        <w:rPr>
          <w:rFonts w:ascii="Arial" w:cs="Arial" w:eastAsia="Arial" w:hAnsi="Arial"/>
          <w:sz w:val="20"/>
          <w:szCs w:val="20"/>
          <w:color w:val="3E3935"/>
        </w:rPr>
        <w:t>NEOs may be eligible to reimburse personal travel expenses pursuant to time-sharing agreements that the Company may enter into from time to time, subject to Federal Aviation Administration regulations. In 2022, pursuant to such an agreement, Mr. Reuss reimbursed the Company $223,256 for his personal use of corporate aircraft, including certain taxes. For additional information about NEO’s personal use of corporate aircraft, see page 60 under “Perquisites and Other Compensation.”</w:t>
      </w:r>
    </w:p>
    <w:p>
      <w:pPr>
        <w:spacing w:after="0" w:line="200" w:lineRule="exact"/>
        <w:rPr>
          <w:sz w:val="20"/>
          <w:szCs w:val="20"/>
          <w:color w:val="auto"/>
        </w:rPr>
      </w:pPr>
    </w:p>
    <w:p>
      <w:pPr>
        <w:spacing w:after="0" w:line="286" w:lineRule="exact"/>
        <w:rPr>
          <w:sz w:val="20"/>
          <w:szCs w:val="20"/>
          <w:color w:val="auto"/>
        </w:rPr>
      </w:pPr>
    </w:p>
    <w:p>
      <w:pPr>
        <w:ind w:left="4920"/>
        <w:spacing w:after="0"/>
        <w:rPr>
          <w:sz w:val="20"/>
          <w:szCs w:val="20"/>
          <w:color w:val="auto"/>
        </w:rPr>
      </w:pPr>
      <w:r>
        <w:rPr>
          <w:rFonts w:ascii="Arial" w:cs="Arial" w:eastAsia="Arial" w:hAnsi="Arial"/>
          <w:sz w:val="14"/>
          <w:szCs w:val="14"/>
          <w:color w:val="0071CE"/>
        </w:rPr>
        <w:t>43</w:t>
      </w:r>
    </w:p>
    <w:p>
      <w:pPr>
        <w:sectPr>
          <w:pgSz w:w="11900" w:h="16838" w:orient="portrait"/>
          <w:cols w:equalWidth="0" w:num="2">
            <w:col w:w="5400" w:space="340"/>
            <w:col w:w="5380"/>
          </w:cols>
          <w:pgMar w:left="320" w:top="482" w:right="45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98" w:lineRule="exact"/>
        <w:rPr>
          <w:sz w:val="20"/>
          <w:szCs w:val="20"/>
          <w:color w:val="auto"/>
        </w:rPr>
      </w:pPr>
    </w:p>
    <w:p>
      <w:pPr>
        <w:ind w:left="120"/>
        <w:spacing w:after="0"/>
        <w:rPr>
          <w:sz w:val="20"/>
          <w:szCs w:val="20"/>
          <w:color w:val="auto"/>
        </w:rPr>
      </w:pPr>
      <w:r>
        <w:rPr>
          <w:rFonts w:ascii="Arial" w:cs="Arial" w:eastAsia="Arial" w:hAnsi="Arial"/>
          <w:sz w:val="32"/>
          <w:szCs w:val="32"/>
          <w:b w:val="1"/>
          <w:bCs w:val="1"/>
          <w:color w:val="0071CE"/>
        </w:rPr>
        <w:t>SECURITY OWNERSHIP INFORMATION</w:t>
      </w:r>
    </w:p>
    <w:p>
      <w:pPr>
        <w:spacing w:after="0" w:line="157" w:lineRule="exact"/>
        <w:rPr>
          <w:sz w:val="20"/>
          <w:szCs w:val="20"/>
          <w:color w:val="auto"/>
        </w:rPr>
      </w:pPr>
    </w:p>
    <w:p>
      <w:pPr>
        <w:ind w:left="120" w:right="1040"/>
        <w:spacing w:after="0" w:line="276" w:lineRule="auto"/>
        <w:rPr>
          <w:sz w:val="20"/>
          <w:szCs w:val="20"/>
          <w:color w:val="auto"/>
        </w:rPr>
      </w:pPr>
      <w:r>
        <w:rPr>
          <w:rFonts w:ascii="Arial" w:cs="Arial" w:eastAsia="Arial" w:hAnsi="Arial"/>
          <w:sz w:val="29"/>
          <w:szCs w:val="29"/>
          <w:color w:val="3E3935"/>
        </w:rPr>
        <w:t>Security Ownership of Directors, Named Executive Officers, and Certain Other Beneficial Owners</w:t>
      </w:r>
    </w:p>
    <w:p>
      <w:pPr>
        <w:spacing w:after="0" w:line="67" w:lineRule="exact"/>
        <w:rPr>
          <w:sz w:val="20"/>
          <w:szCs w:val="20"/>
          <w:color w:val="auto"/>
        </w:rPr>
      </w:pPr>
    </w:p>
    <w:p>
      <w:pPr>
        <w:jc w:val="both"/>
        <w:ind w:left="120"/>
        <w:spacing w:after="0" w:line="232" w:lineRule="auto"/>
        <w:rPr>
          <w:sz w:val="20"/>
          <w:szCs w:val="20"/>
          <w:color w:val="auto"/>
        </w:rPr>
      </w:pPr>
      <w:r>
        <w:rPr>
          <w:rFonts w:ascii="Arial" w:cs="Arial" w:eastAsia="Arial" w:hAnsi="Arial"/>
          <w:sz w:val="20"/>
          <w:szCs w:val="20"/>
          <w:color w:val="3E3935"/>
        </w:rPr>
        <w:t>The following table and accompanying footnotes show information regarding the beneficial ownership of GM’s issued and outstanding common stock by (i) each of our directors and NEOs, and all directors and executive officers as a group, in each case as of March 31, 2023, and (ii) each person known by us to beneficially own more than 5 percent of our issued and outstanding common stock as of the dates indicated in the footnotes. All directors and executive officers have sole voting and dispositive power over their shares, and none of the shares shown as beneficially owned by directors and executive officers are pledged as security for any obligation. The Percentage of Outstanding Shares is based on 1,390,070,034 shares issued and outstanding as of March 31, 2023.</w:t>
      </w:r>
    </w:p>
    <w:p>
      <w:pPr>
        <w:spacing w:after="0" w:line="200" w:lineRule="exact"/>
        <w:rPr>
          <w:sz w:val="20"/>
          <w:szCs w:val="20"/>
          <w:color w:val="auto"/>
        </w:rPr>
      </w:pPr>
    </w:p>
    <w:tbl>
      <w:tblPr>
        <w:tblLayout w:type="fixed"/>
        <w:tblInd w:w="120" w:type="dxa"/>
        <w:tblCellMar>
          <w:top w:w="0" w:type="dxa"/>
          <w:left w:w="0" w:type="dxa"/>
          <w:bottom w:w="0" w:type="dxa"/>
          <w:right w:w="0" w:type="dxa"/>
        </w:tblCellMar>
      </w:tblPr>
      <w:tr>
        <w:trPr>
          <w:trHeight w:val="211"/>
        </w:trPr>
        <w:tc>
          <w:tcPr>
            <w:tcW w:w="5640" w:type="dxa"/>
            <w:vAlign w:val="bottom"/>
            <w:tcBorders>
              <w:top w:val="single" w:sz="8" w:color="00C1DE"/>
            </w:tcBorders>
          </w:tcPr>
          <w:p>
            <w:pPr>
              <w:spacing w:after="0"/>
              <w:rPr>
                <w:sz w:val="18"/>
                <w:szCs w:val="18"/>
                <w:color w:val="auto"/>
              </w:rPr>
            </w:pPr>
          </w:p>
        </w:tc>
        <w:tc>
          <w:tcPr>
            <w:tcW w:w="3900" w:type="dxa"/>
            <w:vAlign w:val="bottom"/>
            <w:tcBorders>
              <w:top w:val="single" w:sz="8" w:color="00C1DE"/>
            </w:tcBorders>
          </w:tcPr>
          <w:p>
            <w:pPr>
              <w:jc w:val="right"/>
              <w:ind w:right="597"/>
              <w:spacing w:after="0"/>
              <w:rPr>
                <w:sz w:val="20"/>
                <w:szCs w:val="20"/>
                <w:color w:val="auto"/>
              </w:rPr>
            </w:pPr>
            <w:r>
              <w:rPr>
                <w:rFonts w:ascii="Arial" w:cs="Arial" w:eastAsia="Arial" w:hAnsi="Arial"/>
                <w:sz w:val="18"/>
                <w:szCs w:val="18"/>
                <w:b w:val="1"/>
                <w:bCs w:val="1"/>
                <w:color w:val="00C1DE"/>
              </w:rPr>
              <w:t>Shares of Common</w:t>
            </w:r>
          </w:p>
        </w:tc>
        <w:tc>
          <w:tcPr>
            <w:tcW w:w="1480" w:type="dxa"/>
            <w:vAlign w:val="bottom"/>
            <w:tcBorders>
              <w:top w:val="single" w:sz="8" w:color="00C1DE"/>
            </w:tcBorders>
          </w:tcPr>
          <w:p>
            <w:pPr>
              <w:jc w:val="right"/>
              <w:spacing w:after="0"/>
              <w:rPr>
                <w:sz w:val="20"/>
                <w:szCs w:val="20"/>
                <w:color w:val="auto"/>
              </w:rPr>
            </w:pPr>
            <w:r>
              <w:rPr>
                <w:rFonts w:ascii="Arial" w:cs="Arial" w:eastAsia="Arial" w:hAnsi="Arial"/>
                <w:sz w:val="18"/>
                <w:szCs w:val="18"/>
                <w:b w:val="1"/>
                <w:bCs w:val="1"/>
                <w:color w:val="00C1DE"/>
              </w:rPr>
              <w:t>Percentage of</w:t>
            </w:r>
          </w:p>
        </w:tc>
      </w:tr>
      <w:tr>
        <w:trPr>
          <w:trHeight w:val="203"/>
        </w:trPr>
        <w:tc>
          <w:tcPr>
            <w:tcW w:w="5640" w:type="dxa"/>
            <w:vAlign w:val="bottom"/>
          </w:tcPr>
          <w:p>
            <w:pPr>
              <w:spacing w:after="0"/>
              <w:rPr>
                <w:sz w:val="17"/>
                <w:szCs w:val="17"/>
                <w:color w:val="auto"/>
              </w:rPr>
            </w:pPr>
          </w:p>
        </w:tc>
        <w:tc>
          <w:tcPr>
            <w:tcW w:w="3900" w:type="dxa"/>
            <w:vAlign w:val="bottom"/>
          </w:tcPr>
          <w:p>
            <w:pPr>
              <w:jc w:val="right"/>
              <w:ind w:right="597"/>
              <w:spacing w:after="0" w:line="202" w:lineRule="exact"/>
              <w:rPr>
                <w:sz w:val="20"/>
                <w:szCs w:val="20"/>
                <w:color w:val="auto"/>
              </w:rPr>
            </w:pPr>
            <w:r>
              <w:rPr>
                <w:rFonts w:ascii="Arial" w:cs="Arial" w:eastAsia="Arial" w:hAnsi="Arial"/>
                <w:sz w:val="18"/>
                <w:szCs w:val="18"/>
                <w:b w:val="1"/>
                <w:bCs w:val="1"/>
                <w:color w:val="00C1DE"/>
              </w:rPr>
              <w:t>Stock Beneficially</w:t>
            </w:r>
          </w:p>
        </w:tc>
        <w:tc>
          <w:tcPr>
            <w:tcW w:w="1480" w:type="dxa"/>
            <w:vAlign w:val="bottom"/>
          </w:tcPr>
          <w:p>
            <w:pPr>
              <w:jc w:val="center"/>
              <w:ind w:left="210"/>
              <w:spacing w:after="0" w:line="202" w:lineRule="exact"/>
              <w:rPr>
                <w:sz w:val="20"/>
                <w:szCs w:val="20"/>
                <w:color w:val="auto"/>
              </w:rPr>
            </w:pPr>
            <w:r>
              <w:rPr>
                <w:rFonts w:ascii="Arial" w:cs="Arial" w:eastAsia="Arial" w:hAnsi="Arial"/>
                <w:sz w:val="18"/>
                <w:szCs w:val="18"/>
                <w:b w:val="1"/>
                <w:bCs w:val="1"/>
                <w:color w:val="00C1DE"/>
                <w:w w:val="99"/>
              </w:rPr>
              <w:t>Outstanding</w:t>
            </w:r>
          </w:p>
        </w:tc>
      </w:tr>
      <w:tr>
        <w:trPr>
          <w:trHeight w:val="247"/>
        </w:trPr>
        <w:tc>
          <w:tcPr>
            <w:tcW w:w="5640" w:type="dxa"/>
            <w:vAlign w:val="bottom"/>
          </w:tcPr>
          <w:p>
            <w:pPr>
              <w:spacing w:after="0"/>
              <w:rPr>
                <w:sz w:val="20"/>
                <w:szCs w:val="20"/>
                <w:color w:val="auto"/>
              </w:rPr>
            </w:pPr>
            <w:r>
              <w:rPr>
                <w:rFonts w:ascii="Arial" w:cs="Arial" w:eastAsia="Arial" w:hAnsi="Arial"/>
                <w:sz w:val="18"/>
                <w:szCs w:val="18"/>
                <w:b w:val="1"/>
                <w:bCs w:val="1"/>
                <w:color w:val="00C1DE"/>
              </w:rPr>
              <w:t>Name</w:t>
            </w:r>
          </w:p>
        </w:tc>
        <w:tc>
          <w:tcPr>
            <w:tcW w:w="3900" w:type="dxa"/>
            <w:vAlign w:val="bottom"/>
          </w:tcPr>
          <w:p>
            <w:pPr>
              <w:jc w:val="right"/>
              <w:ind w:right="597"/>
              <w:spacing w:after="0"/>
              <w:rPr>
                <w:sz w:val="20"/>
                <w:szCs w:val="20"/>
                <w:color w:val="auto"/>
              </w:rPr>
            </w:pPr>
            <w:r>
              <w:rPr>
                <w:rFonts w:ascii="Arial" w:cs="Arial" w:eastAsia="Arial" w:hAnsi="Arial"/>
                <w:sz w:val="18"/>
                <w:szCs w:val="18"/>
                <w:b w:val="1"/>
                <w:bCs w:val="1"/>
                <w:color w:val="00C1DE"/>
              </w:rPr>
              <w:t>Owned</w:t>
            </w:r>
          </w:p>
        </w:tc>
        <w:tc>
          <w:tcPr>
            <w:tcW w:w="1480" w:type="dxa"/>
            <w:vAlign w:val="bottom"/>
          </w:tcPr>
          <w:p>
            <w:pPr>
              <w:jc w:val="right"/>
              <w:spacing w:after="0"/>
              <w:rPr>
                <w:sz w:val="20"/>
                <w:szCs w:val="20"/>
                <w:color w:val="auto"/>
              </w:rPr>
            </w:pPr>
            <w:r>
              <w:rPr>
                <w:rFonts w:ascii="Arial" w:cs="Arial" w:eastAsia="Arial" w:hAnsi="Arial"/>
                <w:sz w:val="18"/>
                <w:szCs w:val="18"/>
                <w:b w:val="1"/>
                <w:bCs w:val="1"/>
                <w:color w:val="00C1DE"/>
              </w:rPr>
              <w:t>Shares</w:t>
            </w:r>
          </w:p>
        </w:tc>
      </w:tr>
      <w:tr>
        <w:trPr>
          <w:trHeight w:val="56"/>
        </w:trPr>
        <w:tc>
          <w:tcPr>
            <w:tcW w:w="5640" w:type="dxa"/>
            <w:vAlign w:val="bottom"/>
            <w:tcBorders>
              <w:bottom w:val="single" w:sz="8" w:color="00C1DE"/>
            </w:tcBorders>
          </w:tcPr>
          <w:p>
            <w:pPr>
              <w:spacing w:after="0"/>
              <w:rPr>
                <w:sz w:val="4"/>
                <w:szCs w:val="4"/>
                <w:color w:val="auto"/>
              </w:rPr>
            </w:pPr>
          </w:p>
        </w:tc>
        <w:tc>
          <w:tcPr>
            <w:tcW w:w="3900" w:type="dxa"/>
            <w:vAlign w:val="bottom"/>
            <w:tcBorders>
              <w:bottom w:val="single" w:sz="8" w:color="00C1DE"/>
            </w:tcBorders>
          </w:tcPr>
          <w:p>
            <w:pPr>
              <w:spacing w:after="0"/>
              <w:rPr>
                <w:sz w:val="4"/>
                <w:szCs w:val="4"/>
                <w:color w:val="auto"/>
              </w:rPr>
            </w:pPr>
          </w:p>
        </w:tc>
        <w:tc>
          <w:tcPr>
            <w:tcW w:w="1480" w:type="dxa"/>
            <w:vAlign w:val="bottom"/>
            <w:tcBorders>
              <w:bottom w:val="single" w:sz="8" w:color="00C1DE"/>
            </w:tcBorders>
          </w:tcPr>
          <w:p>
            <w:pPr>
              <w:spacing w:after="0"/>
              <w:rPr>
                <w:sz w:val="4"/>
                <w:szCs w:val="4"/>
                <w:color w:val="auto"/>
              </w:rPr>
            </w:pPr>
          </w:p>
        </w:tc>
      </w:tr>
      <w:tr>
        <w:trPr>
          <w:trHeight w:val="344"/>
        </w:trPr>
        <w:tc>
          <w:tcPr>
            <w:tcW w:w="5640" w:type="dxa"/>
            <w:vAlign w:val="bottom"/>
            <w:tcBorders>
              <w:bottom w:val="single" w:sz="8" w:color="3E3935"/>
            </w:tcBorders>
            <w:shd w:val="clear" w:color="auto" w:fill="EAFAFC"/>
          </w:tcPr>
          <w:p>
            <w:pPr>
              <w:ind w:left="80"/>
              <w:spacing w:after="0"/>
              <w:rPr>
                <w:sz w:val="20"/>
                <w:szCs w:val="20"/>
                <w:color w:val="auto"/>
              </w:rPr>
            </w:pPr>
            <w:r>
              <w:rPr>
                <w:rFonts w:ascii="Arial" w:cs="Arial" w:eastAsia="Arial" w:hAnsi="Arial"/>
                <w:sz w:val="18"/>
                <w:szCs w:val="18"/>
                <w:b w:val="1"/>
                <w:bCs w:val="1"/>
                <w:color w:val="3E3935"/>
              </w:rPr>
              <w:t>Non-Employee Directors</w:t>
            </w:r>
            <w:r>
              <w:rPr>
                <w:rFonts w:ascii="Arial" w:cs="Arial" w:eastAsia="Arial" w:hAnsi="Arial"/>
                <w:sz w:val="26"/>
                <w:szCs w:val="26"/>
                <w:b w:val="1"/>
                <w:bCs w:val="1"/>
                <w:color w:val="3E3935"/>
                <w:vertAlign w:val="superscript"/>
              </w:rPr>
              <w:t>(1)</w:t>
            </w:r>
          </w:p>
        </w:tc>
        <w:tc>
          <w:tcPr>
            <w:tcW w:w="3900" w:type="dxa"/>
            <w:vAlign w:val="bottom"/>
            <w:tcBorders>
              <w:bottom w:val="single" w:sz="8" w:color="3E3935"/>
            </w:tcBorders>
            <w:shd w:val="clear" w:color="auto" w:fill="EAFAFC"/>
          </w:tcPr>
          <w:p>
            <w:pPr>
              <w:spacing w:after="0"/>
              <w:rPr>
                <w:sz w:val="24"/>
                <w:szCs w:val="24"/>
                <w:color w:val="auto"/>
              </w:rPr>
            </w:pPr>
          </w:p>
        </w:tc>
        <w:tc>
          <w:tcPr>
            <w:tcW w:w="1480" w:type="dxa"/>
            <w:vAlign w:val="bottom"/>
            <w:tcBorders>
              <w:bottom w:val="single" w:sz="8" w:color="3E3935"/>
            </w:tcBorders>
            <w:shd w:val="clear" w:color="auto" w:fill="EAFAFC"/>
          </w:tcPr>
          <w:p>
            <w:pPr>
              <w:spacing w:after="0"/>
              <w:rPr>
                <w:sz w:val="24"/>
                <w:szCs w:val="24"/>
                <w:color w:val="auto"/>
              </w:rPr>
            </w:pPr>
          </w:p>
        </w:tc>
      </w:tr>
      <w:tr>
        <w:trPr>
          <w:trHeight w:val="344"/>
        </w:trPr>
        <w:tc>
          <w:tcPr>
            <w:tcW w:w="5640" w:type="dxa"/>
            <w:vAlign w:val="bottom"/>
            <w:tcBorders>
              <w:bottom w:val="single" w:sz="8" w:color="3E3935"/>
            </w:tcBorders>
          </w:tcPr>
          <w:p>
            <w:pPr>
              <w:ind w:left="80"/>
              <w:spacing w:after="0"/>
              <w:rPr>
                <w:sz w:val="20"/>
                <w:szCs w:val="20"/>
                <w:color w:val="auto"/>
              </w:rPr>
            </w:pPr>
            <w:r>
              <w:rPr>
                <w:rFonts w:ascii="Arial" w:cs="Arial" w:eastAsia="Arial" w:hAnsi="Arial"/>
                <w:sz w:val="18"/>
                <w:szCs w:val="18"/>
                <w:color w:val="3E3935"/>
              </w:rPr>
              <w:t>Aneel Bhusri</w:t>
            </w:r>
          </w:p>
        </w:tc>
        <w:tc>
          <w:tcPr>
            <w:tcW w:w="3900" w:type="dxa"/>
            <w:vAlign w:val="bottom"/>
            <w:tcBorders>
              <w:bottom w:val="single" w:sz="8" w:color="3E3935"/>
            </w:tcBorders>
          </w:tcPr>
          <w:p>
            <w:pPr>
              <w:jc w:val="right"/>
              <w:ind w:right="437"/>
              <w:spacing w:after="0"/>
              <w:rPr>
                <w:sz w:val="20"/>
                <w:szCs w:val="20"/>
                <w:color w:val="auto"/>
              </w:rPr>
            </w:pPr>
            <w:r>
              <w:rPr>
                <w:rFonts w:ascii="Arial" w:cs="Arial" w:eastAsia="Arial" w:hAnsi="Arial"/>
                <w:sz w:val="18"/>
                <w:szCs w:val="18"/>
                <w:color w:val="3E3935"/>
              </w:rPr>
              <w:t>47,646</w:t>
            </w:r>
            <w:r>
              <w:rPr>
                <w:rFonts w:ascii="Arial" w:cs="Arial" w:eastAsia="Arial" w:hAnsi="Arial"/>
                <w:sz w:val="26"/>
                <w:szCs w:val="26"/>
                <w:color w:val="3E3935"/>
                <w:vertAlign w:val="superscript"/>
              </w:rPr>
              <w:t>(2)</w:t>
            </w:r>
          </w:p>
        </w:tc>
        <w:tc>
          <w:tcPr>
            <w:tcW w:w="1480" w:type="dxa"/>
            <w:vAlign w:val="bottom"/>
            <w:tcBorders>
              <w:bottom w:val="single" w:sz="8" w:color="3E3935"/>
            </w:tcBorders>
          </w:tcPr>
          <w:p>
            <w:pPr>
              <w:jc w:val="center"/>
              <w:ind w:left="190"/>
              <w:spacing w:after="0"/>
              <w:rPr>
                <w:sz w:val="20"/>
                <w:szCs w:val="20"/>
                <w:color w:val="auto"/>
              </w:rPr>
            </w:pPr>
            <w:r>
              <w:rPr>
                <w:rFonts w:ascii="Arial" w:cs="Arial" w:eastAsia="Arial" w:hAnsi="Arial"/>
                <w:sz w:val="18"/>
                <w:szCs w:val="18"/>
                <w:color w:val="3E3935"/>
              </w:rPr>
              <w:t>*</w:t>
            </w:r>
          </w:p>
        </w:tc>
      </w:tr>
      <w:tr>
        <w:trPr>
          <w:trHeight w:val="345"/>
        </w:trPr>
        <w:tc>
          <w:tcPr>
            <w:tcW w:w="5640" w:type="dxa"/>
            <w:vAlign w:val="bottom"/>
            <w:tcBorders>
              <w:bottom w:val="single" w:sz="8" w:color="3E3935"/>
            </w:tcBorders>
          </w:tcPr>
          <w:p>
            <w:pPr>
              <w:ind w:left="80"/>
              <w:spacing w:after="0"/>
              <w:rPr>
                <w:sz w:val="20"/>
                <w:szCs w:val="20"/>
                <w:color w:val="auto"/>
              </w:rPr>
            </w:pPr>
            <w:r>
              <w:rPr>
                <w:rFonts w:ascii="Arial" w:cs="Arial" w:eastAsia="Arial" w:hAnsi="Arial"/>
                <w:sz w:val="18"/>
                <w:szCs w:val="18"/>
                <w:color w:val="3E3935"/>
              </w:rPr>
              <w:t>Wesley G. Bush</w:t>
            </w:r>
          </w:p>
        </w:tc>
        <w:tc>
          <w:tcPr>
            <w:tcW w:w="3900" w:type="dxa"/>
            <w:vAlign w:val="bottom"/>
            <w:tcBorders>
              <w:bottom w:val="single" w:sz="8" w:color="3E3935"/>
            </w:tcBorders>
          </w:tcPr>
          <w:p>
            <w:pPr>
              <w:ind w:left="2660"/>
              <w:spacing w:after="0" w:line="344" w:lineRule="exact"/>
              <w:rPr>
                <w:sz w:val="20"/>
                <w:szCs w:val="20"/>
                <w:color w:val="auto"/>
              </w:rPr>
            </w:pPr>
            <w:r>
              <w:rPr>
                <w:rFonts w:ascii="Arial" w:cs="Arial" w:eastAsia="Arial" w:hAnsi="Arial"/>
                <w:sz w:val="35"/>
                <w:szCs w:val="35"/>
                <w:color w:val="3E3935"/>
                <w:vertAlign w:val="subscript"/>
              </w:rPr>
              <w:t>20,000</w:t>
            </w:r>
            <w:r>
              <w:rPr>
                <w:rFonts w:ascii="Arial" w:cs="Arial" w:eastAsia="Arial" w:hAnsi="Arial"/>
                <w:sz w:val="13"/>
                <w:szCs w:val="13"/>
                <w:color w:val="3E3935"/>
              </w:rPr>
              <w:t>(2),(9)</w:t>
            </w:r>
          </w:p>
        </w:tc>
        <w:tc>
          <w:tcPr>
            <w:tcW w:w="1480" w:type="dxa"/>
            <w:vAlign w:val="bottom"/>
            <w:tcBorders>
              <w:bottom w:val="single" w:sz="8" w:color="3E3935"/>
            </w:tcBorders>
          </w:tcPr>
          <w:p>
            <w:pPr>
              <w:jc w:val="center"/>
              <w:ind w:left="190"/>
              <w:spacing w:after="0"/>
              <w:rPr>
                <w:sz w:val="20"/>
                <w:szCs w:val="20"/>
                <w:color w:val="auto"/>
              </w:rPr>
            </w:pPr>
            <w:r>
              <w:rPr>
                <w:rFonts w:ascii="Arial" w:cs="Arial" w:eastAsia="Arial" w:hAnsi="Arial"/>
                <w:sz w:val="18"/>
                <w:szCs w:val="18"/>
                <w:color w:val="3E3935"/>
              </w:rPr>
              <w:t>*</w:t>
            </w:r>
          </w:p>
        </w:tc>
      </w:tr>
      <w:tr>
        <w:trPr>
          <w:trHeight w:val="344"/>
        </w:trPr>
        <w:tc>
          <w:tcPr>
            <w:tcW w:w="5640" w:type="dxa"/>
            <w:vAlign w:val="bottom"/>
            <w:tcBorders>
              <w:bottom w:val="single" w:sz="8" w:color="3E3935"/>
            </w:tcBorders>
          </w:tcPr>
          <w:p>
            <w:pPr>
              <w:ind w:left="80"/>
              <w:spacing w:after="0"/>
              <w:rPr>
                <w:sz w:val="20"/>
                <w:szCs w:val="20"/>
                <w:color w:val="auto"/>
              </w:rPr>
            </w:pPr>
            <w:r>
              <w:rPr>
                <w:rFonts w:ascii="Arial" w:cs="Arial" w:eastAsia="Arial" w:hAnsi="Arial"/>
                <w:sz w:val="18"/>
                <w:szCs w:val="18"/>
                <w:color w:val="3E3935"/>
              </w:rPr>
              <w:t>Joanne C. Crevoiserat</w:t>
            </w:r>
          </w:p>
        </w:tc>
        <w:tc>
          <w:tcPr>
            <w:tcW w:w="3900" w:type="dxa"/>
            <w:vAlign w:val="bottom"/>
            <w:tcBorders>
              <w:bottom w:val="single" w:sz="8" w:color="3E3935"/>
            </w:tcBorders>
          </w:tcPr>
          <w:p>
            <w:pPr>
              <w:jc w:val="right"/>
              <w:ind w:right="437"/>
              <w:spacing w:after="0" w:line="344" w:lineRule="exact"/>
              <w:rPr>
                <w:sz w:val="20"/>
                <w:szCs w:val="20"/>
                <w:color w:val="auto"/>
              </w:rPr>
            </w:pPr>
            <w:r>
              <w:rPr>
                <w:rFonts w:ascii="Arial" w:cs="Arial" w:eastAsia="Arial" w:hAnsi="Arial"/>
                <w:sz w:val="35"/>
                <w:szCs w:val="35"/>
                <w:color w:val="3E3935"/>
                <w:vertAlign w:val="subscript"/>
              </w:rPr>
              <w:t>0</w:t>
            </w:r>
            <w:r>
              <w:rPr>
                <w:rFonts w:ascii="Arial" w:cs="Arial" w:eastAsia="Arial" w:hAnsi="Arial"/>
                <w:sz w:val="13"/>
                <w:szCs w:val="13"/>
                <w:color w:val="3E3935"/>
              </w:rPr>
              <w:t>(2)</w:t>
            </w:r>
          </w:p>
        </w:tc>
        <w:tc>
          <w:tcPr>
            <w:tcW w:w="1480" w:type="dxa"/>
            <w:vAlign w:val="bottom"/>
            <w:tcBorders>
              <w:bottom w:val="single" w:sz="8" w:color="3E3935"/>
            </w:tcBorders>
          </w:tcPr>
          <w:p>
            <w:pPr>
              <w:jc w:val="center"/>
              <w:ind w:left="190"/>
              <w:spacing w:after="0"/>
              <w:rPr>
                <w:sz w:val="20"/>
                <w:szCs w:val="20"/>
                <w:color w:val="auto"/>
              </w:rPr>
            </w:pPr>
            <w:r>
              <w:rPr>
                <w:rFonts w:ascii="Arial" w:cs="Arial" w:eastAsia="Arial" w:hAnsi="Arial"/>
                <w:sz w:val="18"/>
                <w:szCs w:val="18"/>
                <w:color w:val="3E3935"/>
              </w:rPr>
              <w:t>*</w:t>
            </w:r>
          </w:p>
        </w:tc>
      </w:tr>
      <w:tr>
        <w:trPr>
          <w:trHeight w:val="345"/>
        </w:trPr>
        <w:tc>
          <w:tcPr>
            <w:tcW w:w="5640" w:type="dxa"/>
            <w:vAlign w:val="bottom"/>
            <w:tcBorders>
              <w:bottom w:val="single" w:sz="8" w:color="3E3935"/>
            </w:tcBorders>
          </w:tcPr>
          <w:p>
            <w:pPr>
              <w:ind w:left="80"/>
              <w:spacing w:after="0"/>
              <w:rPr>
                <w:sz w:val="20"/>
                <w:szCs w:val="20"/>
                <w:color w:val="auto"/>
              </w:rPr>
            </w:pPr>
            <w:r>
              <w:rPr>
                <w:rFonts w:ascii="Arial" w:cs="Arial" w:eastAsia="Arial" w:hAnsi="Arial"/>
                <w:sz w:val="18"/>
                <w:szCs w:val="18"/>
                <w:color w:val="3E3935"/>
              </w:rPr>
              <w:t>Linda R. Gooden</w:t>
            </w:r>
          </w:p>
        </w:tc>
        <w:tc>
          <w:tcPr>
            <w:tcW w:w="3900" w:type="dxa"/>
            <w:vAlign w:val="bottom"/>
            <w:tcBorders>
              <w:bottom w:val="single" w:sz="8" w:color="3E3935"/>
            </w:tcBorders>
          </w:tcPr>
          <w:p>
            <w:pPr>
              <w:jc w:val="right"/>
              <w:ind w:right="437"/>
              <w:spacing w:after="0"/>
              <w:rPr>
                <w:sz w:val="20"/>
                <w:szCs w:val="20"/>
                <w:color w:val="auto"/>
              </w:rPr>
            </w:pPr>
            <w:r>
              <w:rPr>
                <w:rFonts w:ascii="Arial" w:cs="Arial" w:eastAsia="Arial" w:hAnsi="Arial"/>
                <w:sz w:val="18"/>
                <w:szCs w:val="18"/>
                <w:color w:val="3E3935"/>
              </w:rPr>
              <w:t>1,000</w:t>
            </w:r>
            <w:r>
              <w:rPr>
                <w:rFonts w:ascii="Arial" w:cs="Arial" w:eastAsia="Arial" w:hAnsi="Arial"/>
                <w:sz w:val="26"/>
                <w:szCs w:val="26"/>
                <w:color w:val="3E3935"/>
                <w:vertAlign w:val="superscript"/>
              </w:rPr>
              <w:t>(2)</w:t>
            </w:r>
          </w:p>
        </w:tc>
        <w:tc>
          <w:tcPr>
            <w:tcW w:w="1480" w:type="dxa"/>
            <w:vAlign w:val="bottom"/>
            <w:tcBorders>
              <w:bottom w:val="single" w:sz="8" w:color="3E3935"/>
            </w:tcBorders>
          </w:tcPr>
          <w:p>
            <w:pPr>
              <w:jc w:val="center"/>
              <w:ind w:left="190"/>
              <w:spacing w:after="0"/>
              <w:rPr>
                <w:sz w:val="20"/>
                <w:szCs w:val="20"/>
                <w:color w:val="auto"/>
              </w:rPr>
            </w:pPr>
            <w:r>
              <w:rPr>
                <w:rFonts w:ascii="Arial" w:cs="Arial" w:eastAsia="Arial" w:hAnsi="Arial"/>
                <w:sz w:val="18"/>
                <w:szCs w:val="18"/>
                <w:color w:val="3E3935"/>
              </w:rPr>
              <w:t>*</w:t>
            </w:r>
          </w:p>
        </w:tc>
      </w:tr>
      <w:tr>
        <w:trPr>
          <w:trHeight w:val="345"/>
        </w:trPr>
        <w:tc>
          <w:tcPr>
            <w:tcW w:w="5640" w:type="dxa"/>
            <w:vAlign w:val="bottom"/>
            <w:tcBorders>
              <w:bottom w:val="single" w:sz="8" w:color="3E3935"/>
            </w:tcBorders>
          </w:tcPr>
          <w:p>
            <w:pPr>
              <w:ind w:left="80"/>
              <w:spacing w:after="0"/>
              <w:rPr>
                <w:sz w:val="20"/>
                <w:szCs w:val="20"/>
                <w:color w:val="auto"/>
              </w:rPr>
            </w:pPr>
            <w:r>
              <w:rPr>
                <w:rFonts w:ascii="Arial" w:cs="Arial" w:eastAsia="Arial" w:hAnsi="Arial"/>
                <w:sz w:val="18"/>
                <w:szCs w:val="18"/>
                <w:color w:val="3E3935"/>
              </w:rPr>
              <w:t>Joseph Jimenez</w:t>
            </w:r>
          </w:p>
        </w:tc>
        <w:tc>
          <w:tcPr>
            <w:tcW w:w="3900" w:type="dxa"/>
            <w:vAlign w:val="bottom"/>
            <w:tcBorders>
              <w:bottom w:val="single" w:sz="8" w:color="3E3935"/>
            </w:tcBorders>
          </w:tcPr>
          <w:p>
            <w:pPr>
              <w:ind w:left="2660"/>
              <w:spacing w:after="0" w:line="344" w:lineRule="exact"/>
              <w:rPr>
                <w:sz w:val="20"/>
                <w:szCs w:val="20"/>
                <w:color w:val="auto"/>
              </w:rPr>
            </w:pPr>
            <w:r>
              <w:rPr>
                <w:rFonts w:ascii="Arial" w:cs="Arial" w:eastAsia="Arial" w:hAnsi="Arial"/>
                <w:sz w:val="35"/>
                <w:szCs w:val="35"/>
                <w:color w:val="3E3935"/>
                <w:vertAlign w:val="subscript"/>
              </w:rPr>
              <w:t>32,330</w:t>
            </w:r>
            <w:r>
              <w:rPr>
                <w:rFonts w:ascii="Arial" w:cs="Arial" w:eastAsia="Arial" w:hAnsi="Arial"/>
                <w:sz w:val="13"/>
                <w:szCs w:val="13"/>
                <w:color w:val="3E3935"/>
              </w:rPr>
              <w:t>(2),(10)</w:t>
            </w:r>
          </w:p>
        </w:tc>
        <w:tc>
          <w:tcPr>
            <w:tcW w:w="1480" w:type="dxa"/>
            <w:vAlign w:val="bottom"/>
            <w:tcBorders>
              <w:bottom w:val="single" w:sz="8" w:color="3E3935"/>
            </w:tcBorders>
          </w:tcPr>
          <w:p>
            <w:pPr>
              <w:jc w:val="center"/>
              <w:ind w:left="190"/>
              <w:spacing w:after="0"/>
              <w:rPr>
                <w:sz w:val="20"/>
                <w:szCs w:val="20"/>
                <w:color w:val="auto"/>
              </w:rPr>
            </w:pPr>
            <w:r>
              <w:rPr>
                <w:rFonts w:ascii="Arial" w:cs="Arial" w:eastAsia="Arial" w:hAnsi="Arial"/>
                <w:sz w:val="18"/>
                <w:szCs w:val="18"/>
                <w:color w:val="3E3935"/>
              </w:rPr>
              <w:t>*</w:t>
            </w:r>
          </w:p>
        </w:tc>
      </w:tr>
      <w:tr>
        <w:trPr>
          <w:trHeight w:val="344"/>
        </w:trPr>
        <w:tc>
          <w:tcPr>
            <w:tcW w:w="5640" w:type="dxa"/>
            <w:vAlign w:val="bottom"/>
            <w:tcBorders>
              <w:bottom w:val="single" w:sz="8" w:color="3E3935"/>
            </w:tcBorders>
          </w:tcPr>
          <w:p>
            <w:pPr>
              <w:ind w:left="80"/>
              <w:spacing w:after="0"/>
              <w:rPr>
                <w:sz w:val="20"/>
                <w:szCs w:val="20"/>
                <w:color w:val="auto"/>
              </w:rPr>
            </w:pPr>
            <w:r>
              <w:rPr>
                <w:rFonts w:ascii="Arial" w:cs="Arial" w:eastAsia="Arial" w:hAnsi="Arial"/>
                <w:sz w:val="18"/>
                <w:szCs w:val="18"/>
                <w:color w:val="3E3935"/>
              </w:rPr>
              <w:t>Jonathan McNeill</w:t>
            </w:r>
          </w:p>
        </w:tc>
        <w:tc>
          <w:tcPr>
            <w:tcW w:w="3900" w:type="dxa"/>
            <w:vAlign w:val="bottom"/>
            <w:tcBorders>
              <w:bottom w:val="single" w:sz="8" w:color="3E3935"/>
            </w:tcBorders>
          </w:tcPr>
          <w:p>
            <w:pPr>
              <w:jc w:val="right"/>
              <w:ind w:right="437"/>
              <w:spacing w:after="0" w:line="344" w:lineRule="exact"/>
              <w:rPr>
                <w:sz w:val="20"/>
                <w:szCs w:val="20"/>
                <w:color w:val="auto"/>
              </w:rPr>
            </w:pPr>
            <w:r>
              <w:rPr>
                <w:rFonts w:ascii="Arial" w:cs="Arial" w:eastAsia="Arial" w:hAnsi="Arial"/>
                <w:sz w:val="35"/>
                <w:szCs w:val="35"/>
                <w:color w:val="3E3935"/>
                <w:vertAlign w:val="subscript"/>
              </w:rPr>
              <w:t>0</w:t>
            </w:r>
            <w:r>
              <w:rPr>
                <w:rFonts w:ascii="Arial" w:cs="Arial" w:eastAsia="Arial" w:hAnsi="Arial"/>
                <w:sz w:val="13"/>
                <w:szCs w:val="13"/>
                <w:color w:val="3E3935"/>
              </w:rPr>
              <w:t>(2)</w:t>
            </w:r>
          </w:p>
        </w:tc>
        <w:tc>
          <w:tcPr>
            <w:tcW w:w="1480" w:type="dxa"/>
            <w:vAlign w:val="bottom"/>
            <w:tcBorders>
              <w:bottom w:val="single" w:sz="8" w:color="3E3935"/>
            </w:tcBorders>
          </w:tcPr>
          <w:p>
            <w:pPr>
              <w:jc w:val="center"/>
              <w:ind w:left="190"/>
              <w:spacing w:after="0"/>
              <w:rPr>
                <w:sz w:val="20"/>
                <w:szCs w:val="20"/>
                <w:color w:val="auto"/>
              </w:rPr>
            </w:pPr>
            <w:r>
              <w:rPr>
                <w:rFonts w:ascii="Arial" w:cs="Arial" w:eastAsia="Arial" w:hAnsi="Arial"/>
                <w:sz w:val="18"/>
                <w:szCs w:val="18"/>
                <w:color w:val="3E3935"/>
              </w:rPr>
              <w:t>*</w:t>
            </w:r>
          </w:p>
        </w:tc>
      </w:tr>
      <w:tr>
        <w:trPr>
          <w:trHeight w:val="345"/>
        </w:trPr>
        <w:tc>
          <w:tcPr>
            <w:tcW w:w="5640" w:type="dxa"/>
            <w:vAlign w:val="bottom"/>
            <w:tcBorders>
              <w:bottom w:val="single" w:sz="8" w:color="3E3935"/>
            </w:tcBorders>
          </w:tcPr>
          <w:p>
            <w:pPr>
              <w:ind w:left="80"/>
              <w:spacing w:after="0"/>
              <w:rPr>
                <w:sz w:val="20"/>
                <w:szCs w:val="20"/>
                <w:color w:val="auto"/>
              </w:rPr>
            </w:pPr>
            <w:r>
              <w:rPr>
                <w:rFonts w:ascii="Arial" w:cs="Arial" w:eastAsia="Arial" w:hAnsi="Arial"/>
                <w:sz w:val="18"/>
                <w:szCs w:val="18"/>
                <w:color w:val="3E3935"/>
              </w:rPr>
              <w:t>Judith A. Miscik</w:t>
            </w:r>
          </w:p>
        </w:tc>
        <w:tc>
          <w:tcPr>
            <w:tcW w:w="3900" w:type="dxa"/>
            <w:vAlign w:val="bottom"/>
            <w:tcBorders>
              <w:bottom w:val="single" w:sz="8" w:color="3E3935"/>
            </w:tcBorders>
          </w:tcPr>
          <w:p>
            <w:pPr>
              <w:jc w:val="right"/>
              <w:ind w:right="437"/>
              <w:spacing w:after="0" w:line="344" w:lineRule="exact"/>
              <w:rPr>
                <w:sz w:val="20"/>
                <w:szCs w:val="20"/>
                <w:color w:val="auto"/>
              </w:rPr>
            </w:pPr>
            <w:r>
              <w:rPr>
                <w:rFonts w:ascii="Arial" w:cs="Arial" w:eastAsia="Arial" w:hAnsi="Arial"/>
                <w:sz w:val="35"/>
                <w:szCs w:val="35"/>
                <w:color w:val="3E3935"/>
                <w:vertAlign w:val="subscript"/>
              </w:rPr>
              <w:t>0</w:t>
            </w:r>
            <w:r>
              <w:rPr>
                <w:rFonts w:ascii="Arial" w:cs="Arial" w:eastAsia="Arial" w:hAnsi="Arial"/>
                <w:sz w:val="13"/>
                <w:szCs w:val="13"/>
                <w:color w:val="3E3935"/>
              </w:rPr>
              <w:t>(2)</w:t>
            </w:r>
          </w:p>
        </w:tc>
        <w:tc>
          <w:tcPr>
            <w:tcW w:w="1480" w:type="dxa"/>
            <w:vAlign w:val="bottom"/>
            <w:tcBorders>
              <w:bottom w:val="single" w:sz="8" w:color="3E3935"/>
            </w:tcBorders>
          </w:tcPr>
          <w:p>
            <w:pPr>
              <w:jc w:val="center"/>
              <w:ind w:left="190"/>
              <w:spacing w:after="0"/>
              <w:rPr>
                <w:sz w:val="20"/>
                <w:szCs w:val="20"/>
                <w:color w:val="auto"/>
              </w:rPr>
            </w:pPr>
            <w:r>
              <w:rPr>
                <w:rFonts w:ascii="Arial" w:cs="Arial" w:eastAsia="Arial" w:hAnsi="Arial"/>
                <w:sz w:val="18"/>
                <w:szCs w:val="18"/>
                <w:color w:val="3E3935"/>
              </w:rPr>
              <w:t>*</w:t>
            </w:r>
          </w:p>
        </w:tc>
      </w:tr>
      <w:tr>
        <w:trPr>
          <w:trHeight w:val="345"/>
        </w:trPr>
        <w:tc>
          <w:tcPr>
            <w:tcW w:w="5640" w:type="dxa"/>
            <w:vAlign w:val="bottom"/>
            <w:tcBorders>
              <w:bottom w:val="single" w:sz="8" w:color="3E3935"/>
            </w:tcBorders>
          </w:tcPr>
          <w:p>
            <w:pPr>
              <w:ind w:left="80"/>
              <w:spacing w:after="0"/>
              <w:rPr>
                <w:sz w:val="20"/>
                <w:szCs w:val="20"/>
                <w:color w:val="auto"/>
              </w:rPr>
            </w:pPr>
            <w:r>
              <w:rPr>
                <w:rFonts w:ascii="Arial" w:cs="Arial" w:eastAsia="Arial" w:hAnsi="Arial"/>
                <w:sz w:val="18"/>
                <w:szCs w:val="18"/>
                <w:color w:val="3E3935"/>
              </w:rPr>
              <w:t>Patricia F. Russo</w:t>
            </w:r>
          </w:p>
        </w:tc>
        <w:tc>
          <w:tcPr>
            <w:tcW w:w="3900" w:type="dxa"/>
            <w:vAlign w:val="bottom"/>
            <w:tcBorders>
              <w:bottom w:val="single" w:sz="8" w:color="3E3935"/>
            </w:tcBorders>
          </w:tcPr>
          <w:p>
            <w:pPr>
              <w:jc w:val="right"/>
              <w:ind w:right="437"/>
              <w:spacing w:after="0"/>
              <w:rPr>
                <w:sz w:val="20"/>
                <w:szCs w:val="20"/>
                <w:color w:val="auto"/>
              </w:rPr>
            </w:pPr>
            <w:r>
              <w:rPr>
                <w:rFonts w:ascii="Arial" w:cs="Arial" w:eastAsia="Arial" w:hAnsi="Arial"/>
                <w:sz w:val="18"/>
                <w:szCs w:val="18"/>
                <w:color w:val="3E3935"/>
              </w:rPr>
              <w:t>25,000</w:t>
            </w:r>
            <w:r>
              <w:rPr>
                <w:rFonts w:ascii="Arial" w:cs="Arial" w:eastAsia="Arial" w:hAnsi="Arial"/>
                <w:sz w:val="26"/>
                <w:szCs w:val="26"/>
                <w:color w:val="3E3935"/>
                <w:vertAlign w:val="superscript"/>
              </w:rPr>
              <w:t>(2)</w:t>
            </w:r>
          </w:p>
        </w:tc>
        <w:tc>
          <w:tcPr>
            <w:tcW w:w="1480" w:type="dxa"/>
            <w:vAlign w:val="bottom"/>
            <w:tcBorders>
              <w:bottom w:val="single" w:sz="8" w:color="3E3935"/>
            </w:tcBorders>
          </w:tcPr>
          <w:p>
            <w:pPr>
              <w:jc w:val="center"/>
              <w:ind w:left="190"/>
              <w:spacing w:after="0"/>
              <w:rPr>
                <w:sz w:val="20"/>
                <w:szCs w:val="20"/>
                <w:color w:val="auto"/>
              </w:rPr>
            </w:pPr>
            <w:r>
              <w:rPr>
                <w:rFonts w:ascii="Arial" w:cs="Arial" w:eastAsia="Arial" w:hAnsi="Arial"/>
                <w:sz w:val="18"/>
                <w:szCs w:val="18"/>
                <w:color w:val="3E3935"/>
              </w:rPr>
              <w:t>*</w:t>
            </w:r>
          </w:p>
        </w:tc>
      </w:tr>
      <w:tr>
        <w:trPr>
          <w:trHeight w:val="345"/>
        </w:trPr>
        <w:tc>
          <w:tcPr>
            <w:tcW w:w="5640" w:type="dxa"/>
            <w:vAlign w:val="bottom"/>
            <w:tcBorders>
              <w:bottom w:val="single" w:sz="8" w:color="3E3935"/>
            </w:tcBorders>
          </w:tcPr>
          <w:p>
            <w:pPr>
              <w:ind w:left="80"/>
              <w:spacing w:after="0"/>
              <w:rPr>
                <w:sz w:val="20"/>
                <w:szCs w:val="20"/>
                <w:color w:val="auto"/>
              </w:rPr>
            </w:pPr>
            <w:r>
              <w:rPr>
                <w:rFonts w:ascii="Arial" w:cs="Arial" w:eastAsia="Arial" w:hAnsi="Arial"/>
                <w:sz w:val="18"/>
                <w:szCs w:val="18"/>
                <w:color w:val="3E3935"/>
              </w:rPr>
              <w:t>Thomas M. Schoewe</w:t>
            </w:r>
          </w:p>
        </w:tc>
        <w:tc>
          <w:tcPr>
            <w:tcW w:w="3900" w:type="dxa"/>
            <w:vAlign w:val="bottom"/>
            <w:tcBorders>
              <w:bottom w:val="single" w:sz="8" w:color="3E3935"/>
            </w:tcBorders>
          </w:tcPr>
          <w:p>
            <w:pPr>
              <w:jc w:val="right"/>
              <w:ind w:right="437"/>
              <w:spacing w:after="0"/>
              <w:rPr>
                <w:sz w:val="20"/>
                <w:szCs w:val="20"/>
                <w:color w:val="auto"/>
              </w:rPr>
            </w:pPr>
            <w:r>
              <w:rPr>
                <w:rFonts w:ascii="Arial" w:cs="Arial" w:eastAsia="Arial" w:hAnsi="Arial"/>
                <w:sz w:val="18"/>
                <w:szCs w:val="18"/>
                <w:color w:val="3E3935"/>
              </w:rPr>
              <w:t>22,005</w:t>
            </w:r>
            <w:r>
              <w:rPr>
                <w:rFonts w:ascii="Arial" w:cs="Arial" w:eastAsia="Arial" w:hAnsi="Arial"/>
                <w:sz w:val="26"/>
                <w:szCs w:val="26"/>
                <w:color w:val="3E3935"/>
                <w:vertAlign w:val="superscript"/>
              </w:rPr>
              <w:t>(2)</w:t>
            </w:r>
          </w:p>
        </w:tc>
        <w:tc>
          <w:tcPr>
            <w:tcW w:w="1480" w:type="dxa"/>
            <w:vAlign w:val="bottom"/>
            <w:tcBorders>
              <w:bottom w:val="single" w:sz="8" w:color="3E3935"/>
            </w:tcBorders>
          </w:tcPr>
          <w:p>
            <w:pPr>
              <w:jc w:val="center"/>
              <w:ind w:left="190"/>
              <w:spacing w:after="0"/>
              <w:rPr>
                <w:sz w:val="20"/>
                <w:szCs w:val="20"/>
                <w:color w:val="auto"/>
              </w:rPr>
            </w:pPr>
            <w:r>
              <w:rPr>
                <w:rFonts w:ascii="Arial" w:cs="Arial" w:eastAsia="Arial" w:hAnsi="Arial"/>
                <w:sz w:val="18"/>
                <w:szCs w:val="18"/>
                <w:color w:val="3E3935"/>
              </w:rPr>
              <w:t>*</w:t>
            </w:r>
          </w:p>
        </w:tc>
      </w:tr>
      <w:tr>
        <w:trPr>
          <w:trHeight w:val="344"/>
        </w:trPr>
        <w:tc>
          <w:tcPr>
            <w:tcW w:w="5640" w:type="dxa"/>
            <w:vAlign w:val="bottom"/>
            <w:tcBorders>
              <w:bottom w:val="single" w:sz="8" w:color="3E3935"/>
            </w:tcBorders>
          </w:tcPr>
          <w:p>
            <w:pPr>
              <w:ind w:left="80"/>
              <w:spacing w:after="0"/>
              <w:rPr>
                <w:sz w:val="20"/>
                <w:szCs w:val="20"/>
                <w:color w:val="auto"/>
              </w:rPr>
            </w:pPr>
            <w:r>
              <w:rPr>
                <w:rFonts w:ascii="Arial" w:cs="Arial" w:eastAsia="Arial" w:hAnsi="Arial"/>
                <w:sz w:val="18"/>
                <w:szCs w:val="18"/>
                <w:color w:val="3E3935"/>
              </w:rPr>
              <w:t>Carol M. Stephenson</w:t>
            </w:r>
          </w:p>
        </w:tc>
        <w:tc>
          <w:tcPr>
            <w:tcW w:w="3900" w:type="dxa"/>
            <w:vAlign w:val="bottom"/>
            <w:tcBorders>
              <w:bottom w:val="single" w:sz="8" w:color="3E3935"/>
            </w:tcBorders>
          </w:tcPr>
          <w:p>
            <w:pPr>
              <w:jc w:val="right"/>
              <w:ind w:right="437"/>
              <w:spacing w:after="0"/>
              <w:rPr>
                <w:sz w:val="20"/>
                <w:szCs w:val="20"/>
                <w:color w:val="auto"/>
              </w:rPr>
            </w:pPr>
            <w:r>
              <w:rPr>
                <w:rFonts w:ascii="Arial" w:cs="Arial" w:eastAsia="Arial" w:hAnsi="Arial"/>
                <w:sz w:val="18"/>
                <w:szCs w:val="18"/>
                <w:color w:val="3E3935"/>
              </w:rPr>
              <w:t>800</w:t>
            </w:r>
            <w:r>
              <w:rPr>
                <w:rFonts w:ascii="Arial" w:cs="Arial" w:eastAsia="Arial" w:hAnsi="Arial"/>
                <w:sz w:val="26"/>
                <w:szCs w:val="26"/>
                <w:color w:val="3E3935"/>
                <w:vertAlign w:val="superscript"/>
              </w:rPr>
              <w:t>(2)</w:t>
            </w:r>
          </w:p>
        </w:tc>
        <w:tc>
          <w:tcPr>
            <w:tcW w:w="1480" w:type="dxa"/>
            <w:vAlign w:val="bottom"/>
            <w:tcBorders>
              <w:bottom w:val="single" w:sz="8" w:color="3E3935"/>
            </w:tcBorders>
          </w:tcPr>
          <w:p>
            <w:pPr>
              <w:jc w:val="center"/>
              <w:ind w:left="190"/>
              <w:spacing w:after="0"/>
              <w:rPr>
                <w:sz w:val="20"/>
                <w:szCs w:val="20"/>
                <w:color w:val="auto"/>
              </w:rPr>
            </w:pPr>
            <w:r>
              <w:rPr>
                <w:rFonts w:ascii="Arial" w:cs="Arial" w:eastAsia="Arial" w:hAnsi="Arial"/>
                <w:sz w:val="18"/>
                <w:szCs w:val="18"/>
                <w:color w:val="3E3935"/>
              </w:rPr>
              <w:t>*</w:t>
            </w:r>
          </w:p>
        </w:tc>
      </w:tr>
      <w:tr>
        <w:trPr>
          <w:trHeight w:val="345"/>
        </w:trPr>
        <w:tc>
          <w:tcPr>
            <w:tcW w:w="5640" w:type="dxa"/>
            <w:vAlign w:val="bottom"/>
            <w:tcBorders>
              <w:bottom w:val="single" w:sz="8" w:color="3E3935"/>
            </w:tcBorders>
          </w:tcPr>
          <w:p>
            <w:pPr>
              <w:ind w:left="80"/>
              <w:spacing w:after="0"/>
              <w:rPr>
                <w:sz w:val="20"/>
                <w:szCs w:val="20"/>
                <w:color w:val="auto"/>
              </w:rPr>
            </w:pPr>
            <w:r>
              <w:rPr>
                <w:rFonts w:ascii="Arial" w:cs="Arial" w:eastAsia="Arial" w:hAnsi="Arial"/>
                <w:sz w:val="18"/>
                <w:szCs w:val="18"/>
                <w:color w:val="3E3935"/>
              </w:rPr>
              <w:t>Mark A. Tatum</w:t>
            </w:r>
          </w:p>
        </w:tc>
        <w:tc>
          <w:tcPr>
            <w:tcW w:w="3900" w:type="dxa"/>
            <w:vAlign w:val="bottom"/>
            <w:tcBorders>
              <w:bottom w:val="single" w:sz="8" w:color="3E3935"/>
            </w:tcBorders>
          </w:tcPr>
          <w:p>
            <w:pPr>
              <w:jc w:val="right"/>
              <w:ind w:right="437"/>
              <w:spacing w:after="0" w:line="344" w:lineRule="exact"/>
              <w:rPr>
                <w:sz w:val="20"/>
                <w:szCs w:val="20"/>
                <w:color w:val="auto"/>
              </w:rPr>
            </w:pPr>
            <w:r>
              <w:rPr>
                <w:rFonts w:ascii="Arial" w:cs="Arial" w:eastAsia="Arial" w:hAnsi="Arial"/>
                <w:sz w:val="35"/>
                <w:szCs w:val="35"/>
                <w:color w:val="3E3935"/>
                <w:vertAlign w:val="subscript"/>
              </w:rPr>
              <w:t>0</w:t>
            </w:r>
            <w:r>
              <w:rPr>
                <w:rFonts w:ascii="Arial" w:cs="Arial" w:eastAsia="Arial" w:hAnsi="Arial"/>
                <w:sz w:val="13"/>
                <w:szCs w:val="13"/>
                <w:color w:val="3E3935"/>
              </w:rPr>
              <w:t>(2)</w:t>
            </w:r>
          </w:p>
        </w:tc>
        <w:tc>
          <w:tcPr>
            <w:tcW w:w="1480" w:type="dxa"/>
            <w:vAlign w:val="bottom"/>
            <w:tcBorders>
              <w:bottom w:val="single" w:sz="8" w:color="3E3935"/>
            </w:tcBorders>
          </w:tcPr>
          <w:p>
            <w:pPr>
              <w:jc w:val="center"/>
              <w:ind w:left="190"/>
              <w:spacing w:after="0"/>
              <w:rPr>
                <w:sz w:val="20"/>
                <w:szCs w:val="20"/>
                <w:color w:val="auto"/>
              </w:rPr>
            </w:pPr>
            <w:r>
              <w:rPr>
                <w:rFonts w:ascii="Arial" w:cs="Arial" w:eastAsia="Arial" w:hAnsi="Arial"/>
                <w:sz w:val="18"/>
                <w:szCs w:val="18"/>
                <w:color w:val="3E3935"/>
              </w:rPr>
              <w:t>*</w:t>
            </w:r>
          </w:p>
        </w:tc>
      </w:tr>
      <w:tr>
        <w:trPr>
          <w:trHeight w:val="345"/>
        </w:trPr>
        <w:tc>
          <w:tcPr>
            <w:tcW w:w="5640" w:type="dxa"/>
            <w:vAlign w:val="bottom"/>
            <w:tcBorders>
              <w:bottom w:val="single" w:sz="8" w:color="3E3935"/>
            </w:tcBorders>
          </w:tcPr>
          <w:p>
            <w:pPr>
              <w:ind w:left="80"/>
              <w:spacing w:after="0"/>
              <w:rPr>
                <w:sz w:val="20"/>
                <w:szCs w:val="20"/>
                <w:color w:val="auto"/>
              </w:rPr>
            </w:pPr>
            <w:r>
              <w:rPr>
                <w:rFonts w:ascii="Arial" w:cs="Arial" w:eastAsia="Arial" w:hAnsi="Arial"/>
                <w:sz w:val="18"/>
                <w:szCs w:val="18"/>
                <w:color w:val="3E3935"/>
              </w:rPr>
              <w:t>Devin N. Wenig</w:t>
            </w:r>
          </w:p>
        </w:tc>
        <w:tc>
          <w:tcPr>
            <w:tcW w:w="3900" w:type="dxa"/>
            <w:vAlign w:val="bottom"/>
            <w:tcBorders>
              <w:bottom w:val="single" w:sz="8" w:color="3E3935"/>
            </w:tcBorders>
          </w:tcPr>
          <w:p>
            <w:pPr>
              <w:jc w:val="right"/>
              <w:ind w:right="437"/>
              <w:spacing w:after="0" w:line="344" w:lineRule="exact"/>
              <w:rPr>
                <w:sz w:val="20"/>
                <w:szCs w:val="20"/>
                <w:color w:val="auto"/>
              </w:rPr>
            </w:pPr>
            <w:r>
              <w:rPr>
                <w:rFonts w:ascii="Arial" w:cs="Arial" w:eastAsia="Arial" w:hAnsi="Arial"/>
                <w:sz w:val="35"/>
                <w:szCs w:val="35"/>
                <w:color w:val="3E3935"/>
                <w:vertAlign w:val="subscript"/>
              </w:rPr>
              <w:t>0</w:t>
            </w:r>
            <w:r>
              <w:rPr>
                <w:rFonts w:ascii="Arial" w:cs="Arial" w:eastAsia="Arial" w:hAnsi="Arial"/>
                <w:sz w:val="13"/>
                <w:szCs w:val="13"/>
                <w:color w:val="3E3935"/>
              </w:rPr>
              <w:t>(2)</w:t>
            </w:r>
          </w:p>
        </w:tc>
        <w:tc>
          <w:tcPr>
            <w:tcW w:w="1480" w:type="dxa"/>
            <w:vAlign w:val="bottom"/>
            <w:tcBorders>
              <w:bottom w:val="single" w:sz="8" w:color="3E3935"/>
            </w:tcBorders>
          </w:tcPr>
          <w:p>
            <w:pPr>
              <w:jc w:val="center"/>
              <w:ind w:left="190"/>
              <w:spacing w:after="0"/>
              <w:rPr>
                <w:sz w:val="20"/>
                <w:szCs w:val="20"/>
                <w:color w:val="auto"/>
              </w:rPr>
            </w:pPr>
            <w:r>
              <w:rPr>
                <w:rFonts w:ascii="Arial" w:cs="Arial" w:eastAsia="Arial" w:hAnsi="Arial"/>
                <w:sz w:val="18"/>
                <w:szCs w:val="18"/>
                <w:color w:val="3E3935"/>
              </w:rPr>
              <w:t>*</w:t>
            </w:r>
          </w:p>
        </w:tc>
      </w:tr>
      <w:tr>
        <w:trPr>
          <w:trHeight w:val="345"/>
        </w:trPr>
        <w:tc>
          <w:tcPr>
            <w:tcW w:w="5640" w:type="dxa"/>
            <w:vAlign w:val="bottom"/>
            <w:tcBorders>
              <w:bottom w:val="single" w:sz="8" w:color="3E3935"/>
            </w:tcBorders>
            <w:shd w:val="clear" w:color="auto" w:fill="EAFAFC"/>
          </w:tcPr>
          <w:p>
            <w:pPr>
              <w:ind w:left="80"/>
              <w:spacing w:after="0"/>
              <w:rPr>
                <w:sz w:val="20"/>
                <w:szCs w:val="20"/>
                <w:color w:val="auto"/>
              </w:rPr>
            </w:pPr>
            <w:r>
              <w:rPr>
                <w:rFonts w:ascii="Arial" w:cs="Arial" w:eastAsia="Arial" w:hAnsi="Arial"/>
                <w:sz w:val="18"/>
                <w:szCs w:val="18"/>
                <w:b w:val="1"/>
                <w:bCs w:val="1"/>
                <w:color w:val="3E3935"/>
              </w:rPr>
              <w:t>Named Executive Officers</w:t>
            </w:r>
            <w:r>
              <w:rPr>
                <w:rFonts w:ascii="Arial" w:cs="Arial" w:eastAsia="Arial" w:hAnsi="Arial"/>
                <w:sz w:val="26"/>
                <w:szCs w:val="26"/>
                <w:b w:val="1"/>
                <w:bCs w:val="1"/>
                <w:color w:val="3E3935"/>
                <w:vertAlign w:val="superscript"/>
              </w:rPr>
              <w:t>(1)</w:t>
            </w:r>
          </w:p>
        </w:tc>
        <w:tc>
          <w:tcPr>
            <w:tcW w:w="3900" w:type="dxa"/>
            <w:vAlign w:val="bottom"/>
            <w:tcBorders>
              <w:bottom w:val="single" w:sz="8" w:color="3E3935"/>
            </w:tcBorders>
            <w:shd w:val="clear" w:color="auto" w:fill="EAFAFC"/>
          </w:tcPr>
          <w:p>
            <w:pPr>
              <w:spacing w:after="0"/>
              <w:rPr>
                <w:sz w:val="24"/>
                <w:szCs w:val="24"/>
                <w:color w:val="auto"/>
              </w:rPr>
            </w:pPr>
          </w:p>
        </w:tc>
        <w:tc>
          <w:tcPr>
            <w:tcW w:w="1480" w:type="dxa"/>
            <w:vAlign w:val="bottom"/>
            <w:tcBorders>
              <w:bottom w:val="single" w:sz="8" w:color="3E3935"/>
            </w:tcBorders>
            <w:shd w:val="clear" w:color="auto" w:fill="EAFAFC"/>
          </w:tcPr>
          <w:p>
            <w:pPr>
              <w:spacing w:after="0"/>
              <w:rPr>
                <w:sz w:val="24"/>
                <w:szCs w:val="24"/>
                <w:color w:val="auto"/>
              </w:rPr>
            </w:pPr>
          </w:p>
        </w:tc>
      </w:tr>
      <w:tr>
        <w:trPr>
          <w:trHeight w:val="344"/>
        </w:trPr>
        <w:tc>
          <w:tcPr>
            <w:tcW w:w="5640" w:type="dxa"/>
            <w:vAlign w:val="bottom"/>
            <w:tcBorders>
              <w:bottom w:val="single" w:sz="8" w:color="3E3935"/>
            </w:tcBorders>
          </w:tcPr>
          <w:p>
            <w:pPr>
              <w:ind w:left="80"/>
              <w:spacing w:after="0"/>
              <w:rPr>
                <w:sz w:val="20"/>
                <w:szCs w:val="20"/>
                <w:color w:val="auto"/>
              </w:rPr>
            </w:pPr>
            <w:r>
              <w:rPr>
                <w:rFonts w:ascii="Arial" w:cs="Arial" w:eastAsia="Arial" w:hAnsi="Arial"/>
                <w:sz w:val="18"/>
                <w:szCs w:val="18"/>
                <w:color w:val="3E3935"/>
              </w:rPr>
              <w:t>Mary T. Barra</w:t>
            </w:r>
          </w:p>
        </w:tc>
        <w:tc>
          <w:tcPr>
            <w:tcW w:w="3900" w:type="dxa"/>
            <w:vAlign w:val="bottom"/>
            <w:tcBorders>
              <w:bottom w:val="single" w:sz="8" w:color="3E3935"/>
            </w:tcBorders>
          </w:tcPr>
          <w:p>
            <w:pPr>
              <w:jc w:val="right"/>
              <w:ind w:right="177"/>
              <w:spacing w:after="0"/>
              <w:rPr>
                <w:sz w:val="20"/>
                <w:szCs w:val="20"/>
                <w:color w:val="auto"/>
              </w:rPr>
            </w:pPr>
            <w:r>
              <w:rPr>
                <w:rFonts w:ascii="Arial" w:cs="Arial" w:eastAsia="Arial" w:hAnsi="Arial"/>
                <w:sz w:val="18"/>
                <w:szCs w:val="18"/>
                <w:color w:val="3E3935"/>
              </w:rPr>
              <w:t>4,168,112</w:t>
            </w:r>
            <w:r>
              <w:rPr>
                <w:rFonts w:ascii="Arial" w:cs="Arial" w:eastAsia="Arial" w:hAnsi="Arial"/>
                <w:sz w:val="26"/>
                <w:szCs w:val="26"/>
                <w:color w:val="3E3935"/>
                <w:vertAlign w:val="superscript"/>
              </w:rPr>
              <w:t>(3),(11)</w:t>
            </w:r>
          </w:p>
        </w:tc>
        <w:tc>
          <w:tcPr>
            <w:tcW w:w="1480" w:type="dxa"/>
            <w:vAlign w:val="bottom"/>
            <w:tcBorders>
              <w:bottom w:val="single" w:sz="8" w:color="3E3935"/>
            </w:tcBorders>
          </w:tcPr>
          <w:p>
            <w:pPr>
              <w:jc w:val="center"/>
              <w:ind w:left="190"/>
              <w:spacing w:after="0"/>
              <w:rPr>
                <w:sz w:val="20"/>
                <w:szCs w:val="20"/>
                <w:color w:val="auto"/>
              </w:rPr>
            </w:pPr>
            <w:r>
              <w:rPr>
                <w:rFonts w:ascii="Arial" w:cs="Arial" w:eastAsia="Arial" w:hAnsi="Arial"/>
                <w:sz w:val="18"/>
                <w:szCs w:val="18"/>
                <w:color w:val="3E3935"/>
              </w:rPr>
              <w:t>*</w:t>
            </w:r>
          </w:p>
        </w:tc>
      </w:tr>
      <w:tr>
        <w:trPr>
          <w:trHeight w:val="345"/>
        </w:trPr>
        <w:tc>
          <w:tcPr>
            <w:tcW w:w="5640" w:type="dxa"/>
            <w:vAlign w:val="bottom"/>
            <w:tcBorders>
              <w:bottom w:val="single" w:sz="8" w:color="3E3935"/>
            </w:tcBorders>
          </w:tcPr>
          <w:p>
            <w:pPr>
              <w:ind w:left="80"/>
              <w:spacing w:after="0"/>
              <w:rPr>
                <w:sz w:val="20"/>
                <w:szCs w:val="20"/>
                <w:color w:val="auto"/>
              </w:rPr>
            </w:pPr>
            <w:r>
              <w:rPr>
                <w:rFonts w:ascii="Arial" w:cs="Arial" w:eastAsia="Arial" w:hAnsi="Arial"/>
                <w:sz w:val="18"/>
                <w:szCs w:val="18"/>
                <w:color w:val="3E3935"/>
              </w:rPr>
              <w:t>Paul A. Jacobson</w:t>
            </w:r>
          </w:p>
        </w:tc>
        <w:tc>
          <w:tcPr>
            <w:tcW w:w="3900" w:type="dxa"/>
            <w:vAlign w:val="bottom"/>
            <w:tcBorders>
              <w:bottom w:val="single" w:sz="8" w:color="3E3935"/>
            </w:tcBorders>
          </w:tcPr>
          <w:p>
            <w:pPr>
              <w:jc w:val="right"/>
              <w:ind w:right="437"/>
              <w:spacing w:after="0"/>
              <w:rPr>
                <w:sz w:val="20"/>
                <w:szCs w:val="20"/>
                <w:color w:val="auto"/>
              </w:rPr>
            </w:pPr>
            <w:r>
              <w:rPr>
                <w:rFonts w:ascii="Arial" w:cs="Arial" w:eastAsia="Arial" w:hAnsi="Arial"/>
                <w:sz w:val="18"/>
                <w:szCs w:val="18"/>
                <w:color w:val="3E3935"/>
              </w:rPr>
              <w:t>271,070</w:t>
            </w:r>
            <w:r>
              <w:rPr>
                <w:rFonts w:ascii="Arial" w:cs="Arial" w:eastAsia="Arial" w:hAnsi="Arial"/>
                <w:sz w:val="26"/>
                <w:szCs w:val="26"/>
                <w:color w:val="3E3935"/>
                <w:vertAlign w:val="superscript"/>
              </w:rPr>
              <w:t>(3)</w:t>
            </w:r>
          </w:p>
        </w:tc>
        <w:tc>
          <w:tcPr>
            <w:tcW w:w="1480" w:type="dxa"/>
            <w:vAlign w:val="bottom"/>
            <w:tcBorders>
              <w:bottom w:val="single" w:sz="8" w:color="3E3935"/>
            </w:tcBorders>
          </w:tcPr>
          <w:p>
            <w:pPr>
              <w:jc w:val="center"/>
              <w:ind w:left="190"/>
              <w:spacing w:after="0"/>
              <w:rPr>
                <w:sz w:val="20"/>
                <w:szCs w:val="20"/>
                <w:color w:val="auto"/>
              </w:rPr>
            </w:pPr>
            <w:r>
              <w:rPr>
                <w:rFonts w:ascii="Arial" w:cs="Arial" w:eastAsia="Arial" w:hAnsi="Arial"/>
                <w:sz w:val="18"/>
                <w:szCs w:val="18"/>
                <w:color w:val="3E3935"/>
              </w:rPr>
              <w:t>*</w:t>
            </w:r>
          </w:p>
        </w:tc>
      </w:tr>
      <w:tr>
        <w:trPr>
          <w:trHeight w:val="345"/>
        </w:trPr>
        <w:tc>
          <w:tcPr>
            <w:tcW w:w="5640" w:type="dxa"/>
            <w:vAlign w:val="bottom"/>
            <w:tcBorders>
              <w:bottom w:val="single" w:sz="8" w:color="3E3935"/>
            </w:tcBorders>
          </w:tcPr>
          <w:p>
            <w:pPr>
              <w:ind w:left="80"/>
              <w:spacing w:after="0"/>
              <w:rPr>
                <w:sz w:val="20"/>
                <w:szCs w:val="20"/>
                <w:color w:val="auto"/>
              </w:rPr>
            </w:pPr>
            <w:r>
              <w:rPr>
                <w:rFonts w:ascii="Arial" w:cs="Arial" w:eastAsia="Arial" w:hAnsi="Arial"/>
                <w:sz w:val="18"/>
                <w:szCs w:val="18"/>
                <w:color w:val="3E3935"/>
              </w:rPr>
              <w:t>Mark L. Reuss</w:t>
            </w:r>
          </w:p>
        </w:tc>
        <w:tc>
          <w:tcPr>
            <w:tcW w:w="3900" w:type="dxa"/>
            <w:vAlign w:val="bottom"/>
            <w:tcBorders>
              <w:bottom w:val="single" w:sz="8" w:color="3E3935"/>
            </w:tcBorders>
          </w:tcPr>
          <w:p>
            <w:pPr>
              <w:jc w:val="right"/>
              <w:ind w:right="437"/>
              <w:spacing w:after="0"/>
              <w:rPr>
                <w:sz w:val="20"/>
                <w:szCs w:val="20"/>
                <w:color w:val="auto"/>
              </w:rPr>
            </w:pPr>
            <w:r>
              <w:rPr>
                <w:rFonts w:ascii="Arial" w:cs="Arial" w:eastAsia="Arial" w:hAnsi="Arial"/>
                <w:sz w:val="18"/>
                <w:szCs w:val="18"/>
                <w:color w:val="3E3935"/>
              </w:rPr>
              <w:t>972,075</w:t>
            </w:r>
            <w:r>
              <w:rPr>
                <w:rFonts w:ascii="Arial" w:cs="Arial" w:eastAsia="Arial" w:hAnsi="Arial"/>
                <w:sz w:val="26"/>
                <w:szCs w:val="26"/>
                <w:color w:val="3E3935"/>
                <w:vertAlign w:val="superscript"/>
              </w:rPr>
              <w:t>(3)</w:t>
            </w:r>
          </w:p>
        </w:tc>
        <w:tc>
          <w:tcPr>
            <w:tcW w:w="1480" w:type="dxa"/>
            <w:vAlign w:val="bottom"/>
            <w:tcBorders>
              <w:bottom w:val="single" w:sz="8" w:color="3E3935"/>
            </w:tcBorders>
          </w:tcPr>
          <w:p>
            <w:pPr>
              <w:jc w:val="center"/>
              <w:ind w:left="190"/>
              <w:spacing w:after="0"/>
              <w:rPr>
                <w:sz w:val="20"/>
                <w:szCs w:val="20"/>
                <w:color w:val="auto"/>
              </w:rPr>
            </w:pPr>
            <w:r>
              <w:rPr>
                <w:rFonts w:ascii="Arial" w:cs="Arial" w:eastAsia="Arial" w:hAnsi="Arial"/>
                <w:sz w:val="18"/>
                <w:szCs w:val="18"/>
                <w:color w:val="3E3935"/>
              </w:rPr>
              <w:t>*</w:t>
            </w:r>
          </w:p>
        </w:tc>
      </w:tr>
      <w:tr>
        <w:trPr>
          <w:trHeight w:val="344"/>
        </w:trPr>
        <w:tc>
          <w:tcPr>
            <w:tcW w:w="5640" w:type="dxa"/>
            <w:vAlign w:val="bottom"/>
            <w:tcBorders>
              <w:bottom w:val="single" w:sz="8" w:color="3E3935"/>
            </w:tcBorders>
          </w:tcPr>
          <w:p>
            <w:pPr>
              <w:ind w:left="80"/>
              <w:spacing w:after="0"/>
              <w:rPr>
                <w:sz w:val="20"/>
                <w:szCs w:val="20"/>
                <w:color w:val="auto"/>
              </w:rPr>
            </w:pPr>
            <w:r>
              <w:rPr>
                <w:rFonts w:ascii="Arial" w:cs="Arial" w:eastAsia="Arial" w:hAnsi="Arial"/>
                <w:sz w:val="18"/>
                <w:szCs w:val="18"/>
                <w:color w:val="3E3935"/>
              </w:rPr>
              <w:t>Douglas L. Parks</w:t>
            </w:r>
          </w:p>
        </w:tc>
        <w:tc>
          <w:tcPr>
            <w:tcW w:w="3900" w:type="dxa"/>
            <w:vAlign w:val="bottom"/>
            <w:tcBorders>
              <w:bottom w:val="single" w:sz="8" w:color="3E3935"/>
            </w:tcBorders>
          </w:tcPr>
          <w:p>
            <w:pPr>
              <w:jc w:val="right"/>
              <w:ind w:right="437"/>
              <w:spacing w:after="0"/>
              <w:rPr>
                <w:sz w:val="20"/>
                <w:szCs w:val="20"/>
                <w:color w:val="auto"/>
              </w:rPr>
            </w:pPr>
            <w:r>
              <w:rPr>
                <w:rFonts w:ascii="Arial" w:cs="Arial" w:eastAsia="Arial" w:hAnsi="Arial"/>
                <w:sz w:val="18"/>
                <w:szCs w:val="18"/>
                <w:color w:val="3E3935"/>
              </w:rPr>
              <w:t>375,102</w:t>
            </w:r>
            <w:r>
              <w:rPr>
                <w:rFonts w:ascii="Arial" w:cs="Arial" w:eastAsia="Arial" w:hAnsi="Arial"/>
                <w:sz w:val="26"/>
                <w:szCs w:val="26"/>
                <w:color w:val="3E3935"/>
                <w:vertAlign w:val="superscript"/>
              </w:rPr>
              <w:t>(3)</w:t>
            </w:r>
          </w:p>
        </w:tc>
        <w:tc>
          <w:tcPr>
            <w:tcW w:w="1480" w:type="dxa"/>
            <w:vAlign w:val="bottom"/>
            <w:tcBorders>
              <w:bottom w:val="single" w:sz="8" w:color="3E3935"/>
            </w:tcBorders>
          </w:tcPr>
          <w:p>
            <w:pPr>
              <w:jc w:val="center"/>
              <w:ind w:left="190"/>
              <w:spacing w:after="0"/>
              <w:rPr>
                <w:sz w:val="20"/>
                <w:szCs w:val="20"/>
                <w:color w:val="auto"/>
              </w:rPr>
            </w:pPr>
            <w:r>
              <w:rPr>
                <w:rFonts w:ascii="Arial" w:cs="Arial" w:eastAsia="Arial" w:hAnsi="Arial"/>
                <w:sz w:val="18"/>
                <w:szCs w:val="18"/>
                <w:color w:val="3E3935"/>
              </w:rPr>
              <w:t>*</w:t>
            </w:r>
          </w:p>
        </w:tc>
      </w:tr>
      <w:tr>
        <w:trPr>
          <w:trHeight w:val="345"/>
        </w:trPr>
        <w:tc>
          <w:tcPr>
            <w:tcW w:w="5640" w:type="dxa"/>
            <w:vAlign w:val="bottom"/>
            <w:tcBorders>
              <w:bottom w:val="single" w:sz="8" w:color="3E3935"/>
            </w:tcBorders>
          </w:tcPr>
          <w:p>
            <w:pPr>
              <w:ind w:left="80"/>
              <w:spacing w:after="0"/>
              <w:rPr>
                <w:sz w:val="20"/>
                <w:szCs w:val="20"/>
                <w:color w:val="auto"/>
              </w:rPr>
            </w:pPr>
            <w:r>
              <w:rPr>
                <w:rFonts w:ascii="Arial" w:cs="Arial" w:eastAsia="Arial" w:hAnsi="Arial"/>
                <w:sz w:val="18"/>
                <w:szCs w:val="18"/>
                <w:color w:val="3E3935"/>
              </w:rPr>
              <w:t>Stephen K. Carlisle</w:t>
            </w:r>
          </w:p>
        </w:tc>
        <w:tc>
          <w:tcPr>
            <w:tcW w:w="3900" w:type="dxa"/>
            <w:vAlign w:val="bottom"/>
            <w:tcBorders>
              <w:bottom w:val="single" w:sz="8" w:color="3E3935"/>
            </w:tcBorders>
          </w:tcPr>
          <w:p>
            <w:pPr>
              <w:jc w:val="right"/>
              <w:ind w:right="437"/>
              <w:spacing w:after="0"/>
              <w:rPr>
                <w:sz w:val="20"/>
                <w:szCs w:val="20"/>
                <w:color w:val="auto"/>
              </w:rPr>
            </w:pPr>
            <w:r>
              <w:rPr>
                <w:rFonts w:ascii="Arial" w:cs="Arial" w:eastAsia="Arial" w:hAnsi="Arial"/>
                <w:sz w:val="18"/>
                <w:szCs w:val="18"/>
                <w:color w:val="3E3935"/>
              </w:rPr>
              <w:t>287,027</w:t>
            </w:r>
            <w:r>
              <w:rPr>
                <w:rFonts w:ascii="Arial" w:cs="Arial" w:eastAsia="Arial" w:hAnsi="Arial"/>
                <w:sz w:val="26"/>
                <w:szCs w:val="26"/>
                <w:color w:val="3E3935"/>
                <w:vertAlign w:val="superscript"/>
              </w:rPr>
              <w:t>(3)</w:t>
            </w:r>
          </w:p>
        </w:tc>
        <w:tc>
          <w:tcPr>
            <w:tcW w:w="1480" w:type="dxa"/>
            <w:vAlign w:val="bottom"/>
            <w:tcBorders>
              <w:bottom w:val="single" w:sz="8" w:color="3E3935"/>
            </w:tcBorders>
          </w:tcPr>
          <w:p>
            <w:pPr>
              <w:jc w:val="center"/>
              <w:ind w:left="190"/>
              <w:spacing w:after="0"/>
              <w:rPr>
                <w:sz w:val="20"/>
                <w:szCs w:val="20"/>
                <w:color w:val="auto"/>
              </w:rPr>
            </w:pPr>
            <w:r>
              <w:rPr>
                <w:rFonts w:ascii="Arial" w:cs="Arial" w:eastAsia="Arial" w:hAnsi="Arial"/>
                <w:sz w:val="18"/>
                <w:szCs w:val="18"/>
                <w:color w:val="3E3935"/>
              </w:rPr>
              <w:t>*</w:t>
            </w:r>
          </w:p>
        </w:tc>
      </w:tr>
      <w:tr>
        <w:trPr>
          <w:trHeight w:val="245"/>
        </w:trPr>
        <w:tc>
          <w:tcPr>
            <w:tcW w:w="5640" w:type="dxa"/>
            <w:vAlign w:val="bottom"/>
          </w:tcPr>
          <w:p>
            <w:pPr>
              <w:ind w:left="80"/>
              <w:spacing w:after="0"/>
              <w:rPr>
                <w:sz w:val="20"/>
                <w:szCs w:val="20"/>
                <w:color w:val="auto"/>
              </w:rPr>
            </w:pPr>
            <w:r>
              <w:rPr>
                <w:rFonts w:ascii="Arial" w:cs="Arial" w:eastAsia="Arial" w:hAnsi="Arial"/>
                <w:sz w:val="18"/>
                <w:szCs w:val="18"/>
                <w:color w:val="3E3935"/>
              </w:rPr>
              <w:t>All Directors and Executive Officers as a Group (21 persons),</w:t>
            </w:r>
          </w:p>
        </w:tc>
        <w:tc>
          <w:tcPr>
            <w:tcW w:w="3900" w:type="dxa"/>
            <w:vAlign w:val="bottom"/>
          </w:tcPr>
          <w:p>
            <w:pPr>
              <w:spacing w:after="0"/>
              <w:rPr>
                <w:sz w:val="21"/>
                <w:szCs w:val="21"/>
                <w:color w:val="auto"/>
              </w:rPr>
            </w:pPr>
          </w:p>
        </w:tc>
        <w:tc>
          <w:tcPr>
            <w:tcW w:w="1480" w:type="dxa"/>
            <w:vAlign w:val="bottom"/>
          </w:tcPr>
          <w:p>
            <w:pPr>
              <w:spacing w:after="0"/>
              <w:rPr>
                <w:sz w:val="21"/>
                <w:szCs w:val="21"/>
                <w:color w:val="auto"/>
              </w:rPr>
            </w:pPr>
          </w:p>
        </w:tc>
      </w:tr>
      <w:tr>
        <w:trPr>
          <w:trHeight w:val="302"/>
        </w:trPr>
        <w:tc>
          <w:tcPr>
            <w:tcW w:w="5640" w:type="dxa"/>
            <w:vAlign w:val="bottom"/>
            <w:tcBorders>
              <w:bottom w:val="single" w:sz="8" w:color="3E3935"/>
            </w:tcBorders>
          </w:tcPr>
          <w:p>
            <w:pPr>
              <w:ind w:left="80"/>
              <w:spacing w:after="0"/>
              <w:rPr>
                <w:sz w:val="20"/>
                <w:szCs w:val="20"/>
                <w:color w:val="auto"/>
              </w:rPr>
            </w:pPr>
            <w:r>
              <w:rPr>
                <w:rFonts w:ascii="Arial" w:cs="Arial" w:eastAsia="Arial" w:hAnsi="Arial"/>
                <w:sz w:val="18"/>
                <w:szCs w:val="18"/>
                <w:color w:val="3E3935"/>
              </w:rPr>
              <w:t>including the foregoing</w:t>
            </w:r>
          </w:p>
        </w:tc>
        <w:tc>
          <w:tcPr>
            <w:tcW w:w="3900" w:type="dxa"/>
            <w:vAlign w:val="bottom"/>
            <w:tcBorders>
              <w:bottom w:val="single" w:sz="8" w:color="3E3935"/>
            </w:tcBorders>
          </w:tcPr>
          <w:p>
            <w:pPr>
              <w:jc w:val="right"/>
              <w:ind w:right="437"/>
              <w:spacing w:after="0"/>
              <w:rPr>
                <w:sz w:val="20"/>
                <w:szCs w:val="20"/>
                <w:color w:val="auto"/>
              </w:rPr>
            </w:pPr>
            <w:r>
              <w:rPr>
                <w:rFonts w:ascii="Arial" w:cs="Arial" w:eastAsia="Arial" w:hAnsi="Arial"/>
                <w:sz w:val="18"/>
                <w:szCs w:val="18"/>
                <w:color w:val="3E3935"/>
              </w:rPr>
              <w:t>7,437,865</w:t>
            </w:r>
            <w:r>
              <w:rPr>
                <w:rFonts w:ascii="Arial" w:cs="Arial" w:eastAsia="Arial" w:hAnsi="Arial"/>
                <w:sz w:val="26"/>
                <w:szCs w:val="26"/>
                <w:color w:val="3E3935"/>
                <w:vertAlign w:val="superscript"/>
              </w:rPr>
              <w:t>(4)</w:t>
            </w:r>
          </w:p>
        </w:tc>
        <w:tc>
          <w:tcPr>
            <w:tcW w:w="1480" w:type="dxa"/>
            <w:vAlign w:val="bottom"/>
            <w:tcBorders>
              <w:bottom w:val="single" w:sz="8" w:color="3E3935"/>
            </w:tcBorders>
          </w:tcPr>
          <w:p>
            <w:pPr>
              <w:jc w:val="center"/>
              <w:ind w:left="190"/>
              <w:spacing w:after="0"/>
              <w:rPr>
                <w:sz w:val="20"/>
                <w:szCs w:val="20"/>
                <w:color w:val="auto"/>
              </w:rPr>
            </w:pPr>
            <w:r>
              <w:rPr>
                <w:rFonts w:ascii="Arial" w:cs="Arial" w:eastAsia="Arial" w:hAnsi="Arial"/>
                <w:sz w:val="18"/>
                <w:szCs w:val="18"/>
                <w:color w:val="3E3935"/>
              </w:rPr>
              <w:t>*</w:t>
            </w:r>
          </w:p>
        </w:tc>
      </w:tr>
      <w:tr>
        <w:trPr>
          <w:trHeight w:val="344"/>
        </w:trPr>
        <w:tc>
          <w:tcPr>
            <w:tcW w:w="5640" w:type="dxa"/>
            <w:vAlign w:val="bottom"/>
            <w:tcBorders>
              <w:bottom w:val="single" w:sz="8" w:color="3E3935"/>
            </w:tcBorders>
            <w:shd w:val="clear" w:color="auto" w:fill="EAFAFC"/>
          </w:tcPr>
          <w:p>
            <w:pPr>
              <w:ind w:left="80"/>
              <w:spacing w:after="0"/>
              <w:rPr>
                <w:sz w:val="20"/>
                <w:szCs w:val="20"/>
                <w:color w:val="auto"/>
              </w:rPr>
            </w:pPr>
            <w:r>
              <w:rPr>
                <w:rFonts w:ascii="Arial" w:cs="Arial" w:eastAsia="Arial" w:hAnsi="Arial"/>
                <w:sz w:val="18"/>
                <w:szCs w:val="18"/>
                <w:b w:val="1"/>
                <w:bCs w:val="1"/>
                <w:color w:val="3E3935"/>
              </w:rPr>
              <w:t>Certain Other Beneficial Owners</w:t>
            </w:r>
            <w:r>
              <w:rPr>
                <w:rFonts w:ascii="Arial" w:cs="Arial" w:eastAsia="Arial" w:hAnsi="Arial"/>
                <w:sz w:val="26"/>
                <w:szCs w:val="26"/>
                <w:b w:val="1"/>
                <w:bCs w:val="1"/>
                <w:color w:val="3E3935"/>
                <w:vertAlign w:val="superscript"/>
              </w:rPr>
              <w:t>(5)</w:t>
            </w:r>
          </w:p>
        </w:tc>
        <w:tc>
          <w:tcPr>
            <w:tcW w:w="3900" w:type="dxa"/>
            <w:vAlign w:val="bottom"/>
            <w:tcBorders>
              <w:bottom w:val="single" w:sz="8" w:color="3E3935"/>
            </w:tcBorders>
            <w:shd w:val="clear" w:color="auto" w:fill="EAFAFC"/>
          </w:tcPr>
          <w:p>
            <w:pPr>
              <w:spacing w:after="0"/>
              <w:rPr>
                <w:sz w:val="24"/>
                <w:szCs w:val="24"/>
                <w:color w:val="auto"/>
              </w:rPr>
            </w:pPr>
          </w:p>
        </w:tc>
        <w:tc>
          <w:tcPr>
            <w:tcW w:w="1480" w:type="dxa"/>
            <w:vAlign w:val="bottom"/>
            <w:tcBorders>
              <w:bottom w:val="single" w:sz="8" w:color="3E3935"/>
            </w:tcBorders>
            <w:shd w:val="clear" w:color="auto" w:fill="EAFAFC"/>
          </w:tcPr>
          <w:p>
            <w:pPr>
              <w:spacing w:after="0"/>
              <w:rPr>
                <w:sz w:val="24"/>
                <w:szCs w:val="24"/>
                <w:color w:val="auto"/>
              </w:rPr>
            </w:pPr>
          </w:p>
        </w:tc>
      </w:tr>
      <w:tr>
        <w:trPr>
          <w:trHeight w:val="345"/>
        </w:trPr>
        <w:tc>
          <w:tcPr>
            <w:tcW w:w="5640" w:type="dxa"/>
            <w:vAlign w:val="bottom"/>
            <w:tcBorders>
              <w:bottom w:val="single" w:sz="8" w:color="3E3935"/>
            </w:tcBorders>
          </w:tcPr>
          <w:p>
            <w:pPr>
              <w:ind w:left="80"/>
              <w:spacing w:after="0"/>
              <w:rPr>
                <w:sz w:val="20"/>
                <w:szCs w:val="20"/>
                <w:color w:val="auto"/>
              </w:rPr>
            </w:pPr>
            <w:r>
              <w:rPr>
                <w:rFonts w:ascii="Arial" w:cs="Arial" w:eastAsia="Arial" w:hAnsi="Arial"/>
                <w:sz w:val="18"/>
                <w:szCs w:val="18"/>
                <w:color w:val="3E3935"/>
              </w:rPr>
              <w:t>BlackRock, Inc.</w:t>
            </w:r>
            <w:r>
              <w:rPr>
                <w:rFonts w:ascii="Arial" w:cs="Arial" w:eastAsia="Arial" w:hAnsi="Arial"/>
                <w:sz w:val="26"/>
                <w:szCs w:val="26"/>
                <w:color w:val="3E3935"/>
                <w:vertAlign w:val="superscript"/>
              </w:rPr>
              <w:t>(6)</w:t>
            </w:r>
          </w:p>
        </w:tc>
        <w:tc>
          <w:tcPr>
            <w:tcW w:w="3900" w:type="dxa"/>
            <w:vAlign w:val="bottom"/>
            <w:tcBorders>
              <w:bottom w:val="single" w:sz="8" w:color="3E3935"/>
            </w:tcBorders>
          </w:tcPr>
          <w:p>
            <w:pPr>
              <w:jc w:val="right"/>
              <w:ind w:right="597"/>
              <w:spacing w:after="0"/>
              <w:rPr>
                <w:sz w:val="20"/>
                <w:szCs w:val="20"/>
                <w:color w:val="auto"/>
              </w:rPr>
            </w:pPr>
            <w:r>
              <w:rPr>
                <w:rFonts w:ascii="Arial" w:cs="Arial" w:eastAsia="Arial" w:hAnsi="Arial"/>
                <w:sz w:val="18"/>
                <w:szCs w:val="18"/>
                <w:color w:val="3E3935"/>
              </w:rPr>
              <w:t>125,771,387</w:t>
            </w:r>
          </w:p>
        </w:tc>
        <w:tc>
          <w:tcPr>
            <w:tcW w:w="1480" w:type="dxa"/>
            <w:vAlign w:val="bottom"/>
            <w:tcBorders>
              <w:bottom w:val="single" w:sz="8" w:color="3E3935"/>
            </w:tcBorders>
          </w:tcPr>
          <w:p>
            <w:pPr>
              <w:jc w:val="right"/>
              <w:spacing w:after="0"/>
              <w:rPr>
                <w:sz w:val="20"/>
                <w:szCs w:val="20"/>
                <w:color w:val="auto"/>
              </w:rPr>
            </w:pPr>
            <w:r>
              <w:rPr>
                <w:rFonts w:ascii="Arial" w:cs="Arial" w:eastAsia="Arial" w:hAnsi="Arial"/>
                <w:sz w:val="18"/>
                <w:szCs w:val="18"/>
                <w:color w:val="3E3935"/>
              </w:rPr>
              <w:t>9.0%</w:t>
            </w:r>
          </w:p>
        </w:tc>
      </w:tr>
      <w:tr>
        <w:trPr>
          <w:trHeight w:val="344"/>
        </w:trPr>
        <w:tc>
          <w:tcPr>
            <w:tcW w:w="5640" w:type="dxa"/>
            <w:vAlign w:val="bottom"/>
            <w:tcBorders>
              <w:bottom w:val="single" w:sz="8" w:color="3E3935"/>
            </w:tcBorders>
          </w:tcPr>
          <w:p>
            <w:pPr>
              <w:ind w:left="80"/>
              <w:spacing w:after="0"/>
              <w:rPr>
                <w:sz w:val="20"/>
                <w:szCs w:val="20"/>
                <w:color w:val="auto"/>
              </w:rPr>
            </w:pPr>
            <w:r>
              <w:rPr>
                <w:rFonts w:ascii="Arial" w:cs="Arial" w:eastAsia="Arial" w:hAnsi="Arial"/>
                <w:sz w:val="18"/>
                <w:szCs w:val="18"/>
                <w:color w:val="3E3935"/>
              </w:rPr>
              <w:t>The Vanguard Group</w:t>
            </w:r>
            <w:r>
              <w:rPr>
                <w:rFonts w:ascii="Arial" w:cs="Arial" w:eastAsia="Arial" w:hAnsi="Arial"/>
                <w:sz w:val="26"/>
                <w:szCs w:val="26"/>
                <w:color w:val="3E3935"/>
                <w:vertAlign w:val="superscript"/>
              </w:rPr>
              <w:t>(7)</w:t>
            </w:r>
          </w:p>
        </w:tc>
        <w:tc>
          <w:tcPr>
            <w:tcW w:w="3900" w:type="dxa"/>
            <w:vAlign w:val="bottom"/>
            <w:tcBorders>
              <w:bottom w:val="single" w:sz="8" w:color="3E3935"/>
            </w:tcBorders>
          </w:tcPr>
          <w:p>
            <w:pPr>
              <w:jc w:val="right"/>
              <w:ind w:right="597"/>
              <w:spacing w:after="0"/>
              <w:rPr>
                <w:sz w:val="20"/>
                <w:szCs w:val="20"/>
                <w:color w:val="auto"/>
              </w:rPr>
            </w:pPr>
            <w:r>
              <w:rPr>
                <w:rFonts w:ascii="Arial" w:cs="Arial" w:eastAsia="Arial" w:hAnsi="Arial"/>
                <w:sz w:val="18"/>
                <w:szCs w:val="18"/>
                <w:color w:val="3E3935"/>
              </w:rPr>
              <w:t>110,305,628</w:t>
            </w:r>
          </w:p>
        </w:tc>
        <w:tc>
          <w:tcPr>
            <w:tcW w:w="1480" w:type="dxa"/>
            <w:vAlign w:val="bottom"/>
            <w:tcBorders>
              <w:bottom w:val="single" w:sz="8" w:color="3E3935"/>
            </w:tcBorders>
          </w:tcPr>
          <w:p>
            <w:pPr>
              <w:jc w:val="right"/>
              <w:spacing w:after="0"/>
              <w:rPr>
                <w:sz w:val="20"/>
                <w:szCs w:val="20"/>
                <w:color w:val="auto"/>
              </w:rPr>
            </w:pPr>
            <w:r>
              <w:rPr>
                <w:rFonts w:ascii="Arial" w:cs="Arial" w:eastAsia="Arial" w:hAnsi="Arial"/>
                <w:sz w:val="18"/>
                <w:szCs w:val="18"/>
                <w:color w:val="3E3935"/>
              </w:rPr>
              <w:t>7.9%</w:t>
            </w:r>
          </w:p>
        </w:tc>
      </w:tr>
      <w:tr>
        <w:trPr>
          <w:trHeight w:val="408"/>
        </w:trPr>
        <w:tc>
          <w:tcPr>
            <w:tcW w:w="5640" w:type="dxa"/>
            <w:vAlign w:val="bottom"/>
          </w:tcPr>
          <w:p>
            <w:pPr>
              <w:ind w:left="80"/>
              <w:spacing w:after="0"/>
              <w:rPr>
                <w:sz w:val="20"/>
                <w:szCs w:val="20"/>
                <w:color w:val="auto"/>
              </w:rPr>
            </w:pPr>
            <w:r>
              <w:rPr>
                <w:rFonts w:ascii="Arial" w:cs="Arial" w:eastAsia="Arial" w:hAnsi="Arial"/>
                <w:sz w:val="18"/>
                <w:szCs w:val="18"/>
                <w:color w:val="3E3935"/>
              </w:rPr>
              <w:t>Capital Research Global Investors</w:t>
            </w:r>
            <w:r>
              <w:rPr>
                <w:rFonts w:ascii="Arial" w:cs="Arial" w:eastAsia="Arial" w:hAnsi="Arial"/>
                <w:sz w:val="26"/>
                <w:szCs w:val="26"/>
                <w:color w:val="3E3935"/>
                <w:vertAlign w:val="superscript"/>
              </w:rPr>
              <w:t>(8)</w:t>
            </w:r>
          </w:p>
        </w:tc>
        <w:tc>
          <w:tcPr>
            <w:tcW w:w="3900" w:type="dxa"/>
            <w:vAlign w:val="bottom"/>
          </w:tcPr>
          <w:p>
            <w:pPr>
              <w:jc w:val="right"/>
              <w:ind w:right="597"/>
              <w:spacing w:after="0"/>
              <w:rPr>
                <w:sz w:val="20"/>
                <w:szCs w:val="20"/>
                <w:color w:val="auto"/>
              </w:rPr>
            </w:pPr>
            <w:r>
              <w:rPr>
                <w:rFonts w:ascii="Arial" w:cs="Arial" w:eastAsia="Arial" w:hAnsi="Arial"/>
                <w:sz w:val="18"/>
                <w:szCs w:val="18"/>
                <w:color w:val="3E3935"/>
              </w:rPr>
              <w:t>78,403,820</w:t>
            </w:r>
          </w:p>
        </w:tc>
        <w:tc>
          <w:tcPr>
            <w:tcW w:w="1480" w:type="dxa"/>
            <w:vAlign w:val="bottom"/>
          </w:tcPr>
          <w:p>
            <w:pPr>
              <w:jc w:val="right"/>
              <w:spacing w:after="0"/>
              <w:rPr>
                <w:sz w:val="20"/>
                <w:szCs w:val="20"/>
                <w:color w:val="auto"/>
              </w:rPr>
            </w:pPr>
            <w:r>
              <w:rPr>
                <w:rFonts w:ascii="Arial" w:cs="Arial" w:eastAsia="Arial" w:hAnsi="Arial"/>
                <w:sz w:val="18"/>
                <w:szCs w:val="18"/>
                <w:color w:val="3E3935"/>
              </w:rPr>
              <w:t>5.6%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-39370</wp:posOffset>
            </wp:positionV>
            <wp:extent cx="699516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ind w:left="540" w:hanging="424"/>
        <w:spacing w:after="0"/>
        <w:tabs>
          <w:tab w:leader="none" w:pos="540" w:val="left"/>
        </w:tabs>
        <w:numPr>
          <w:ilvl w:val="0"/>
          <w:numId w:val="68"/>
        </w:numPr>
        <w:rPr>
          <w:rFonts w:ascii="Arial" w:cs="Arial" w:eastAsia="Arial" w:hAnsi="Arial"/>
          <w:sz w:val="18"/>
          <w:szCs w:val="18"/>
          <w:i w:val="1"/>
          <w:iCs w:val="1"/>
          <w:color w:val="3E3935"/>
        </w:rPr>
      </w:pPr>
      <w:r>
        <w:rPr>
          <w:rFonts w:ascii="Arial" w:cs="Arial" w:eastAsia="Arial" w:hAnsi="Arial"/>
          <w:sz w:val="18"/>
          <w:szCs w:val="18"/>
          <w:i w:val="1"/>
          <w:iCs w:val="1"/>
          <w:color w:val="3E3935"/>
        </w:rPr>
        <w:t>Less than 1 percent.</w:t>
      </w:r>
    </w:p>
    <w:p>
      <w:pPr>
        <w:spacing w:after="0" w:line="77" w:lineRule="exact"/>
        <w:rPr>
          <w:sz w:val="20"/>
          <w:szCs w:val="20"/>
          <w:color w:val="auto"/>
        </w:rPr>
      </w:pPr>
    </w:p>
    <w:p>
      <w:pPr>
        <w:ind w:left="540" w:hanging="424"/>
        <w:spacing w:after="0"/>
        <w:tabs>
          <w:tab w:leader="none" w:pos="540" w:val="left"/>
        </w:tabs>
        <w:numPr>
          <w:ilvl w:val="0"/>
          <w:numId w:val="69"/>
        </w:numPr>
        <w:rPr>
          <w:rFonts w:ascii="Arial" w:cs="Arial" w:eastAsia="Arial" w:hAnsi="Arial"/>
          <w:sz w:val="18"/>
          <w:szCs w:val="18"/>
          <w:i w:val="1"/>
          <w:iCs w:val="1"/>
          <w:color w:val="3E3935"/>
        </w:rPr>
      </w:pPr>
      <w:r>
        <w:rPr>
          <w:rFonts w:ascii="Arial" w:cs="Arial" w:eastAsia="Arial" w:hAnsi="Arial"/>
          <w:sz w:val="18"/>
          <w:szCs w:val="18"/>
          <w:i w:val="1"/>
          <w:iCs w:val="1"/>
          <w:color w:val="3E3935"/>
        </w:rPr>
        <w:t>c/o General Motors Company, 300 Renaissance Center, Detroit, Michigan 48265.</w:t>
      </w:r>
    </w:p>
    <w:p>
      <w:pPr>
        <w:spacing w:after="0" w:line="152" w:lineRule="exact"/>
        <w:rPr>
          <w:sz w:val="20"/>
          <w:szCs w:val="20"/>
          <w:color w:val="auto"/>
        </w:rPr>
      </w:pPr>
    </w:p>
    <w:p>
      <w:pPr>
        <w:ind w:left="120"/>
        <w:spacing w:after="0"/>
        <w:rPr>
          <w:sz w:val="20"/>
          <w:szCs w:val="20"/>
          <w:color w:val="auto"/>
        </w:rPr>
      </w:pPr>
      <w:r>
        <w:rPr>
          <w:rFonts w:ascii="Arial" w:cs="Arial" w:eastAsia="Arial" w:hAnsi="Arial"/>
          <w:sz w:val="14"/>
          <w:szCs w:val="14"/>
          <w:color w:val="0071CE"/>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wp:posOffset>
            </wp:positionH>
            <wp:positionV relativeFrom="paragraph">
              <wp:posOffset>-95885</wp:posOffset>
            </wp:positionV>
            <wp:extent cx="5983605" cy="10287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5983605" cy="102870"/>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11" w:lineRule="exact"/>
        <w:rPr>
          <w:sz w:val="20"/>
          <w:szCs w:val="20"/>
          <w:color w:val="auto"/>
        </w:rPr>
      </w:pPr>
    </w:p>
    <w:p>
      <w:pPr>
        <w:jc w:val="both"/>
        <w:ind w:left="540" w:right="20" w:hanging="424"/>
        <w:spacing w:after="0" w:line="243" w:lineRule="auto"/>
        <w:tabs>
          <w:tab w:leader="none" w:pos="540" w:val="left"/>
        </w:tabs>
        <w:numPr>
          <w:ilvl w:val="0"/>
          <w:numId w:val="70"/>
        </w:numPr>
        <w:rPr>
          <w:rFonts w:ascii="Arial" w:cs="Arial" w:eastAsia="Arial" w:hAnsi="Arial"/>
          <w:sz w:val="18"/>
          <w:szCs w:val="18"/>
          <w:i w:val="1"/>
          <w:iCs w:val="1"/>
          <w:color w:val="3E3935"/>
        </w:rPr>
      </w:pPr>
      <w:r>
        <w:rPr>
          <w:rFonts w:ascii="Arial" w:cs="Arial" w:eastAsia="Arial" w:hAnsi="Arial"/>
          <w:sz w:val="18"/>
          <w:szCs w:val="18"/>
          <w:i w:val="1"/>
          <w:iCs w:val="1"/>
          <w:color w:val="3E3935"/>
        </w:rPr>
        <w:t>These amounts represent common stock only and do not include DSUs, which are unit equivalents of our common stock. For more information about how DSUs work, see page 24. Directors hold the following number of DSUs: 8,844 DSUs for Mr. Bhusri; 30,363 DSUs for Mr. Bush; 3,100 DSUs for Ms. Crevoiserat; 32,872 DSUs for Ms. Gooden; 64,042 DSUs for Mr. Jimenez; 1,555 DSUs for Mr. McNeill; 16,288 DSUs for Ms. Miscik; 68,833 DSUs for Ms. Russo; 46,856 DSUs for Mr. Schoewe; 87,104 DSUs for Ms. Stephenson; 5,894 DSUs for Mr. Tatum; and 38,957 DSUs for Mr. Wenig.</w:t>
      </w:r>
    </w:p>
    <w:p>
      <w:pPr>
        <w:spacing w:after="0" w:line="45" w:lineRule="exact"/>
        <w:rPr>
          <w:rFonts w:ascii="Arial" w:cs="Arial" w:eastAsia="Arial" w:hAnsi="Arial"/>
          <w:sz w:val="18"/>
          <w:szCs w:val="18"/>
          <w:i w:val="1"/>
          <w:iCs w:val="1"/>
          <w:color w:val="3E3935"/>
        </w:rPr>
      </w:pPr>
    </w:p>
    <w:p>
      <w:pPr>
        <w:jc w:val="both"/>
        <w:ind w:left="540" w:right="20" w:hanging="424"/>
        <w:spacing w:after="0" w:line="252" w:lineRule="auto"/>
        <w:tabs>
          <w:tab w:leader="none" w:pos="540" w:val="left"/>
        </w:tabs>
        <w:numPr>
          <w:ilvl w:val="0"/>
          <w:numId w:val="70"/>
        </w:numPr>
        <w:rPr>
          <w:rFonts w:ascii="Arial" w:cs="Arial" w:eastAsia="Arial" w:hAnsi="Arial"/>
          <w:sz w:val="18"/>
          <w:szCs w:val="18"/>
          <w:i w:val="1"/>
          <w:iCs w:val="1"/>
          <w:color w:val="3E3935"/>
        </w:rPr>
      </w:pPr>
      <w:r>
        <w:rPr>
          <w:rFonts w:ascii="Arial" w:cs="Arial" w:eastAsia="Arial" w:hAnsi="Arial"/>
          <w:sz w:val="18"/>
          <w:szCs w:val="18"/>
          <w:i w:val="1"/>
          <w:iCs w:val="1"/>
          <w:color w:val="3E3935"/>
        </w:rPr>
        <w:t>These amounts include shares that may be acquired upon exercise of stock options that are currently exercisable or will become exercisable within 60 days of April 1, 2023, as follows: 2,502,827 shares for Ms. Barra; 115,223 shares for Mr. Jacobson; 679,802 shares for Mr. Reuss; 264,412 shares for Mr. Parks; and 168,535 shares for Mr. Carlisle.</w:t>
      </w:r>
    </w:p>
    <w:p>
      <w:pPr>
        <w:spacing w:after="0" w:line="36" w:lineRule="exact"/>
        <w:rPr>
          <w:rFonts w:ascii="Arial" w:cs="Arial" w:eastAsia="Arial" w:hAnsi="Arial"/>
          <w:sz w:val="18"/>
          <w:szCs w:val="18"/>
          <w:i w:val="1"/>
          <w:iCs w:val="1"/>
          <w:color w:val="3E3935"/>
        </w:rPr>
      </w:pPr>
    </w:p>
    <w:p>
      <w:pPr>
        <w:ind w:left="540" w:right="20" w:hanging="424"/>
        <w:spacing w:after="0" w:line="269" w:lineRule="auto"/>
        <w:tabs>
          <w:tab w:leader="none" w:pos="540" w:val="left"/>
        </w:tabs>
        <w:numPr>
          <w:ilvl w:val="0"/>
          <w:numId w:val="70"/>
        </w:numPr>
        <w:rPr>
          <w:rFonts w:ascii="Arial" w:cs="Arial" w:eastAsia="Arial" w:hAnsi="Arial"/>
          <w:sz w:val="18"/>
          <w:szCs w:val="18"/>
          <w:i w:val="1"/>
          <w:iCs w:val="1"/>
          <w:color w:val="3E3935"/>
        </w:rPr>
      </w:pPr>
      <w:r>
        <w:rPr>
          <w:rFonts w:ascii="Arial" w:cs="Arial" w:eastAsia="Arial" w:hAnsi="Arial"/>
          <w:sz w:val="18"/>
          <w:szCs w:val="18"/>
          <w:i w:val="1"/>
          <w:iCs w:val="1"/>
          <w:color w:val="3E3935"/>
        </w:rPr>
        <w:t>These include shares that individuals in the group may acquire upon exercise of stock options that are currently exercisable or will become exercisable within 60 days of April 1, 2023.</w:t>
      </w:r>
    </w:p>
    <w:p>
      <w:pPr>
        <w:spacing w:after="0" w:line="22" w:lineRule="exact"/>
        <w:rPr>
          <w:rFonts w:ascii="Arial" w:cs="Arial" w:eastAsia="Arial" w:hAnsi="Arial"/>
          <w:sz w:val="18"/>
          <w:szCs w:val="18"/>
          <w:i w:val="1"/>
          <w:iCs w:val="1"/>
          <w:color w:val="3E3935"/>
        </w:rPr>
      </w:pPr>
    </w:p>
    <w:p>
      <w:pPr>
        <w:jc w:val="both"/>
        <w:ind w:left="540" w:hanging="424"/>
        <w:spacing w:after="0" w:line="269" w:lineRule="auto"/>
        <w:tabs>
          <w:tab w:leader="none" w:pos="540" w:val="left"/>
        </w:tabs>
        <w:numPr>
          <w:ilvl w:val="0"/>
          <w:numId w:val="70"/>
        </w:numPr>
        <w:rPr>
          <w:rFonts w:ascii="Arial" w:cs="Arial" w:eastAsia="Arial" w:hAnsi="Arial"/>
          <w:sz w:val="18"/>
          <w:szCs w:val="18"/>
          <w:i w:val="1"/>
          <w:iCs w:val="1"/>
          <w:color w:val="3E3935"/>
        </w:rPr>
      </w:pPr>
      <w:r>
        <w:rPr>
          <w:rFonts w:ascii="Arial" w:cs="Arial" w:eastAsia="Arial" w:hAnsi="Arial"/>
          <w:sz w:val="18"/>
          <w:szCs w:val="18"/>
          <w:i w:val="1"/>
          <w:iCs w:val="1"/>
          <w:color w:val="3E3935"/>
        </w:rPr>
        <w:t>The Company is permitted to rely on the information reported by each beneficial owner in filings with the SEC and has no reason to believe that the information is incomplete or inaccurate or that the beneficial owner should have filed an amended report and did not.</w:t>
      </w:r>
    </w:p>
    <w:p>
      <w:pPr>
        <w:spacing w:after="0" w:line="22" w:lineRule="exact"/>
        <w:rPr>
          <w:rFonts w:ascii="Arial" w:cs="Arial" w:eastAsia="Arial" w:hAnsi="Arial"/>
          <w:sz w:val="18"/>
          <w:szCs w:val="18"/>
          <w:i w:val="1"/>
          <w:iCs w:val="1"/>
          <w:color w:val="3E3935"/>
        </w:rPr>
      </w:pPr>
    </w:p>
    <w:p>
      <w:pPr>
        <w:jc w:val="both"/>
        <w:ind w:left="540" w:hanging="424"/>
        <w:spacing w:after="0" w:line="243" w:lineRule="auto"/>
        <w:tabs>
          <w:tab w:leader="none" w:pos="540" w:val="left"/>
        </w:tabs>
        <w:numPr>
          <w:ilvl w:val="0"/>
          <w:numId w:val="70"/>
        </w:numPr>
        <w:rPr>
          <w:rFonts w:ascii="Arial" w:cs="Arial" w:eastAsia="Arial" w:hAnsi="Arial"/>
          <w:sz w:val="18"/>
          <w:szCs w:val="18"/>
          <w:i w:val="1"/>
          <w:iCs w:val="1"/>
          <w:color w:val="3E3935"/>
        </w:rPr>
      </w:pPr>
      <w:r>
        <w:rPr>
          <w:rFonts w:ascii="Arial" w:cs="Arial" w:eastAsia="Arial" w:hAnsi="Arial"/>
          <w:sz w:val="18"/>
          <w:szCs w:val="18"/>
          <w:i w:val="1"/>
          <w:iCs w:val="1"/>
          <w:color w:val="3E3935"/>
        </w:rPr>
        <w:t>Based solely on information set forth in a Schedule 13G/A filed with the SEC on January 25, 2023, BlackRock, Inc., reported that it and its subsidiaries listed on Exhibit A to Schedule 13G/A were the beneficial owners of 125,771,387 shares of GM’s outstanding common stock as of December 31, 2022. BlackRock reported having sole voting power over 114,836,260 shares and sole dispositive power over 125,771,387 shares. No shared voting or dispositive powers were reported. The address for BlackRock, Inc., is 55 East 52nd Street, New York, New York 10055.</w:t>
      </w:r>
    </w:p>
    <w:p>
      <w:pPr>
        <w:spacing w:after="0" w:line="45" w:lineRule="exact"/>
        <w:rPr>
          <w:rFonts w:ascii="Arial" w:cs="Arial" w:eastAsia="Arial" w:hAnsi="Arial"/>
          <w:sz w:val="18"/>
          <w:szCs w:val="18"/>
          <w:i w:val="1"/>
          <w:iCs w:val="1"/>
          <w:color w:val="3E3935"/>
        </w:rPr>
      </w:pPr>
    </w:p>
    <w:p>
      <w:pPr>
        <w:jc w:val="both"/>
        <w:ind w:left="540" w:hanging="424"/>
        <w:spacing w:after="0" w:line="243" w:lineRule="auto"/>
        <w:tabs>
          <w:tab w:leader="none" w:pos="540" w:val="left"/>
        </w:tabs>
        <w:numPr>
          <w:ilvl w:val="0"/>
          <w:numId w:val="70"/>
        </w:numPr>
        <w:rPr>
          <w:rFonts w:ascii="Arial" w:cs="Arial" w:eastAsia="Arial" w:hAnsi="Arial"/>
          <w:sz w:val="18"/>
          <w:szCs w:val="18"/>
          <w:i w:val="1"/>
          <w:iCs w:val="1"/>
          <w:color w:val="3E3935"/>
        </w:rPr>
      </w:pPr>
      <w:r>
        <w:rPr>
          <w:rFonts w:ascii="Arial" w:cs="Arial" w:eastAsia="Arial" w:hAnsi="Arial"/>
          <w:sz w:val="18"/>
          <w:szCs w:val="18"/>
          <w:i w:val="1"/>
          <w:iCs w:val="1"/>
          <w:color w:val="3E3935"/>
        </w:rPr>
        <w:t>Based solely on information set forth in a Schedule 13G/A filed with the SEC on February 9, 2023, The Vanguard Group reported that it was the beneficial owner of 110,305,628 shares of GM’s outstanding common stock as of December 31, 2022. The Vanguard Group reported having shared voting power over 1,927,225 shares, sole dispositive power over 104,668,748 shares, and shared dispositive power over 5,636,880 shares. No sole voting power was reported. The address for The Vanguard Group is 100 Vanguard Boulevard, Malvern, Pennsylvania 19355.</w:t>
      </w:r>
    </w:p>
    <w:p>
      <w:pPr>
        <w:spacing w:after="0" w:line="45" w:lineRule="exact"/>
        <w:rPr>
          <w:rFonts w:ascii="Arial" w:cs="Arial" w:eastAsia="Arial" w:hAnsi="Arial"/>
          <w:sz w:val="18"/>
          <w:szCs w:val="18"/>
          <w:i w:val="1"/>
          <w:iCs w:val="1"/>
          <w:color w:val="3E3935"/>
        </w:rPr>
      </w:pPr>
    </w:p>
    <w:p>
      <w:pPr>
        <w:jc w:val="both"/>
        <w:ind w:left="540" w:hanging="424"/>
        <w:spacing w:after="0" w:line="236" w:lineRule="auto"/>
        <w:tabs>
          <w:tab w:leader="none" w:pos="540" w:val="left"/>
        </w:tabs>
        <w:numPr>
          <w:ilvl w:val="0"/>
          <w:numId w:val="70"/>
        </w:numPr>
        <w:rPr>
          <w:rFonts w:ascii="Arial" w:cs="Arial" w:eastAsia="Arial" w:hAnsi="Arial"/>
          <w:sz w:val="18"/>
          <w:szCs w:val="18"/>
          <w:i w:val="1"/>
          <w:iCs w:val="1"/>
          <w:color w:val="3E3935"/>
        </w:rPr>
      </w:pPr>
      <w:r>
        <w:rPr>
          <w:rFonts w:ascii="Arial" w:cs="Arial" w:eastAsia="Arial" w:hAnsi="Arial"/>
          <w:sz w:val="18"/>
          <w:szCs w:val="18"/>
          <w:i w:val="1"/>
          <w:iCs w:val="1"/>
          <w:color w:val="3E3935"/>
        </w:rPr>
        <w:t>Based solely on information set forth in a Schedule 13G/A filed with the SEC on February 14, 2023, Capital Research Global Investors reported that it is the beneficial owner of 78,403,820 shares of GM’s outstanding common stock as of December 31, 2022. Capital Research Global Investors reported having sole voting power over 78,399,962 shares and sole dispositive power over 78,403,820 shares. No shared voting or dispositive powers were reported. The address for Capital Research Global Investors is 333 South Hope Street, 55</w:t>
      </w:r>
      <w:r>
        <w:rPr>
          <w:rFonts w:ascii="Arial" w:cs="Arial" w:eastAsia="Arial" w:hAnsi="Arial"/>
          <w:sz w:val="26"/>
          <w:szCs w:val="26"/>
          <w:i w:val="1"/>
          <w:iCs w:val="1"/>
          <w:color w:val="3E3935"/>
          <w:vertAlign w:val="superscript"/>
        </w:rPr>
        <w:t>th</w:t>
      </w:r>
      <w:r>
        <w:rPr>
          <w:rFonts w:ascii="Arial" w:cs="Arial" w:eastAsia="Arial" w:hAnsi="Arial"/>
          <w:sz w:val="18"/>
          <w:szCs w:val="18"/>
          <w:i w:val="1"/>
          <w:iCs w:val="1"/>
          <w:color w:val="3E3935"/>
        </w:rPr>
        <w:t xml:space="preserve"> Floor, Los Angeles, California 90071.</w:t>
      </w:r>
    </w:p>
    <w:p>
      <w:pPr>
        <w:spacing w:after="0" w:line="1" w:lineRule="exact"/>
        <w:rPr>
          <w:rFonts w:ascii="Arial" w:cs="Arial" w:eastAsia="Arial" w:hAnsi="Arial"/>
          <w:sz w:val="18"/>
          <w:szCs w:val="18"/>
          <w:i w:val="1"/>
          <w:iCs w:val="1"/>
          <w:color w:val="3E3935"/>
        </w:rPr>
      </w:pPr>
    </w:p>
    <w:p>
      <w:pPr>
        <w:ind w:left="540" w:hanging="424"/>
        <w:spacing w:after="0"/>
        <w:tabs>
          <w:tab w:leader="none" w:pos="540" w:val="left"/>
        </w:tabs>
        <w:numPr>
          <w:ilvl w:val="0"/>
          <w:numId w:val="70"/>
        </w:numPr>
        <w:rPr>
          <w:rFonts w:ascii="Arial" w:cs="Arial" w:eastAsia="Arial" w:hAnsi="Arial"/>
          <w:sz w:val="18"/>
          <w:szCs w:val="18"/>
          <w:i w:val="1"/>
          <w:iCs w:val="1"/>
          <w:color w:val="3E3935"/>
        </w:rPr>
      </w:pPr>
      <w:r>
        <w:rPr>
          <w:rFonts w:ascii="Arial" w:cs="Arial" w:eastAsia="Arial" w:hAnsi="Arial"/>
          <w:sz w:val="18"/>
          <w:szCs w:val="18"/>
          <w:i w:val="1"/>
          <w:iCs w:val="1"/>
          <w:color w:val="3E3935"/>
        </w:rPr>
        <w:t>These shares are held indirectly in the Wesley G. Bush Revocable Trust.</w:t>
      </w:r>
    </w:p>
    <w:p>
      <w:pPr>
        <w:spacing w:after="0" w:line="60" w:lineRule="exact"/>
        <w:rPr>
          <w:rFonts w:ascii="Arial" w:cs="Arial" w:eastAsia="Arial" w:hAnsi="Arial"/>
          <w:sz w:val="18"/>
          <w:szCs w:val="18"/>
          <w:i w:val="1"/>
          <w:iCs w:val="1"/>
          <w:color w:val="3E3935"/>
        </w:rPr>
      </w:pPr>
    </w:p>
    <w:p>
      <w:pPr>
        <w:ind w:left="540" w:right="20" w:hanging="424"/>
        <w:spacing w:after="0" w:line="269" w:lineRule="auto"/>
        <w:tabs>
          <w:tab w:leader="none" w:pos="540" w:val="left"/>
        </w:tabs>
        <w:numPr>
          <w:ilvl w:val="0"/>
          <w:numId w:val="70"/>
        </w:numPr>
        <w:rPr>
          <w:rFonts w:ascii="Arial" w:cs="Arial" w:eastAsia="Arial" w:hAnsi="Arial"/>
          <w:sz w:val="18"/>
          <w:szCs w:val="18"/>
          <w:i w:val="1"/>
          <w:iCs w:val="1"/>
          <w:color w:val="3E3935"/>
        </w:rPr>
      </w:pPr>
      <w:r>
        <w:rPr>
          <w:rFonts w:ascii="Arial" w:cs="Arial" w:eastAsia="Arial" w:hAnsi="Arial"/>
          <w:sz w:val="18"/>
          <w:szCs w:val="18"/>
          <w:i w:val="1"/>
          <w:iCs w:val="1"/>
          <w:color w:val="3E3935"/>
        </w:rPr>
        <w:t>This amount includes 330 shares of common stock that Mr. Jimenez holds indirectly through a limited liability company owned but not managed by him.</w:t>
      </w:r>
    </w:p>
    <w:p>
      <w:pPr>
        <w:spacing w:after="0" w:line="22" w:lineRule="exact"/>
        <w:rPr>
          <w:rFonts w:ascii="Arial" w:cs="Arial" w:eastAsia="Arial" w:hAnsi="Arial"/>
          <w:sz w:val="18"/>
          <w:szCs w:val="18"/>
          <w:i w:val="1"/>
          <w:iCs w:val="1"/>
          <w:color w:val="3E3935"/>
        </w:rPr>
      </w:pPr>
    </w:p>
    <w:p>
      <w:pPr>
        <w:ind w:left="540" w:hanging="424"/>
        <w:spacing w:after="0"/>
        <w:tabs>
          <w:tab w:leader="none" w:pos="540" w:val="left"/>
        </w:tabs>
        <w:numPr>
          <w:ilvl w:val="0"/>
          <w:numId w:val="70"/>
        </w:numPr>
        <w:rPr>
          <w:rFonts w:ascii="Arial" w:cs="Arial" w:eastAsia="Arial" w:hAnsi="Arial"/>
          <w:sz w:val="18"/>
          <w:szCs w:val="18"/>
          <w:i w:val="1"/>
          <w:iCs w:val="1"/>
          <w:color w:val="3E3935"/>
        </w:rPr>
      </w:pPr>
      <w:r>
        <w:rPr>
          <w:rFonts w:ascii="Arial" w:cs="Arial" w:eastAsia="Arial" w:hAnsi="Arial"/>
          <w:sz w:val="18"/>
          <w:szCs w:val="18"/>
          <w:i w:val="1"/>
          <w:iCs w:val="1"/>
          <w:color w:val="3E3935"/>
        </w:rPr>
        <w:t>This amount includes 285,000 shares that are held indirectly in the Mary T. Barra Grantor Retained Annuity Trust Agreement #2.</w:t>
      </w:r>
    </w:p>
    <w:p>
      <w:pPr>
        <w:spacing w:after="0" w:line="277" w:lineRule="exact"/>
        <w:rPr>
          <w:sz w:val="20"/>
          <w:szCs w:val="20"/>
          <w:color w:val="auto"/>
        </w:rPr>
      </w:pPr>
    </w:p>
    <w:p>
      <w:pPr>
        <w:ind w:left="120"/>
        <w:spacing w:after="0"/>
        <w:rPr>
          <w:sz w:val="20"/>
          <w:szCs w:val="20"/>
          <w:color w:val="auto"/>
        </w:rPr>
      </w:pPr>
      <w:r>
        <w:rPr>
          <w:rFonts w:ascii="Arial" w:cs="Arial" w:eastAsia="Arial" w:hAnsi="Arial"/>
          <w:sz w:val="29"/>
          <w:szCs w:val="29"/>
          <w:color w:val="3E3935"/>
        </w:rPr>
        <w:t>Delinquent Section 16(a) Reports</w:t>
      </w:r>
    </w:p>
    <w:p>
      <w:pPr>
        <w:spacing w:after="0" w:line="150" w:lineRule="exact"/>
        <w:rPr>
          <w:sz w:val="20"/>
          <w:szCs w:val="20"/>
          <w:color w:val="auto"/>
        </w:rPr>
      </w:pPr>
    </w:p>
    <w:p>
      <w:pPr>
        <w:jc w:val="both"/>
        <w:ind w:left="120"/>
        <w:spacing w:after="0" w:line="233" w:lineRule="auto"/>
        <w:rPr>
          <w:sz w:val="20"/>
          <w:szCs w:val="20"/>
          <w:color w:val="auto"/>
        </w:rPr>
      </w:pPr>
      <w:r>
        <w:rPr>
          <w:rFonts w:ascii="Arial" w:cs="Arial" w:eastAsia="Arial" w:hAnsi="Arial"/>
          <w:sz w:val="20"/>
          <w:szCs w:val="20"/>
          <w:color w:val="3E3935"/>
        </w:rPr>
        <w:t>Federal securities laws require that our directors and executive officers and shareholders that own more than 10 percent of our common stock report to the SEC and the Company certain changes in ownership information within specified periods. Based solely on a review of the reports furnished to us or filed with the SEC, and upon information furnished by these people, we believe that during 2022, our directors and executive officers timely complied with the requirements of Section 16(a) of the Securities Exchange Act of 1934, except for one Form 4 filing for Julian Blissett reporting a vesting transaction, which was filed late due to an administrative error.</w:t>
      </w:r>
    </w:p>
    <w:p>
      <w:pPr>
        <w:spacing w:after="0" w:line="117" w:lineRule="exact"/>
        <w:rPr>
          <w:sz w:val="20"/>
          <w:szCs w:val="20"/>
          <w:color w:val="auto"/>
        </w:rPr>
      </w:pPr>
    </w:p>
    <w:p>
      <w:pPr>
        <w:ind w:left="10660"/>
        <w:spacing w:after="0"/>
        <w:rPr>
          <w:sz w:val="20"/>
          <w:szCs w:val="20"/>
          <w:color w:val="auto"/>
        </w:rPr>
      </w:pPr>
      <w:r>
        <w:rPr>
          <w:rFonts w:ascii="Arial" w:cs="Arial" w:eastAsia="Arial" w:hAnsi="Arial"/>
          <w:sz w:val="14"/>
          <w:szCs w:val="14"/>
          <w:color w:val="0071CE"/>
        </w:rPr>
        <w:t>45</w:t>
      </w:r>
    </w:p>
    <w:p>
      <w:pPr>
        <w:sectPr>
          <w:pgSz w:w="11900" w:h="16838" w:orient="portrait"/>
          <w:cols w:equalWidth="0" w:num="1">
            <w:col w:w="11140"/>
          </w:cols>
          <w:pgMar w:left="320" w:top="482" w:right="4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11" w:lineRule="exact"/>
        <w:rPr>
          <w:sz w:val="20"/>
          <w:szCs w:val="20"/>
          <w:color w:val="auto"/>
        </w:rPr>
      </w:pPr>
    </w:p>
    <w:p>
      <w:pPr>
        <w:ind w:left="2380" w:right="1940" w:hanging="2267"/>
        <w:spacing w:after="0" w:line="263" w:lineRule="auto"/>
        <w:tabs>
          <w:tab w:leader="none" w:pos="2360" w:val="left"/>
        </w:tabs>
        <w:rPr>
          <w:sz w:val="20"/>
          <w:szCs w:val="20"/>
          <w:color w:val="auto"/>
        </w:rPr>
      </w:pPr>
      <w:r>
        <w:rPr>
          <w:rFonts w:ascii="Arial" w:cs="Arial" w:eastAsia="Arial" w:hAnsi="Arial"/>
          <w:sz w:val="32"/>
          <w:szCs w:val="32"/>
          <w:b w:val="1"/>
          <w:bCs w:val="1"/>
          <w:color w:val="3E3935"/>
        </w:rPr>
        <w:t>ITEM NO. 2:</w:t>
      </w:r>
      <w:r>
        <w:rPr>
          <w:rFonts w:ascii="Arial" w:cs="Arial" w:eastAsia="Arial" w:hAnsi="Arial"/>
          <w:sz w:val="32"/>
          <w:szCs w:val="32"/>
          <w:b w:val="1"/>
          <w:bCs w:val="1"/>
          <w:color w:val="00C1DE"/>
        </w:rPr>
        <w:tab/>
        <w:t>PROPOSAL TO RATIFY THE SELECTION OF ERNST &amp; YOUNG LLP AS THE COMPANY’S INDEPENDENT REGISTERED PUBLIC ACCOUNTING FIRM FOR 2023</w:t>
      </w:r>
    </w:p>
    <w:p>
      <w:pPr>
        <w:spacing w:after="0" w:line="205" w:lineRule="exact"/>
        <w:rPr>
          <w:sz w:val="20"/>
          <w:szCs w:val="20"/>
          <w:color w:val="auto"/>
        </w:rPr>
      </w:pPr>
    </w:p>
    <w:p>
      <w:pPr>
        <w:jc w:val="both"/>
        <w:ind w:left="120"/>
        <w:spacing w:after="0" w:line="234" w:lineRule="auto"/>
        <w:rPr>
          <w:sz w:val="20"/>
          <w:szCs w:val="20"/>
          <w:color w:val="auto"/>
        </w:rPr>
      </w:pPr>
      <w:r>
        <w:rPr>
          <w:rFonts w:ascii="Arial" w:cs="Arial" w:eastAsia="Arial" w:hAnsi="Arial"/>
          <w:sz w:val="20"/>
          <w:szCs w:val="20"/>
          <w:color w:val="3E3935"/>
        </w:rPr>
        <w:t>The Audit Committee is directly responsible for the appointment, compensation, retention, and oversight of the Company’s independent registered public accounting firm retained to audit the Company’s financial statements. The Audit Committee evaluates the selection of the Company’s independent auditors each year and determines whether to re-engage the current independent auditors or consider other firms. Following this process, the Audit Committee made the determination to re-engage Ernst &amp; Young LLP as the Company’s independent auditors for the fiscal year ending December 31, 2023.</w:t>
      </w:r>
    </w:p>
    <w:p>
      <w:pPr>
        <w:spacing w:after="0" w:line="107" w:lineRule="exact"/>
        <w:rPr>
          <w:sz w:val="20"/>
          <w:szCs w:val="20"/>
          <w:color w:val="auto"/>
        </w:rPr>
      </w:pPr>
    </w:p>
    <w:p>
      <w:pPr>
        <w:jc w:val="both"/>
        <w:ind w:left="120"/>
        <w:spacing w:after="0" w:line="231" w:lineRule="auto"/>
        <w:rPr>
          <w:sz w:val="20"/>
          <w:szCs w:val="20"/>
          <w:color w:val="auto"/>
        </w:rPr>
      </w:pPr>
      <w:r>
        <w:rPr>
          <w:rFonts w:ascii="Arial" w:cs="Arial" w:eastAsia="Arial" w:hAnsi="Arial"/>
          <w:sz w:val="20"/>
          <w:szCs w:val="20"/>
          <w:b w:val="1"/>
          <w:bCs w:val="1"/>
          <w:i w:val="1"/>
          <w:iCs w:val="1"/>
          <w:color w:val="0071CE"/>
        </w:rPr>
        <w:t xml:space="preserve">Criteria for Re-Engaging EY. </w:t>
      </w:r>
      <w:r>
        <w:rPr>
          <w:rFonts w:ascii="Arial" w:cs="Arial" w:eastAsia="Arial" w:hAnsi="Arial"/>
          <w:sz w:val="20"/>
          <w:szCs w:val="20"/>
          <w:color w:val="3E3935"/>
        </w:rPr>
        <w:t>EY has served as the Company’s independent registered public accounting firm since 2017</w:t>
      </w:r>
      <w:r>
        <w:rPr>
          <w:rFonts w:ascii="Arial" w:cs="Arial" w:eastAsia="Arial" w:hAnsi="Arial"/>
          <w:sz w:val="20"/>
          <w:szCs w:val="20"/>
          <w:b w:val="1"/>
          <w:bCs w:val="1"/>
          <w:i w:val="1"/>
          <w:iCs w:val="1"/>
          <w:color w:val="0071CE"/>
        </w:rPr>
        <w:t xml:space="preserve"> </w:t>
      </w:r>
      <w:r>
        <w:rPr>
          <w:rFonts w:ascii="Arial" w:cs="Arial" w:eastAsia="Arial" w:hAnsi="Arial"/>
          <w:sz w:val="20"/>
          <w:szCs w:val="20"/>
          <w:color w:val="3E3935"/>
        </w:rPr>
        <w:t>when the Audit Committee selected the firm as part of a competitive and comprehensive request for proposal process. Through this process, the Audit Committee evaluated firms based on several key factors, including audit quality; the benefits of tenure versus fresh perspective; cultural fit and business acumen; innovation and technology; auditor independence; and the appropriateness of fees relative to both efficiency and audit quality. These critical factors continue to drive the Audit Committee’s priorities with respect to the selection and retention of the Company’s independent auditors. Based on its annual review, the Audit Committee believes that the continued retention of EY as our independent auditors is in the best interests of our shareholders.</w:t>
      </w:r>
    </w:p>
    <w:p>
      <w:pPr>
        <w:spacing w:after="0" w:line="106" w:lineRule="exact"/>
        <w:rPr>
          <w:sz w:val="20"/>
          <w:szCs w:val="20"/>
          <w:color w:val="auto"/>
        </w:rPr>
      </w:pPr>
    </w:p>
    <w:p>
      <w:pPr>
        <w:jc w:val="both"/>
        <w:ind w:left="120" w:right="20"/>
        <w:spacing w:after="0" w:line="233" w:lineRule="auto"/>
        <w:rPr>
          <w:sz w:val="20"/>
          <w:szCs w:val="20"/>
          <w:color w:val="auto"/>
        </w:rPr>
      </w:pPr>
      <w:r>
        <w:rPr>
          <w:rFonts w:ascii="Arial" w:cs="Arial" w:eastAsia="Arial" w:hAnsi="Arial"/>
          <w:sz w:val="20"/>
          <w:szCs w:val="20"/>
          <w:b w:val="1"/>
          <w:bCs w:val="1"/>
          <w:i w:val="1"/>
          <w:iCs w:val="1"/>
          <w:color w:val="0071CE"/>
        </w:rPr>
        <w:t xml:space="preserve">Shareholder Ratification of Our Selection of EY. </w:t>
      </w:r>
      <w:r>
        <w:rPr>
          <w:rFonts w:ascii="Arial" w:cs="Arial" w:eastAsia="Arial" w:hAnsi="Arial"/>
          <w:sz w:val="20"/>
          <w:szCs w:val="20"/>
          <w:color w:val="3E3935"/>
        </w:rPr>
        <w:t>As a matter of good corporate governance, the Board submits the</w:t>
      </w:r>
      <w:r>
        <w:rPr>
          <w:rFonts w:ascii="Arial" w:cs="Arial" w:eastAsia="Arial" w:hAnsi="Arial"/>
          <w:sz w:val="20"/>
          <w:szCs w:val="20"/>
          <w:b w:val="1"/>
          <w:bCs w:val="1"/>
          <w:i w:val="1"/>
          <w:iCs w:val="1"/>
          <w:color w:val="0071CE"/>
        </w:rPr>
        <w:t xml:space="preserve"> </w:t>
      </w:r>
      <w:r>
        <w:rPr>
          <w:rFonts w:ascii="Arial" w:cs="Arial" w:eastAsia="Arial" w:hAnsi="Arial"/>
          <w:sz w:val="20"/>
          <w:szCs w:val="20"/>
          <w:color w:val="3E3935"/>
        </w:rPr>
        <w:t>selection of the independent auditors to our shareholders for ratification. If shareholders do not ratify the selection of EY, the Audit Committee will reconsider whether to engage EY, but may ultimately determine to engage EY or another audit firm without resubmitting the matter to shareholders. Even if the shareholders ratify the selection of EY, the Audit Committee may, in its sole discretion, terminate the engagement of EY and direct the appointment of another independent registered public accounting firm at any time during the year, although it has no current intention to do so.</w:t>
      </w:r>
    </w:p>
    <w:p>
      <w:pPr>
        <w:spacing w:after="0" w:line="91" w:lineRule="exact"/>
        <w:rPr>
          <w:sz w:val="20"/>
          <w:szCs w:val="20"/>
          <w:color w:val="auto"/>
        </w:rPr>
      </w:pPr>
    </w:p>
    <w:p>
      <w:pPr>
        <w:jc w:val="both"/>
        <w:ind w:left="120"/>
        <w:spacing w:after="0" w:line="241" w:lineRule="auto"/>
        <w:rPr>
          <w:sz w:val="20"/>
          <w:szCs w:val="20"/>
          <w:color w:val="auto"/>
        </w:rPr>
      </w:pPr>
      <w:r>
        <w:rPr>
          <w:rFonts w:ascii="Arial" w:cs="Arial" w:eastAsia="Arial" w:hAnsi="Arial"/>
          <w:sz w:val="20"/>
          <w:szCs w:val="20"/>
          <w:b w:val="1"/>
          <w:bCs w:val="1"/>
          <w:i w:val="1"/>
          <w:iCs w:val="1"/>
          <w:color w:val="0071CE"/>
        </w:rPr>
        <w:t xml:space="preserve">We Expect EY to Attend Our Annual Meeting. </w:t>
      </w:r>
      <w:r>
        <w:rPr>
          <w:rFonts w:ascii="Arial" w:cs="Arial" w:eastAsia="Arial" w:hAnsi="Arial"/>
          <w:sz w:val="20"/>
          <w:szCs w:val="20"/>
          <w:color w:val="3E3935"/>
        </w:rPr>
        <w:t>We expect that representatives of EY will be present at the Annual Meeting.</w:t>
      </w:r>
      <w:r>
        <w:rPr>
          <w:rFonts w:ascii="Arial" w:cs="Arial" w:eastAsia="Arial" w:hAnsi="Arial"/>
          <w:sz w:val="20"/>
          <w:szCs w:val="20"/>
          <w:b w:val="1"/>
          <w:bCs w:val="1"/>
          <w:i w:val="1"/>
          <w:iCs w:val="1"/>
          <w:color w:val="0071CE"/>
        </w:rPr>
        <w:t xml:space="preserve"> </w:t>
      </w:r>
      <w:r>
        <w:rPr>
          <w:rFonts w:ascii="Arial" w:cs="Arial" w:eastAsia="Arial" w:hAnsi="Arial"/>
          <w:sz w:val="20"/>
          <w:szCs w:val="20"/>
          <w:color w:val="3E3935"/>
        </w:rPr>
        <w:t>They will have an opportunity to make a statement if they so desire and are expected to be available to respond to appropriate questions from shareholders.</w:t>
      </w:r>
    </w:p>
    <w:p>
      <w:pPr>
        <w:spacing w:after="0" w:line="104" w:lineRule="exact"/>
        <w:rPr>
          <w:sz w:val="20"/>
          <w:szCs w:val="20"/>
          <w:color w:val="auto"/>
        </w:rPr>
      </w:pPr>
    </w:p>
    <w:p>
      <w:pPr>
        <w:ind w:left="120"/>
        <w:spacing w:after="0"/>
        <w:rPr>
          <w:sz w:val="20"/>
          <w:szCs w:val="20"/>
          <w:color w:val="auto"/>
        </w:rPr>
      </w:pPr>
      <w:r>
        <w:rPr>
          <w:rFonts w:ascii="Arial" w:cs="Arial" w:eastAsia="Arial" w:hAnsi="Arial"/>
          <w:sz w:val="19"/>
          <w:szCs w:val="19"/>
          <w:color w:val="3E3935"/>
        </w:rPr>
        <w:t>For additional information concerning the Audit Committee and its activities with EY, see the “Audit Committee Report”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166370</wp:posOffset>
            </wp:positionV>
            <wp:extent cx="6986270" cy="6686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986270" cy="668655"/>
                    </a:xfrm>
                    <a:prstGeom prst="rect">
                      <a:avLst/>
                    </a:prstGeom>
                    <a:noFill/>
                  </pic:spPr>
                </pic:pic>
              </a:graphicData>
            </a:graphic>
          </wp:anchor>
        </w:drawing>
      </w:r>
    </w:p>
    <w:p>
      <w:pPr>
        <w:spacing w:after="0" w:line="353" w:lineRule="exact"/>
        <w:rPr>
          <w:sz w:val="20"/>
          <w:szCs w:val="20"/>
          <w:color w:val="auto"/>
        </w:rPr>
      </w:pPr>
    </w:p>
    <w:tbl>
      <w:tblPr>
        <w:tblLayout w:type="fixed"/>
        <w:tblInd w:w="280" w:type="dxa"/>
        <w:tblCellMar>
          <w:top w:w="0" w:type="dxa"/>
          <w:left w:w="0" w:type="dxa"/>
          <w:bottom w:w="0" w:type="dxa"/>
          <w:right w:w="0" w:type="dxa"/>
        </w:tblCellMar>
      </w:tblPr>
      <w:tr>
        <w:trPr>
          <w:trHeight w:val="297"/>
        </w:trPr>
        <w:tc>
          <w:tcPr>
            <w:tcW w:w="9120" w:type="dxa"/>
            <w:vAlign w:val="bottom"/>
          </w:tcPr>
          <w:p>
            <w:pPr>
              <w:spacing w:after="0"/>
              <w:rPr>
                <w:sz w:val="20"/>
                <w:szCs w:val="20"/>
                <w:color w:val="auto"/>
              </w:rPr>
            </w:pPr>
            <w:r>
              <w:rPr>
                <w:rFonts w:ascii="Arial" w:cs="Arial" w:eastAsia="Arial" w:hAnsi="Arial"/>
                <w:sz w:val="25"/>
                <w:szCs w:val="25"/>
                <w:b w:val="1"/>
                <w:bCs w:val="1"/>
                <w:color w:val="0071CE"/>
              </w:rPr>
              <w:t xml:space="preserve">The Board recommends a vote </w:t>
            </w:r>
            <w:r>
              <w:rPr>
                <w:rFonts w:ascii="Arial" w:cs="Arial" w:eastAsia="Arial" w:hAnsi="Arial"/>
                <w:sz w:val="25"/>
                <w:szCs w:val="25"/>
                <w:b w:val="1"/>
                <w:bCs w:val="1"/>
                <w:u w:val="single" w:color="auto"/>
                <w:color w:val="00C1DE"/>
              </w:rPr>
              <w:t>FOR</w:t>
            </w:r>
            <w:r>
              <w:rPr>
                <w:rFonts w:ascii="Arial" w:cs="Arial" w:eastAsia="Arial" w:hAnsi="Arial"/>
                <w:sz w:val="25"/>
                <w:szCs w:val="25"/>
                <w:b w:val="1"/>
                <w:bCs w:val="1"/>
                <w:color w:val="0071CE"/>
              </w:rPr>
              <w:t xml:space="preserve"> the proposal to ratify the selection of</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9120" w:type="dxa"/>
            <w:vAlign w:val="bottom"/>
          </w:tcPr>
          <w:p>
            <w:pPr>
              <w:spacing w:after="0"/>
              <w:rPr>
                <w:sz w:val="20"/>
                <w:szCs w:val="20"/>
                <w:color w:val="auto"/>
              </w:rPr>
            </w:pPr>
            <w:r>
              <w:rPr>
                <w:rFonts w:ascii="Arial" w:cs="Arial" w:eastAsia="Arial" w:hAnsi="Arial"/>
                <w:sz w:val="25"/>
                <w:szCs w:val="25"/>
                <w:b w:val="1"/>
                <w:bCs w:val="1"/>
                <w:color w:val="0071CE"/>
              </w:rPr>
              <w:t>Ernst &amp; Young LLP as the Company’s independent registered public</w:t>
            </w:r>
          </w:p>
        </w:tc>
        <w:tc>
          <w:tcPr>
            <w:tcW w:w="960" w:type="dxa"/>
            <w:vAlign w:val="bottom"/>
            <w:vMerge w:val="restart"/>
          </w:tcPr>
          <w:p>
            <w:pPr>
              <w:ind w:left="360"/>
              <w:spacing w:after="0"/>
              <w:rPr>
                <w:sz w:val="20"/>
                <w:szCs w:val="20"/>
                <w:color w:val="auto"/>
              </w:rPr>
            </w:pPr>
            <w:r>
              <w:rPr>
                <w:rFonts w:ascii="Arial" w:cs="Arial" w:eastAsia="Arial" w:hAnsi="Arial"/>
                <w:sz w:val="29"/>
                <w:szCs w:val="29"/>
                <w:b w:val="1"/>
                <w:bCs w:val="1"/>
                <w:color w:val="0071CE"/>
                <w:w w:val="94"/>
              </w:rPr>
              <w:t>FOR</w:t>
            </w:r>
          </w:p>
        </w:tc>
        <w:tc>
          <w:tcPr>
            <w:tcW w:w="0" w:type="dxa"/>
            <w:vAlign w:val="bottom"/>
          </w:tcPr>
          <w:p>
            <w:pPr>
              <w:spacing w:after="0"/>
              <w:rPr>
                <w:sz w:val="1"/>
                <w:szCs w:val="1"/>
                <w:color w:val="auto"/>
              </w:rPr>
            </w:pPr>
          </w:p>
        </w:tc>
      </w:tr>
      <w:tr>
        <w:trPr>
          <w:trHeight w:val="348"/>
        </w:trPr>
        <w:tc>
          <w:tcPr>
            <w:tcW w:w="9120" w:type="dxa"/>
            <w:vAlign w:val="bottom"/>
          </w:tcPr>
          <w:p>
            <w:pPr>
              <w:spacing w:after="0"/>
              <w:rPr>
                <w:sz w:val="20"/>
                <w:szCs w:val="20"/>
                <w:color w:val="auto"/>
              </w:rPr>
            </w:pPr>
            <w:r>
              <w:rPr>
                <w:rFonts w:ascii="Arial" w:cs="Arial" w:eastAsia="Arial" w:hAnsi="Arial"/>
                <w:sz w:val="25"/>
                <w:szCs w:val="25"/>
                <w:b w:val="1"/>
                <w:bCs w:val="1"/>
                <w:color w:val="0071CE"/>
              </w:rPr>
              <w:t>accounting firm for 2023.</w:t>
            </w:r>
          </w:p>
        </w:tc>
        <w:tc>
          <w:tcPr>
            <w:tcW w:w="9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140" w:lineRule="exact"/>
        <w:rPr>
          <w:sz w:val="20"/>
          <w:szCs w:val="20"/>
          <w:color w:val="auto"/>
        </w:rPr>
      </w:pPr>
    </w:p>
    <w:p>
      <w:pPr>
        <w:ind w:left="120"/>
        <w:spacing w:after="0"/>
        <w:rPr>
          <w:sz w:val="20"/>
          <w:szCs w:val="20"/>
          <w:color w:val="auto"/>
        </w:rPr>
      </w:pPr>
      <w:r>
        <w:rPr>
          <w:rFonts w:ascii="Arial" w:cs="Arial" w:eastAsia="Arial" w:hAnsi="Arial"/>
          <w:sz w:val="14"/>
          <w:szCs w:val="14"/>
          <w:color w:val="0071CE"/>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wp:posOffset>
            </wp:positionH>
            <wp:positionV relativeFrom="paragraph">
              <wp:posOffset>-95885</wp:posOffset>
            </wp:positionV>
            <wp:extent cx="5983605" cy="10287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5983605" cy="102870"/>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98" w:lineRule="exact"/>
        <w:rPr>
          <w:sz w:val="20"/>
          <w:szCs w:val="20"/>
          <w:color w:val="auto"/>
        </w:rPr>
      </w:pPr>
    </w:p>
    <w:p>
      <w:pPr>
        <w:ind w:left="120"/>
        <w:spacing w:after="0"/>
        <w:rPr>
          <w:sz w:val="20"/>
          <w:szCs w:val="20"/>
          <w:color w:val="auto"/>
        </w:rPr>
      </w:pPr>
      <w:r>
        <w:rPr>
          <w:rFonts w:ascii="Arial" w:cs="Arial" w:eastAsia="Arial" w:hAnsi="Arial"/>
          <w:sz w:val="32"/>
          <w:szCs w:val="32"/>
          <w:b w:val="1"/>
          <w:bCs w:val="1"/>
          <w:color w:val="0071CE"/>
        </w:rPr>
        <w:t>AUDIT COMMITTEE REPORT</w:t>
      </w:r>
    </w:p>
    <w:p>
      <w:pPr>
        <w:spacing w:after="0" w:line="167" w:lineRule="exact"/>
        <w:rPr>
          <w:sz w:val="20"/>
          <w:szCs w:val="20"/>
          <w:color w:val="auto"/>
        </w:rPr>
      </w:pPr>
    </w:p>
    <w:p>
      <w:pPr>
        <w:jc w:val="both"/>
        <w:ind w:left="120" w:right="20"/>
        <w:spacing w:after="0" w:line="241" w:lineRule="auto"/>
        <w:rPr>
          <w:sz w:val="20"/>
          <w:szCs w:val="20"/>
          <w:color w:val="auto"/>
        </w:rPr>
      </w:pPr>
      <w:r>
        <w:rPr>
          <w:rFonts w:ascii="Arial" w:cs="Arial" w:eastAsia="Arial" w:hAnsi="Arial"/>
          <w:sz w:val="20"/>
          <w:szCs w:val="20"/>
          <w:color w:val="3E3935"/>
        </w:rPr>
        <w:t>The Audit Committee of the Board of Directors of General Motors Company is a standing committee composed of five independent directors: Thomas M. Schoewe (Chair), Wesley G. Bush, Joanne C. Crevoiserat, Linda R. Gooden, and Mark A. Tatum.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613410</wp:posOffset>
            </wp:positionH>
            <wp:positionV relativeFrom="paragraph">
              <wp:posOffset>139700</wp:posOffset>
            </wp:positionV>
            <wp:extent cx="5923280" cy="122555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5923280" cy="12255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120"/>
        <w:spacing w:after="0"/>
        <w:rPr>
          <w:sz w:val="20"/>
          <w:szCs w:val="20"/>
          <w:color w:val="auto"/>
        </w:rPr>
      </w:pPr>
      <w:r>
        <w:rPr>
          <w:rFonts w:ascii="Arial" w:cs="Arial" w:eastAsia="Arial" w:hAnsi="Arial"/>
          <w:sz w:val="29"/>
          <w:szCs w:val="29"/>
          <w:color w:val="3E3935"/>
        </w:rPr>
        <w:t>Purpose</w:t>
      </w:r>
    </w:p>
    <w:p>
      <w:pPr>
        <w:spacing w:after="0" w:line="163" w:lineRule="exact"/>
        <w:rPr>
          <w:sz w:val="20"/>
          <w:szCs w:val="20"/>
          <w:color w:val="auto"/>
        </w:rPr>
      </w:pPr>
    </w:p>
    <w:p>
      <w:pPr>
        <w:ind w:left="120"/>
        <w:spacing w:after="0"/>
        <w:rPr>
          <w:sz w:val="20"/>
          <w:szCs w:val="20"/>
          <w:color w:val="auto"/>
        </w:rPr>
      </w:pPr>
      <w:r>
        <w:rPr>
          <w:rFonts w:ascii="Arial" w:cs="Arial" w:eastAsia="Arial" w:hAnsi="Arial"/>
          <w:sz w:val="20"/>
          <w:szCs w:val="20"/>
          <w:color w:val="3E3935"/>
        </w:rPr>
        <w:t>The Audit Committee’s core purpose is to assist the Board by providing oversight of:</w:t>
      </w:r>
    </w:p>
    <w:p>
      <w:pPr>
        <w:spacing w:after="0" w:line="67" w:lineRule="exact"/>
        <w:rPr>
          <w:sz w:val="20"/>
          <w:szCs w:val="20"/>
          <w:color w:val="auto"/>
        </w:rPr>
      </w:pPr>
    </w:p>
    <w:p>
      <w:pPr>
        <w:ind w:left="760" w:hanging="320"/>
        <w:spacing w:after="0"/>
        <w:tabs>
          <w:tab w:leader="none" w:pos="760" w:val="left"/>
        </w:tabs>
        <w:numPr>
          <w:ilvl w:val="0"/>
          <w:numId w:val="71"/>
        </w:numPr>
        <w:rPr>
          <w:rFonts w:ascii="Arial" w:cs="Arial" w:eastAsia="Arial" w:hAnsi="Arial"/>
          <w:sz w:val="20"/>
          <w:szCs w:val="20"/>
          <w:color w:val="00C1DE"/>
        </w:rPr>
      </w:pPr>
      <w:r>
        <w:rPr>
          <w:rFonts w:ascii="Arial" w:cs="Arial" w:eastAsia="Arial" w:hAnsi="Arial"/>
          <w:sz w:val="20"/>
          <w:szCs w:val="20"/>
          <w:color w:val="3E3935"/>
        </w:rPr>
        <w:t>The quality and integrity of GM’s financial statements;</w:t>
      </w:r>
    </w:p>
    <w:p>
      <w:pPr>
        <w:spacing w:after="0" w:line="80" w:lineRule="exact"/>
        <w:rPr>
          <w:rFonts w:ascii="Arial" w:cs="Arial" w:eastAsia="Arial" w:hAnsi="Arial"/>
          <w:sz w:val="20"/>
          <w:szCs w:val="20"/>
          <w:color w:val="00C1DE"/>
        </w:rPr>
      </w:pPr>
    </w:p>
    <w:p>
      <w:pPr>
        <w:ind w:left="760" w:hanging="320"/>
        <w:spacing w:after="0"/>
        <w:tabs>
          <w:tab w:leader="none" w:pos="760" w:val="left"/>
        </w:tabs>
        <w:numPr>
          <w:ilvl w:val="0"/>
          <w:numId w:val="71"/>
        </w:numPr>
        <w:rPr>
          <w:rFonts w:ascii="Arial" w:cs="Arial" w:eastAsia="Arial" w:hAnsi="Arial"/>
          <w:sz w:val="20"/>
          <w:szCs w:val="20"/>
          <w:color w:val="00C1DE"/>
        </w:rPr>
      </w:pPr>
      <w:r>
        <w:rPr>
          <w:rFonts w:ascii="Arial" w:cs="Arial" w:eastAsia="Arial" w:hAnsi="Arial"/>
          <w:sz w:val="20"/>
          <w:szCs w:val="20"/>
          <w:color w:val="3E3935"/>
        </w:rPr>
        <w:t>The effectiveness of GM’s financial reporting process and systems of disclosure controls and internal controls;</w:t>
      </w:r>
    </w:p>
    <w:p>
      <w:pPr>
        <w:spacing w:after="0" w:line="80" w:lineRule="exact"/>
        <w:rPr>
          <w:rFonts w:ascii="Arial" w:cs="Arial" w:eastAsia="Arial" w:hAnsi="Arial"/>
          <w:sz w:val="20"/>
          <w:szCs w:val="20"/>
          <w:color w:val="00C1DE"/>
        </w:rPr>
      </w:pPr>
    </w:p>
    <w:p>
      <w:pPr>
        <w:ind w:left="760" w:hanging="320"/>
        <w:spacing w:after="0"/>
        <w:tabs>
          <w:tab w:leader="none" w:pos="760" w:val="left"/>
        </w:tabs>
        <w:numPr>
          <w:ilvl w:val="0"/>
          <w:numId w:val="71"/>
        </w:numPr>
        <w:rPr>
          <w:rFonts w:ascii="Arial" w:cs="Arial" w:eastAsia="Arial" w:hAnsi="Arial"/>
          <w:sz w:val="20"/>
          <w:szCs w:val="20"/>
          <w:color w:val="00C1DE"/>
        </w:rPr>
      </w:pPr>
      <w:r>
        <w:rPr>
          <w:rFonts w:ascii="Arial" w:cs="Arial" w:eastAsia="Arial" w:hAnsi="Arial"/>
          <w:sz w:val="20"/>
          <w:szCs w:val="20"/>
          <w:color w:val="3E3935"/>
        </w:rPr>
        <w:t>The qualifications, performance, and independence of GM’s external auditors and their audit process;</w:t>
      </w:r>
    </w:p>
    <w:p>
      <w:pPr>
        <w:spacing w:after="0" w:line="80" w:lineRule="exact"/>
        <w:rPr>
          <w:rFonts w:ascii="Arial" w:cs="Arial" w:eastAsia="Arial" w:hAnsi="Arial"/>
          <w:sz w:val="20"/>
          <w:szCs w:val="20"/>
          <w:color w:val="00C1DE"/>
        </w:rPr>
      </w:pPr>
    </w:p>
    <w:p>
      <w:pPr>
        <w:ind w:left="760" w:hanging="320"/>
        <w:spacing w:after="0"/>
        <w:tabs>
          <w:tab w:leader="none" w:pos="760" w:val="left"/>
        </w:tabs>
        <w:numPr>
          <w:ilvl w:val="0"/>
          <w:numId w:val="71"/>
        </w:numPr>
        <w:rPr>
          <w:rFonts w:ascii="Arial" w:cs="Arial" w:eastAsia="Arial" w:hAnsi="Arial"/>
          <w:sz w:val="20"/>
          <w:szCs w:val="20"/>
          <w:color w:val="00C1DE"/>
        </w:rPr>
      </w:pPr>
      <w:r>
        <w:rPr>
          <w:rFonts w:ascii="Arial" w:cs="Arial" w:eastAsia="Arial" w:hAnsi="Arial"/>
          <w:sz w:val="20"/>
          <w:szCs w:val="20"/>
          <w:color w:val="3E3935"/>
        </w:rPr>
        <w:t>The scope and performance of GM’s internal audit function; and</w:t>
      </w:r>
    </w:p>
    <w:p>
      <w:pPr>
        <w:spacing w:after="0" w:line="80" w:lineRule="exact"/>
        <w:rPr>
          <w:rFonts w:ascii="Arial" w:cs="Arial" w:eastAsia="Arial" w:hAnsi="Arial"/>
          <w:sz w:val="20"/>
          <w:szCs w:val="20"/>
          <w:color w:val="00C1DE"/>
        </w:rPr>
      </w:pPr>
    </w:p>
    <w:p>
      <w:pPr>
        <w:ind w:left="760" w:hanging="320"/>
        <w:spacing w:after="0"/>
        <w:tabs>
          <w:tab w:leader="none" w:pos="760" w:val="left"/>
        </w:tabs>
        <w:numPr>
          <w:ilvl w:val="0"/>
          <w:numId w:val="71"/>
        </w:numPr>
        <w:rPr>
          <w:rFonts w:ascii="Arial" w:cs="Arial" w:eastAsia="Arial" w:hAnsi="Arial"/>
          <w:sz w:val="20"/>
          <w:szCs w:val="20"/>
          <w:color w:val="00C1DE"/>
        </w:rPr>
      </w:pPr>
      <w:r>
        <w:rPr>
          <w:rFonts w:ascii="Arial" w:cs="Arial" w:eastAsia="Arial" w:hAnsi="Arial"/>
          <w:sz w:val="20"/>
          <w:szCs w:val="20"/>
          <w:color w:val="3E3935"/>
        </w:rPr>
        <w:t>GM’s policies and procedures regarding ethics and legal risk.</w:t>
      </w:r>
    </w:p>
    <w:p>
      <w:pPr>
        <w:spacing w:after="0" w:line="135" w:lineRule="exact"/>
        <w:rPr>
          <w:sz w:val="20"/>
          <w:szCs w:val="20"/>
          <w:color w:val="auto"/>
        </w:rPr>
      </w:pPr>
    </w:p>
    <w:p>
      <w:pPr>
        <w:jc w:val="both"/>
        <w:ind w:left="120" w:right="20"/>
        <w:spacing w:after="0" w:line="237" w:lineRule="auto"/>
        <w:rPr>
          <w:sz w:val="20"/>
          <w:szCs w:val="20"/>
          <w:color w:val="auto"/>
        </w:rPr>
      </w:pPr>
      <w:r>
        <w:rPr>
          <w:rFonts w:ascii="Arial" w:cs="Arial" w:eastAsia="Arial" w:hAnsi="Arial"/>
          <w:sz w:val="20"/>
          <w:szCs w:val="20"/>
          <w:color w:val="3E3935"/>
        </w:rPr>
        <w:t xml:space="preserve">The Audit Committee operates under a written charter adopted by the Audit Committee and approved by the Board of Directors. The Audit Committee’s charter is posted on our website at </w:t>
      </w:r>
      <w:r>
        <w:rPr>
          <w:rFonts w:ascii="Arial" w:cs="Arial" w:eastAsia="Arial" w:hAnsi="Arial"/>
          <w:sz w:val="20"/>
          <w:szCs w:val="20"/>
          <w:i w:val="1"/>
          <w:iCs w:val="1"/>
          <w:color w:val="00C1DE"/>
        </w:rPr>
        <w:t>investor.gm.com/esg</w:t>
      </w:r>
      <w:r>
        <w:rPr>
          <w:rFonts w:ascii="Arial" w:cs="Arial" w:eastAsia="Arial" w:hAnsi="Arial"/>
          <w:sz w:val="20"/>
          <w:szCs w:val="20"/>
          <w:color w:val="3E3935"/>
        </w:rPr>
        <w:t>. The Audit Committee’s charter is reviewed at least once annually and is updated as necessary to address changes in regulatory requirements, authoritative guidance, evolving best practices, and shareholder feedback.</w:t>
      </w:r>
    </w:p>
    <w:p>
      <w:pPr>
        <w:spacing w:after="0" w:line="104" w:lineRule="exact"/>
        <w:rPr>
          <w:sz w:val="20"/>
          <w:szCs w:val="20"/>
          <w:color w:val="auto"/>
        </w:rPr>
      </w:pPr>
    </w:p>
    <w:p>
      <w:pPr>
        <w:jc w:val="both"/>
        <w:ind w:left="120" w:right="20"/>
        <w:spacing w:after="0" w:line="233" w:lineRule="auto"/>
        <w:rPr>
          <w:sz w:val="20"/>
          <w:szCs w:val="20"/>
          <w:color w:val="auto"/>
        </w:rPr>
      </w:pPr>
      <w:r>
        <w:rPr>
          <w:rFonts w:ascii="Arial" w:cs="Arial" w:eastAsia="Arial" w:hAnsi="Arial"/>
          <w:sz w:val="20"/>
          <w:szCs w:val="20"/>
          <w:color w:val="3E3935"/>
        </w:rPr>
        <w:t>Management is responsible for the Company’s internal controls and the financial reporting process and has delivered its opinion on the effectiveness of the Company’s controls. EY is responsible for performing an independent audit of the Company’s consolidated financial statements and opining on the effectiveness of internal controls over financial reporting in accordance with the standards of the Public Company Accounting Oversight Board (United States) (the “PCAOB”) and issuing its reports thereon. As provided in its charter, the Audit Committee’s responsibilities include monitoring and overseeing these processes.</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29"/>
          <w:szCs w:val="29"/>
          <w:color w:val="3E3935"/>
        </w:rPr>
        <w:t>Required Disclosures</w:t>
      </w:r>
    </w:p>
    <w:p>
      <w:pPr>
        <w:spacing w:after="0" w:line="163" w:lineRule="exact"/>
        <w:rPr>
          <w:sz w:val="20"/>
          <w:szCs w:val="20"/>
          <w:color w:val="auto"/>
        </w:rPr>
      </w:pPr>
    </w:p>
    <w:p>
      <w:pPr>
        <w:jc w:val="both"/>
        <w:ind w:left="120"/>
        <w:spacing w:after="0" w:line="230" w:lineRule="auto"/>
        <w:rPr>
          <w:sz w:val="20"/>
          <w:szCs w:val="20"/>
          <w:color w:val="auto"/>
        </w:rPr>
      </w:pPr>
      <w:r>
        <w:rPr>
          <w:rFonts w:ascii="Arial" w:cs="Arial" w:eastAsia="Arial" w:hAnsi="Arial"/>
          <w:sz w:val="20"/>
          <w:szCs w:val="20"/>
          <w:color w:val="3E3935"/>
        </w:rPr>
        <w:t>In 2022, the Audit Committee met eight times and fulfilled all of its core charter obligations. Consistent with its charter responsibilities, the Audit Committee met and held discussions with management and EY regarding the Company’s audited financial statements and internal controls for the year ended December 31, 2022. In this context, management represented to the Audit Committee that the Company’s consolidated financial statements were prepared in accordance with accounting principles generally accepted in the United States. The Audit Committee reviewed and discussed the consolidated financial statements with management and EY and further discussed with EY the matters required to be discussed by the requirements of the PCAOB and the SEC. This review included a discussion with management and EY of the quality, not merely the acceptability, of GM’s accounting principles, the reasonableness of significant estimates and judgments, and the clarity of disclosure in GM’s financial</w:t>
      </w:r>
    </w:p>
    <w:p>
      <w:pPr>
        <w:spacing w:after="0" w:line="121" w:lineRule="exact"/>
        <w:rPr>
          <w:sz w:val="20"/>
          <w:szCs w:val="20"/>
          <w:color w:val="auto"/>
        </w:rPr>
      </w:pPr>
    </w:p>
    <w:p>
      <w:pPr>
        <w:ind w:left="10660"/>
        <w:spacing w:after="0"/>
        <w:rPr>
          <w:sz w:val="20"/>
          <w:szCs w:val="20"/>
          <w:color w:val="auto"/>
        </w:rPr>
      </w:pPr>
      <w:r>
        <w:rPr>
          <w:rFonts w:ascii="Arial" w:cs="Arial" w:eastAsia="Arial" w:hAnsi="Arial"/>
          <w:sz w:val="14"/>
          <w:szCs w:val="14"/>
          <w:color w:val="0071CE"/>
        </w:rPr>
        <w:t>47</w:t>
      </w:r>
    </w:p>
    <w:p>
      <w:pPr>
        <w:sectPr>
          <w:pgSz w:w="11900" w:h="16838" w:orient="portrait"/>
          <w:cols w:equalWidth="0" w:num="1">
            <w:col w:w="11140"/>
          </w:cols>
          <w:pgMar w:left="320" w:top="482" w:right="4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6" w:lineRule="exact"/>
        <w:rPr>
          <w:sz w:val="20"/>
          <w:szCs w:val="20"/>
          <w:color w:val="auto"/>
        </w:rPr>
      </w:pPr>
    </w:p>
    <w:p>
      <w:pPr>
        <w:jc w:val="both"/>
        <w:ind w:left="120"/>
        <w:spacing w:after="0" w:line="234" w:lineRule="auto"/>
        <w:rPr>
          <w:sz w:val="20"/>
          <w:szCs w:val="20"/>
          <w:color w:val="auto"/>
        </w:rPr>
      </w:pPr>
      <w:r>
        <w:rPr>
          <w:rFonts w:ascii="Arial" w:cs="Arial" w:eastAsia="Arial" w:hAnsi="Arial"/>
          <w:sz w:val="20"/>
          <w:szCs w:val="20"/>
          <w:color w:val="3E3935"/>
        </w:rPr>
        <w:t>statements, including the disclosures related to critical accounting estimates and critical audit matters. EY also provided to the Audit Committee the written disclosures and letter required by the applicable requirements of the PCAOB concerning independence, and the Audit Committee discussed with EY the auditor’s independence. The Audit Committee also considered and determined that the provision of non-audit services to GM is compatible with maintaining EY’s independence. The Audit Committee concluded that EY was independent from the Company and management.</w:t>
      </w:r>
    </w:p>
    <w:p>
      <w:pPr>
        <w:spacing w:after="0" w:line="107" w:lineRule="exact"/>
        <w:rPr>
          <w:sz w:val="20"/>
          <w:szCs w:val="20"/>
          <w:color w:val="auto"/>
        </w:rPr>
      </w:pPr>
    </w:p>
    <w:p>
      <w:pPr>
        <w:jc w:val="both"/>
        <w:ind w:left="120" w:right="20"/>
        <w:spacing w:after="0" w:line="257" w:lineRule="auto"/>
        <w:rPr>
          <w:sz w:val="20"/>
          <w:szCs w:val="20"/>
          <w:color w:val="auto"/>
        </w:rPr>
      </w:pPr>
      <w:r>
        <w:rPr>
          <w:rFonts w:ascii="Arial" w:cs="Arial" w:eastAsia="Arial" w:hAnsi="Arial"/>
          <w:sz w:val="20"/>
          <w:szCs w:val="20"/>
          <w:color w:val="3E3935"/>
        </w:rPr>
        <w:t>For additional information about GM’s policies and procedures related to the approval of EY’s audit and non-audit services, see “Policy for Approval of Audit and Permitted Non-Audit Services” on page 49.</w:t>
      </w:r>
    </w:p>
    <w:p>
      <w:pPr>
        <w:spacing w:after="0" w:line="212" w:lineRule="exact"/>
        <w:rPr>
          <w:sz w:val="20"/>
          <w:szCs w:val="20"/>
          <w:color w:val="auto"/>
        </w:rPr>
      </w:pPr>
    </w:p>
    <w:p>
      <w:pPr>
        <w:ind w:left="120"/>
        <w:spacing w:after="0"/>
        <w:rPr>
          <w:sz w:val="20"/>
          <w:szCs w:val="20"/>
          <w:color w:val="auto"/>
        </w:rPr>
      </w:pPr>
      <w:r>
        <w:rPr>
          <w:rFonts w:ascii="Arial" w:cs="Arial" w:eastAsia="Arial" w:hAnsi="Arial"/>
          <w:sz w:val="29"/>
          <w:szCs w:val="29"/>
          <w:color w:val="3E3935"/>
        </w:rPr>
        <w:t>Recommendation</w:t>
      </w:r>
    </w:p>
    <w:p>
      <w:pPr>
        <w:spacing w:after="0" w:line="163" w:lineRule="exact"/>
        <w:rPr>
          <w:sz w:val="20"/>
          <w:szCs w:val="20"/>
          <w:color w:val="auto"/>
        </w:rPr>
      </w:pPr>
    </w:p>
    <w:p>
      <w:pPr>
        <w:jc w:val="both"/>
        <w:ind w:left="120"/>
        <w:spacing w:after="0" w:line="234" w:lineRule="auto"/>
        <w:rPr>
          <w:sz w:val="20"/>
          <w:szCs w:val="20"/>
          <w:color w:val="auto"/>
        </w:rPr>
      </w:pPr>
      <w:r>
        <w:rPr>
          <w:rFonts w:ascii="Arial" w:cs="Arial" w:eastAsia="Arial" w:hAnsi="Arial"/>
          <w:sz w:val="20"/>
          <w:szCs w:val="20"/>
          <w:color w:val="3E3935"/>
        </w:rPr>
        <w:t>Based upon the Audit Committee’s discussions with management and EY as described in this report and the Audit Committee’s review of the representation of management and the reports of EY to the Audit Committee, the Audit Committee recommended to the Board of Directors, and the Board of Directors approved, the inclusion of the audited consolidated financial statements in the Company’s Annual Report on Form 10-K for the year ended December 31, 2022, as filed with the SEC on January 31, 2023.</w:t>
      </w:r>
    </w:p>
    <w:p>
      <w:pPr>
        <w:spacing w:after="0" w:line="294" w:lineRule="exact"/>
        <w:rPr>
          <w:sz w:val="20"/>
          <w:szCs w:val="20"/>
          <w:color w:val="auto"/>
        </w:rPr>
      </w:pPr>
    </w:p>
    <w:p>
      <w:pPr>
        <w:ind w:left="6620"/>
        <w:spacing w:after="0"/>
        <w:rPr>
          <w:sz w:val="20"/>
          <w:szCs w:val="20"/>
          <w:color w:val="auto"/>
        </w:rPr>
      </w:pPr>
      <w:r>
        <w:rPr>
          <w:rFonts w:ascii="Arial" w:cs="Arial" w:eastAsia="Arial" w:hAnsi="Arial"/>
          <w:sz w:val="20"/>
          <w:szCs w:val="20"/>
          <w:b w:val="1"/>
          <w:bCs w:val="1"/>
          <w:color w:val="3E3935"/>
        </w:rPr>
        <w:t>Audit Committee</w:t>
      </w:r>
    </w:p>
    <w:p>
      <w:pPr>
        <w:ind w:left="6620"/>
        <w:spacing w:after="0" w:line="231" w:lineRule="auto"/>
        <w:rPr>
          <w:sz w:val="20"/>
          <w:szCs w:val="20"/>
          <w:color w:val="auto"/>
        </w:rPr>
      </w:pPr>
      <w:r>
        <w:rPr>
          <w:rFonts w:ascii="Arial" w:cs="Arial" w:eastAsia="Arial" w:hAnsi="Arial"/>
          <w:sz w:val="20"/>
          <w:szCs w:val="20"/>
          <w:color w:val="3E3935"/>
        </w:rPr>
        <w:t>Thomas M. Schoewe (Chair)</w:t>
      </w:r>
    </w:p>
    <w:p>
      <w:pPr>
        <w:ind w:left="6620"/>
        <w:spacing w:after="0" w:line="226" w:lineRule="auto"/>
        <w:rPr>
          <w:sz w:val="20"/>
          <w:szCs w:val="20"/>
          <w:color w:val="auto"/>
        </w:rPr>
      </w:pPr>
      <w:r>
        <w:rPr>
          <w:rFonts w:ascii="Arial" w:cs="Arial" w:eastAsia="Arial" w:hAnsi="Arial"/>
          <w:sz w:val="20"/>
          <w:szCs w:val="20"/>
          <w:color w:val="3E3935"/>
        </w:rPr>
        <w:t>Wesley G. Bush</w:t>
      </w:r>
    </w:p>
    <w:p>
      <w:pPr>
        <w:ind w:left="6620"/>
        <w:spacing w:after="0" w:line="225" w:lineRule="auto"/>
        <w:rPr>
          <w:sz w:val="20"/>
          <w:szCs w:val="20"/>
          <w:color w:val="auto"/>
        </w:rPr>
      </w:pPr>
      <w:r>
        <w:rPr>
          <w:rFonts w:ascii="Arial" w:cs="Arial" w:eastAsia="Arial" w:hAnsi="Arial"/>
          <w:sz w:val="20"/>
          <w:szCs w:val="20"/>
          <w:color w:val="3E3935"/>
        </w:rPr>
        <w:t>Joanne C. Crevoiserat</w:t>
      </w:r>
    </w:p>
    <w:p>
      <w:pPr>
        <w:ind w:left="6620"/>
        <w:spacing w:after="0" w:line="225" w:lineRule="auto"/>
        <w:rPr>
          <w:sz w:val="20"/>
          <w:szCs w:val="20"/>
          <w:color w:val="auto"/>
        </w:rPr>
      </w:pPr>
      <w:r>
        <w:rPr>
          <w:rFonts w:ascii="Arial" w:cs="Arial" w:eastAsia="Arial" w:hAnsi="Arial"/>
          <w:sz w:val="20"/>
          <w:szCs w:val="20"/>
          <w:color w:val="3E3935"/>
        </w:rPr>
        <w:t>Linda R. Gooden</w:t>
      </w:r>
    </w:p>
    <w:p>
      <w:pPr>
        <w:spacing w:after="0" w:line="1" w:lineRule="exact"/>
        <w:rPr>
          <w:sz w:val="20"/>
          <w:szCs w:val="20"/>
          <w:color w:val="auto"/>
        </w:rPr>
      </w:pPr>
    </w:p>
    <w:p>
      <w:pPr>
        <w:ind w:left="6620"/>
        <w:spacing w:after="0"/>
        <w:rPr>
          <w:sz w:val="20"/>
          <w:szCs w:val="20"/>
          <w:color w:val="auto"/>
        </w:rPr>
      </w:pPr>
      <w:r>
        <w:rPr>
          <w:rFonts w:ascii="Arial" w:cs="Arial" w:eastAsia="Arial" w:hAnsi="Arial"/>
          <w:sz w:val="20"/>
          <w:szCs w:val="20"/>
          <w:color w:val="3E3935"/>
        </w:rPr>
        <w:t>Mark A. Tatum</w:t>
      </w:r>
    </w:p>
    <w:p>
      <w:pPr>
        <w:spacing w:after="0" w:line="130" w:lineRule="exact"/>
        <w:rPr>
          <w:sz w:val="20"/>
          <w:szCs w:val="20"/>
          <w:color w:val="auto"/>
        </w:rPr>
      </w:pPr>
    </w:p>
    <w:p>
      <w:pPr>
        <w:jc w:val="both"/>
        <w:ind w:left="120"/>
        <w:spacing w:after="0" w:line="241" w:lineRule="auto"/>
        <w:rPr>
          <w:sz w:val="20"/>
          <w:szCs w:val="20"/>
          <w:color w:val="auto"/>
        </w:rPr>
      </w:pPr>
      <w:r>
        <w:rPr>
          <w:rFonts w:ascii="Arial" w:cs="Arial" w:eastAsia="Arial" w:hAnsi="Arial"/>
          <w:sz w:val="20"/>
          <w:szCs w:val="20"/>
          <w:i w:val="1"/>
          <w:iCs w:val="1"/>
          <w:color w:val="3E3935"/>
        </w:rPr>
        <w:t>The preceding Audit Committee Report shall not be deemed incorporated by reference by any general statement incorporating by reference this Proxy Statement or any portion hereof into any filing under the Securities Act of 1933, as amended, or the Securities Exchange Act of 1934, as amended, and shall not otherwise be deemed filed thereunder.</w:t>
      </w:r>
    </w:p>
    <w:p>
      <w:pPr>
        <w:spacing w:after="0" w:line="116" w:lineRule="exact"/>
        <w:rPr>
          <w:sz w:val="20"/>
          <w:szCs w:val="20"/>
          <w:color w:val="auto"/>
        </w:rPr>
      </w:pPr>
    </w:p>
    <w:p>
      <w:pPr>
        <w:ind w:left="120"/>
        <w:spacing w:after="0"/>
        <w:rPr>
          <w:sz w:val="20"/>
          <w:szCs w:val="20"/>
          <w:color w:val="auto"/>
        </w:rPr>
      </w:pPr>
      <w:r>
        <w:rPr>
          <w:rFonts w:ascii="Arial" w:cs="Arial" w:eastAsia="Arial" w:hAnsi="Arial"/>
          <w:sz w:val="14"/>
          <w:szCs w:val="14"/>
          <w:color w:val="0071CE"/>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wp:posOffset>
            </wp:positionH>
            <wp:positionV relativeFrom="paragraph">
              <wp:posOffset>-95885</wp:posOffset>
            </wp:positionV>
            <wp:extent cx="5983605" cy="10287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5983605" cy="102870"/>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28"/>
          <w:szCs w:val="28"/>
          <w:color w:val="3E3935"/>
        </w:rPr>
        <w:t>Fees Paid to Independent Registered Public Accounting Firm</w:t>
      </w:r>
    </w:p>
    <w:p>
      <w:pPr>
        <w:sectPr>
          <w:pgSz w:w="11900" w:h="16838" w:orient="portrait"/>
          <w:cols w:equalWidth="0" w:num="1">
            <w:col w:w="11140"/>
          </w:cols>
          <w:pgMar w:left="320" w:top="482" w:right="439" w:bottom="1440" w:gutter="0" w:footer="0" w:header="0"/>
        </w:sectPr>
      </w:pPr>
    </w:p>
    <w:p>
      <w:pPr>
        <w:spacing w:after="0" w:line="229" w:lineRule="exact"/>
        <w:rPr>
          <w:sz w:val="20"/>
          <w:szCs w:val="20"/>
          <w:color w:val="auto"/>
        </w:rPr>
      </w:pPr>
    </w:p>
    <w:p>
      <w:pPr>
        <w:jc w:val="both"/>
        <w:ind w:left="120"/>
        <w:spacing w:after="0" w:line="232" w:lineRule="auto"/>
        <w:rPr>
          <w:sz w:val="20"/>
          <w:szCs w:val="20"/>
          <w:color w:val="auto"/>
        </w:rPr>
      </w:pPr>
      <w:r>
        <w:rPr>
          <w:rFonts w:ascii="Arial" w:cs="Arial" w:eastAsia="Arial" w:hAnsi="Arial"/>
          <w:sz w:val="20"/>
          <w:szCs w:val="20"/>
          <w:color w:val="3E3935"/>
        </w:rPr>
        <w:t>The following table summarizes the fees for professional services provided by EY for the audit of GM’s annual financial statements and internal control over financial reporting for the years ended December 31, 2022 and 2021, together with the fees billed for other services rendered by EY during these periods. The numbers in the table below may not sum due to rounding.</w:t>
      </w:r>
    </w:p>
    <w:p>
      <w:pPr>
        <w:spacing w:after="0" w:line="200" w:lineRule="exact"/>
        <w:rPr>
          <w:sz w:val="20"/>
          <w:szCs w:val="20"/>
          <w:color w:val="auto"/>
        </w:rPr>
      </w:pPr>
    </w:p>
    <w:tbl>
      <w:tblPr>
        <w:tblLayout w:type="fixed"/>
        <w:tblInd w:w="120" w:type="dxa"/>
        <w:tblCellMar>
          <w:top w:w="0" w:type="dxa"/>
          <w:left w:w="0" w:type="dxa"/>
          <w:bottom w:w="0" w:type="dxa"/>
          <w:right w:w="0" w:type="dxa"/>
        </w:tblCellMar>
      </w:tblPr>
      <w:tr>
        <w:trPr>
          <w:trHeight w:val="219"/>
        </w:trPr>
        <w:tc>
          <w:tcPr>
            <w:tcW w:w="1620" w:type="dxa"/>
            <w:vAlign w:val="bottom"/>
            <w:tcBorders>
              <w:top w:val="single" w:sz="8" w:color="00C1DE"/>
            </w:tcBorders>
          </w:tcPr>
          <w:p>
            <w:pPr>
              <w:spacing w:after="0"/>
              <w:rPr>
                <w:sz w:val="19"/>
                <w:szCs w:val="19"/>
                <w:color w:val="auto"/>
              </w:rPr>
            </w:pPr>
          </w:p>
        </w:tc>
        <w:tc>
          <w:tcPr>
            <w:tcW w:w="1960" w:type="dxa"/>
            <w:vAlign w:val="bottom"/>
            <w:tcBorders>
              <w:top w:val="single" w:sz="8" w:color="00C1DE"/>
            </w:tcBorders>
          </w:tcPr>
          <w:p>
            <w:pPr>
              <w:jc w:val="right"/>
              <w:ind w:right="261"/>
              <w:spacing w:after="0" w:line="219" w:lineRule="exact"/>
              <w:rPr>
                <w:sz w:val="20"/>
                <w:szCs w:val="20"/>
                <w:color w:val="auto"/>
              </w:rPr>
            </w:pPr>
            <w:r>
              <w:rPr>
                <w:rFonts w:ascii="Arial" w:cs="Arial" w:eastAsia="Arial" w:hAnsi="Arial"/>
                <w:sz w:val="20"/>
                <w:szCs w:val="20"/>
                <w:b w:val="1"/>
                <w:bCs w:val="1"/>
                <w:color w:val="00C1DE"/>
              </w:rPr>
              <w:t>2022</w:t>
            </w:r>
          </w:p>
        </w:tc>
        <w:tc>
          <w:tcPr>
            <w:tcW w:w="1700" w:type="dxa"/>
            <w:vAlign w:val="bottom"/>
            <w:tcBorders>
              <w:top w:val="single" w:sz="8" w:color="00C1DE"/>
            </w:tcBorders>
          </w:tcPr>
          <w:p>
            <w:pPr>
              <w:jc w:val="right"/>
              <w:spacing w:after="0" w:line="219" w:lineRule="exact"/>
              <w:rPr>
                <w:sz w:val="20"/>
                <w:szCs w:val="20"/>
                <w:color w:val="auto"/>
              </w:rPr>
            </w:pPr>
            <w:r>
              <w:rPr>
                <w:rFonts w:ascii="Arial" w:cs="Arial" w:eastAsia="Arial" w:hAnsi="Arial"/>
                <w:sz w:val="20"/>
                <w:szCs w:val="20"/>
                <w:b w:val="1"/>
                <w:bCs w:val="1"/>
                <w:color w:val="00C1DE"/>
              </w:rPr>
              <w:t>2021</w:t>
            </w:r>
          </w:p>
        </w:tc>
      </w:tr>
      <w:tr>
        <w:trPr>
          <w:trHeight w:val="287"/>
        </w:trPr>
        <w:tc>
          <w:tcPr>
            <w:tcW w:w="1620" w:type="dxa"/>
            <w:vAlign w:val="bottom"/>
          </w:tcPr>
          <w:p>
            <w:pPr>
              <w:spacing w:after="0"/>
              <w:rPr>
                <w:sz w:val="20"/>
                <w:szCs w:val="20"/>
                <w:color w:val="auto"/>
              </w:rPr>
            </w:pPr>
            <w:r>
              <w:rPr>
                <w:rFonts w:ascii="Arial" w:cs="Arial" w:eastAsia="Arial" w:hAnsi="Arial"/>
                <w:sz w:val="20"/>
                <w:szCs w:val="20"/>
                <w:b w:val="1"/>
                <w:bCs w:val="1"/>
                <w:color w:val="00C1DE"/>
              </w:rPr>
              <w:t>Type of Fees</w:t>
            </w:r>
          </w:p>
        </w:tc>
        <w:tc>
          <w:tcPr>
            <w:tcW w:w="1960" w:type="dxa"/>
            <w:vAlign w:val="bottom"/>
          </w:tcPr>
          <w:p>
            <w:pPr>
              <w:jc w:val="right"/>
              <w:ind w:right="261"/>
              <w:spacing w:after="0"/>
              <w:rPr>
                <w:sz w:val="20"/>
                <w:szCs w:val="20"/>
                <w:color w:val="auto"/>
              </w:rPr>
            </w:pPr>
            <w:r>
              <w:rPr>
                <w:rFonts w:ascii="Arial" w:cs="Arial" w:eastAsia="Arial" w:hAnsi="Arial"/>
                <w:sz w:val="20"/>
                <w:szCs w:val="20"/>
                <w:b w:val="1"/>
                <w:bCs w:val="1"/>
                <w:color w:val="00C1DE"/>
              </w:rPr>
              <w:t>($ in millions)</w:t>
            </w:r>
          </w:p>
        </w:tc>
        <w:tc>
          <w:tcPr>
            <w:tcW w:w="1700" w:type="dxa"/>
            <w:vAlign w:val="bottom"/>
          </w:tcPr>
          <w:p>
            <w:pPr>
              <w:jc w:val="right"/>
              <w:spacing w:after="0"/>
              <w:rPr>
                <w:sz w:val="20"/>
                <w:szCs w:val="20"/>
                <w:color w:val="auto"/>
              </w:rPr>
            </w:pPr>
            <w:r>
              <w:rPr>
                <w:rFonts w:ascii="Arial" w:cs="Arial" w:eastAsia="Arial" w:hAnsi="Arial"/>
                <w:sz w:val="20"/>
                <w:szCs w:val="20"/>
                <w:b w:val="1"/>
                <w:bCs w:val="1"/>
                <w:color w:val="00C1DE"/>
              </w:rPr>
              <w:t>($ in millions)</w:t>
            </w:r>
          </w:p>
        </w:tc>
      </w:tr>
      <w:tr>
        <w:trPr>
          <w:trHeight w:val="47"/>
        </w:trPr>
        <w:tc>
          <w:tcPr>
            <w:tcW w:w="1620" w:type="dxa"/>
            <w:vAlign w:val="bottom"/>
            <w:tcBorders>
              <w:bottom w:val="single" w:sz="8" w:color="00C1DE"/>
            </w:tcBorders>
          </w:tcPr>
          <w:p>
            <w:pPr>
              <w:spacing w:after="0"/>
              <w:rPr>
                <w:sz w:val="4"/>
                <w:szCs w:val="4"/>
                <w:color w:val="auto"/>
              </w:rPr>
            </w:pPr>
          </w:p>
        </w:tc>
        <w:tc>
          <w:tcPr>
            <w:tcW w:w="1960" w:type="dxa"/>
            <w:vAlign w:val="bottom"/>
            <w:tcBorders>
              <w:bottom w:val="single" w:sz="8" w:color="00C1DE"/>
            </w:tcBorders>
          </w:tcPr>
          <w:p>
            <w:pPr>
              <w:spacing w:after="0"/>
              <w:rPr>
                <w:sz w:val="4"/>
                <w:szCs w:val="4"/>
                <w:color w:val="auto"/>
              </w:rPr>
            </w:pPr>
          </w:p>
        </w:tc>
        <w:tc>
          <w:tcPr>
            <w:tcW w:w="1700" w:type="dxa"/>
            <w:vAlign w:val="bottom"/>
            <w:tcBorders>
              <w:bottom w:val="single" w:sz="8" w:color="00C1DE"/>
            </w:tcBorders>
          </w:tcPr>
          <w:p>
            <w:pPr>
              <w:spacing w:after="0"/>
              <w:rPr>
                <w:sz w:val="4"/>
                <w:szCs w:val="4"/>
                <w:color w:val="auto"/>
              </w:rPr>
            </w:pPr>
          </w:p>
        </w:tc>
      </w:tr>
      <w:tr>
        <w:trPr>
          <w:trHeight w:val="301"/>
        </w:trPr>
        <w:tc>
          <w:tcPr>
            <w:tcW w:w="1620" w:type="dxa"/>
            <w:vAlign w:val="bottom"/>
          </w:tcPr>
          <w:p>
            <w:pPr>
              <w:ind w:left="80"/>
              <w:spacing w:after="0"/>
              <w:rPr>
                <w:sz w:val="20"/>
                <w:szCs w:val="20"/>
                <w:color w:val="auto"/>
              </w:rPr>
            </w:pPr>
            <w:r>
              <w:rPr>
                <w:rFonts w:ascii="Arial" w:cs="Arial" w:eastAsia="Arial" w:hAnsi="Arial"/>
                <w:sz w:val="20"/>
                <w:szCs w:val="20"/>
                <w:color w:val="3E3935"/>
              </w:rPr>
              <w:t>Audit</w:t>
            </w:r>
          </w:p>
        </w:tc>
        <w:tc>
          <w:tcPr>
            <w:tcW w:w="1960" w:type="dxa"/>
            <w:vAlign w:val="bottom"/>
          </w:tcPr>
          <w:p>
            <w:pPr>
              <w:jc w:val="right"/>
              <w:ind w:right="261"/>
              <w:spacing w:after="0"/>
              <w:rPr>
                <w:sz w:val="20"/>
                <w:szCs w:val="20"/>
                <w:color w:val="auto"/>
              </w:rPr>
            </w:pPr>
            <w:r>
              <w:rPr>
                <w:rFonts w:ascii="Arial" w:cs="Arial" w:eastAsia="Arial" w:hAnsi="Arial"/>
                <w:sz w:val="20"/>
                <w:szCs w:val="20"/>
                <w:color w:val="3E3935"/>
              </w:rPr>
              <w:t>21</w:t>
            </w:r>
          </w:p>
        </w:tc>
        <w:tc>
          <w:tcPr>
            <w:tcW w:w="1700" w:type="dxa"/>
            <w:vAlign w:val="bottom"/>
          </w:tcPr>
          <w:p>
            <w:pPr>
              <w:jc w:val="right"/>
              <w:spacing w:after="0"/>
              <w:rPr>
                <w:sz w:val="20"/>
                <w:szCs w:val="20"/>
                <w:color w:val="auto"/>
              </w:rPr>
            </w:pPr>
            <w:r>
              <w:rPr>
                <w:rFonts w:ascii="Arial" w:cs="Arial" w:eastAsia="Arial" w:hAnsi="Arial"/>
                <w:sz w:val="20"/>
                <w:szCs w:val="20"/>
                <w:color w:val="3E3935"/>
              </w:rPr>
              <w:t>21</w:t>
            </w:r>
          </w:p>
        </w:tc>
      </w:tr>
      <w:tr>
        <w:trPr>
          <w:trHeight w:val="58"/>
        </w:trPr>
        <w:tc>
          <w:tcPr>
            <w:tcW w:w="1620" w:type="dxa"/>
            <w:vAlign w:val="bottom"/>
            <w:tcBorders>
              <w:bottom w:val="single" w:sz="8" w:color="3E3935"/>
            </w:tcBorders>
          </w:tcPr>
          <w:p>
            <w:pPr>
              <w:spacing w:after="0"/>
              <w:rPr>
                <w:sz w:val="5"/>
                <w:szCs w:val="5"/>
                <w:color w:val="auto"/>
              </w:rPr>
            </w:pPr>
          </w:p>
        </w:tc>
        <w:tc>
          <w:tcPr>
            <w:tcW w:w="1960" w:type="dxa"/>
            <w:vAlign w:val="bottom"/>
            <w:tcBorders>
              <w:bottom w:val="single" w:sz="8" w:color="3E3935"/>
            </w:tcBorders>
          </w:tcPr>
          <w:p>
            <w:pPr>
              <w:spacing w:after="0"/>
              <w:rPr>
                <w:sz w:val="5"/>
                <w:szCs w:val="5"/>
                <w:color w:val="auto"/>
              </w:rPr>
            </w:pPr>
          </w:p>
        </w:tc>
        <w:tc>
          <w:tcPr>
            <w:tcW w:w="1700" w:type="dxa"/>
            <w:vAlign w:val="bottom"/>
            <w:tcBorders>
              <w:bottom w:val="single" w:sz="8" w:color="3E3935"/>
            </w:tcBorders>
          </w:tcPr>
          <w:p>
            <w:pPr>
              <w:spacing w:after="0"/>
              <w:rPr>
                <w:sz w:val="5"/>
                <w:szCs w:val="5"/>
                <w:color w:val="auto"/>
              </w:rPr>
            </w:pPr>
          </w:p>
        </w:tc>
      </w:tr>
      <w:tr>
        <w:trPr>
          <w:trHeight w:val="301"/>
        </w:trPr>
        <w:tc>
          <w:tcPr>
            <w:tcW w:w="1620" w:type="dxa"/>
            <w:vAlign w:val="bottom"/>
          </w:tcPr>
          <w:p>
            <w:pPr>
              <w:ind w:left="80"/>
              <w:spacing w:after="0"/>
              <w:rPr>
                <w:sz w:val="20"/>
                <w:szCs w:val="20"/>
                <w:color w:val="auto"/>
              </w:rPr>
            </w:pPr>
            <w:r>
              <w:rPr>
                <w:rFonts w:ascii="Arial" w:cs="Arial" w:eastAsia="Arial" w:hAnsi="Arial"/>
                <w:sz w:val="20"/>
                <w:szCs w:val="20"/>
                <w:color w:val="3E3935"/>
              </w:rPr>
              <w:t>Audit-Related</w:t>
            </w:r>
          </w:p>
        </w:tc>
        <w:tc>
          <w:tcPr>
            <w:tcW w:w="1960" w:type="dxa"/>
            <w:vAlign w:val="bottom"/>
          </w:tcPr>
          <w:p>
            <w:pPr>
              <w:jc w:val="right"/>
              <w:ind w:right="261"/>
              <w:spacing w:after="0"/>
              <w:rPr>
                <w:sz w:val="20"/>
                <w:szCs w:val="20"/>
                <w:color w:val="auto"/>
              </w:rPr>
            </w:pPr>
            <w:r>
              <w:rPr>
                <w:rFonts w:ascii="Arial" w:cs="Arial" w:eastAsia="Arial" w:hAnsi="Arial"/>
                <w:sz w:val="20"/>
                <w:szCs w:val="20"/>
                <w:color w:val="3E3935"/>
              </w:rPr>
              <w:t>5</w:t>
            </w:r>
          </w:p>
        </w:tc>
        <w:tc>
          <w:tcPr>
            <w:tcW w:w="1700" w:type="dxa"/>
            <w:vAlign w:val="bottom"/>
          </w:tcPr>
          <w:p>
            <w:pPr>
              <w:jc w:val="right"/>
              <w:spacing w:after="0"/>
              <w:rPr>
                <w:sz w:val="20"/>
                <w:szCs w:val="20"/>
                <w:color w:val="auto"/>
              </w:rPr>
            </w:pPr>
            <w:r>
              <w:rPr>
                <w:rFonts w:ascii="Arial" w:cs="Arial" w:eastAsia="Arial" w:hAnsi="Arial"/>
                <w:sz w:val="20"/>
                <w:szCs w:val="20"/>
                <w:color w:val="3E3935"/>
              </w:rPr>
              <w:t>8</w:t>
            </w:r>
          </w:p>
        </w:tc>
      </w:tr>
      <w:tr>
        <w:trPr>
          <w:trHeight w:val="58"/>
        </w:trPr>
        <w:tc>
          <w:tcPr>
            <w:tcW w:w="1620" w:type="dxa"/>
            <w:vAlign w:val="bottom"/>
            <w:tcBorders>
              <w:bottom w:val="single" w:sz="8" w:color="3E3935"/>
            </w:tcBorders>
          </w:tcPr>
          <w:p>
            <w:pPr>
              <w:spacing w:after="0"/>
              <w:rPr>
                <w:sz w:val="5"/>
                <w:szCs w:val="5"/>
                <w:color w:val="auto"/>
              </w:rPr>
            </w:pPr>
          </w:p>
        </w:tc>
        <w:tc>
          <w:tcPr>
            <w:tcW w:w="1960" w:type="dxa"/>
            <w:vAlign w:val="bottom"/>
            <w:tcBorders>
              <w:bottom w:val="single" w:sz="8" w:color="3E3935"/>
            </w:tcBorders>
          </w:tcPr>
          <w:p>
            <w:pPr>
              <w:spacing w:after="0"/>
              <w:rPr>
                <w:sz w:val="5"/>
                <w:szCs w:val="5"/>
                <w:color w:val="auto"/>
              </w:rPr>
            </w:pPr>
          </w:p>
        </w:tc>
        <w:tc>
          <w:tcPr>
            <w:tcW w:w="1700" w:type="dxa"/>
            <w:vAlign w:val="bottom"/>
            <w:tcBorders>
              <w:bottom w:val="single" w:sz="8" w:color="3E3935"/>
            </w:tcBorders>
          </w:tcPr>
          <w:p>
            <w:pPr>
              <w:spacing w:after="0"/>
              <w:rPr>
                <w:sz w:val="5"/>
                <w:szCs w:val="5"/>
                <w:color w:val="auto"/>
              </w:rPr>
            </w:pPr>
          </w:p>
        </w:tc>
      </w:tr>
      <w:tr>
        <w:trPr>
          <w:trHeight w:val="300"/>
        </w:trPr>
        <w:tc>
          <w:tcPr>
            <w:tcW w:w="1620" w:type="dxa"/>
            <w:vAlign w:val="bottom"/>
          </w:tcPr>
          <w:p>
            <w:pPr>
              <w:ind w:left="80"/>
              <w:spacing w:after="0"/>
              <w:rPr>
                <w:sz w:val="20"/>
                <w:szCs w:val="20"/>
                <w:color w:val="auto"/>
              </w:rPr>
            </w:pPr>
            <w:r>
              <w:rPr>
                <w:rFonts w:ascii="Arial" w:cs="Arial" w:eastAsia="Arial" w:hAnsi="Arial"/>
                <w:sz w:val="20"/>
                <w:szCs w:val="20"/>
                <w:color w:val="3E3935"/>
              </w:rPr>
              <w:t>Tax</w:t>
            </w:r>
          </w:p>
        </w:tc>
        <w:tc>
          <w:tcPr>
            <w:tcW w:w="1960" w:type="dxa"/>
            <w:vAlign w:val="bottom"/>
          </w:tcPr>
          <w:p>
            <w:pPr>
              <w:jc w:val="right"/>
              <w:ind w:right="261"/>
              <w:spacing w:after="0"/>
              <w:rPr>
                <w:sz w:val="20"/>
                <w:szCs w:val="20"/>
                <w:color w:val="auto"/>
              </w:rPr>
            </w:pPr>
            <w:r>
              <w:rPr>
                <w:rFonts w:ascii="Arial" w:cs="Arial" w:eastAsia="Arial" w:hAnsi="Arial"/>
                <w:sz w:val="20"/>
                <w:szCs w:val="20"/>
                <w:color w:val="3E3935"/>
              </w:rPr>
              <w:t>2</w:t>
            </w:r>
          </w:p>
        </w:tc>
        <w:tc>
          <w:tcPr>
            <w:tcW w:w="1700" w:type="dxa"/>
            <w:vAlign w:val="bottom"/>
          </w:tcPr>
          <w:p>
            <w:pPr>
              <w:jc w:val="right"/>
              <w:spacing w:after="0"/>
              <w:rPr>
                <w:sz w:val="20"/>
                <w:szCs w:val="20"/>
                <w:color w:val="auto"/>
              </w:rPr>
            </w:pPr>
            <w:r>
              <w:rPr>
                <w:rFonts w:ascii="Arial" w:cs="Arial" w:eastAsia="Arial" w:hAnsi="Arial"/>
                <w:sz w:val="20"/>
                <w:szCs w:val="20"/>
                <w:color w:val="3E3935"/>
              </w:rPr>
              <w:t>3</w:t>
            </w:r>
          </w:p>
        </w:tc>
      </w:tr>
      <w:tr>
        <w:trPr>
          <w:trHeight w:val="58"/>
        </w:trPr>
        <w:tc>
          <w:tcPr>
            <w:tcW w:w="1620" w:type="dxa"/>
            <w:vAlign w:val="bottom"/>
            <w:tcBorders>
              <w:bottom w:val="single" w:sz="8" w:color="3E3935"/>
            </w:tcBorders>
          </w:tcPr>
          <w:p>
            <w:pPr>
              <w:spacing w:after="0"/>
              <w:rPr>
                <w:sz w:val="5"/>
                <w:szCs w:val="5"/>
                <w:color w:val="auto"/>
              </w:rPr>
            </w:pPr>
          </w:p>
        </w:tc>
        <w:tc>
          <w:tcPr>
            <w:tcW w:w="1960" w:type="dxa"/>
            <w:vAlign w:val="bottom"/>
            <w:tcBorders>
              <w:bottom w:val="single" w:sz="8" w:color="3E3935"/>
            </w:tcBorders>
          </w:tcPr>
          <w:p>
            <w:pPr>
              <w:spacing w:after="0"/>
              <w:rPr>
                <w:sz w:val="5"/>
                <w:szCs w:val="5"/>
                <w:color w:val="auto"/>
              </w:rPr>
            </w:pPr>
          </w:p>
        </w:tc>
        <w:tc>
          <w:tcPr>
            <w:tcW w:w="1700" w:type="dxa"/>
            <w:vAlign w:val="bottom"/>
            <w:tcBorders>
              <w:bottom w:val="single" w:sz="8" w:color="3E3935"/>
            </w:tcBorders>
          </w:tcPr>
          <w:p>
            <w:pPr>
              <w:spacing w:after="0"/>
              <w:rPr>
                <w:sz w:val="5"/>
                <w:szCs w:val="5"/>
                <w:color w:val="auto"/>
              </w:rPr>
            </w:pPr>
          </w:p>
        </w:tc>
      </w:tr>
      <w:tr>
        <w:trPr>
          <w:trHeight w:val="301"/>
        </w:trPr>
        <w:tc>
          <w:tcPr>
            <w:tcW w:w="1620" w:type="dxa"/>
            <w:vAlign w:val="bottom"/>
          </w:tcPr>
          <w:p>
            <w:pPr>
              <w:ind w:left="80"/>
              <w:spacing w:after="0"/>
              <w:rPr>
                <w:sz w:val="20"/>
                <w:szCs w:val="20"/>
                <w:color w:val="auto"/>
              </w:rPr>
            </w:pPr>
            <w:r>
              <w:rPr>
                <w:rFonts w:ascii="Arial" w:cs="Arial" w:eastAsia="Arial" w:hAnsi="Arial"/>
                <w:sz w:val="20"/>
                <w:szCs w:val="20"/>
                <w:color w:val="3E3935"/>
              </w:rPr>
              <w:t>Subtotal</w:t>
            </w:r>
          </w:p>
        </w:tc>
        <w:tc>
          <w:tcPr>
            <w:tcW w:w="1960" w:type="dxa"/>
            <w:vAlign w:val="bottom"/>
          </w:tcPr>
          <w:p>
            <w:pPr>
              <w:jc w:val="right"/>
              <w:ind w:right="261"/>
              <w:spacing w:after="0"/>
              <w:rPr>
                <w:sz w:val="20"/>
                <w:szCs w:val="20"/>
                <w:color w:val="auto"/>
              </w:rPr>
            </w:pPr>
            <w:r>
              <w:rPr>
                <w:rFonts w:ascii="Arial" w:cs="Arial" w:eastAsia="Arial" w:hAnsi="Arial"/>
                <w:sz w:val="20"/>
                <w:szCs w:val="20"/>
                <w:color w:val="3E3935"/>
              </w:rPr>
              <w:t>27</w:t>
            </w:r>
          </w:p>
        </w:tc>
        <w:tc>
          <w:tcPr>
            <w:tcW w:w="1700" w:type="dxa"/>
            <w:vAlign w:val="bottom"/>
          </w:tcPr>
          <w:p>
            <w:pPr>
              <w:jc w:val="right"/>
              <w:spacing w:after="0"/>
              <w:rPr>
                <w:sz w:val="20"/>
                <w:szCs w:val="20"/>
                <w:color w:val="auto"/>
              </w:rPr>
            </w:pPr>
            <w:r>
              <w:rPr>
                <w:rFonts w:ascii="Arial" w:cs="Arial" w:eastAsia="Arial" w:hAnsi="Arial"/>
                <w:sz w:val="20"/>
                <w:szCs w:val="20"/>
                <w:color w:val="3E3935"/>
              </w:rPr>
              <w:t>31</w:t>
            </w:r>
          </w:p>
        </w:tc>
      </w:tr>
      <w:tr>
        <w:trPr>
          <w:trHeight w:val="58"/>
        </w:trPr>
        <w:tc>
          <w:tcPr>
            <w:tcW w:w="1620" w:type="dxa"/>
            <w:vAlign w:val="bottom"/>
            <w:tcBorders>
              <w:bottom w:val="single" w:sz="8" w:color="3E3935"/>
            </w:tcBorders>
          </w:tcPr>
          <w:p>
            <w:pPr>
              <w:spacing w:after="0"/>
              <w:rPr>
                <w:sz w:val="5"/>
                <w:szCs w:val="5"/>
                <w:color w:val="auto"/>
              </w:rPr>
            </w:pPr>
          </w:p>
        </w:tc>
        <w:tc>
          <w:tcPr>
            <w:tcW w:w="1960" w:type="dxa"/>
            <w:vAlign w:val="bottom"/>
            <w:tcBorders>
              <w:bottom w:val="single" w:sz="8" w:color="3E3935"/>
            </w:tcBorders>
          </w:tcPr>
          <w:p>
            <w:pPr>
              <w:spacing w:after="0"/>
              <w:rPr>
                <w:sz w:val="5"/>
                <w:szCs w:val="5"/>
                <w:color w:val="auto"/>
              </w:rPr>
            </w:pPr>
          </w:p>
        </w:tc>
        <w:tc>
          <w:tcPr>
            <w:tcW w:w="1700" w:type="dxa"/>
            <w:vAlign w:val="bottom"/>
            <w:tcBorders>
              <w:bottom w:val="single" w:sz="8" w:color="3E3935"/>
            </w:tcBorders>
          </w:tcPr>
          <w:p>
            <w:pPr>
              <w:spacing w:after="0"/>
              <w:rPr>
                <w:sz w:val="5"/>
                <w:szCs w:val="5"/>
                <w:color w:val="auto"/>
              </w:rPr>
            </w:pPr>
          </w:p>
        </w:tc>
      </w:tr>
      <w:tr>
        <w:trPr>
          <w:trHeight w:val="255"/>
        </w:trPr>
        <w:tc>
          <w:tcPr>
            <w:tcW w:w="1620" w:type="dxa"/>
            <w:vAlign w:val="bottom"/>
          </w:tcPr>
          <w:p>
            <w:pPr>
              <w:ind w:left="80"/>
              <w:spacing w:after="0"/>
              <w:rPr>
                <w:sz w:val="20"/>
                <w:szCs w:val="20"/>
                <w:color w:val="auto"/>
              </w:rPr>
            </w:pPr>
            <w:r>
              <w:rPr>
                <w:rFonts w:ascii="Arial" w:cs="Arial" w:eastAsia="Arial" w:hAnsi="Arial"/>
                <w:sz w:val="20"/>
                <w:szCs w:val="20"/>
                <w:color w:val="3E3935"/>
              </w:rPr>
              <w:t>All Other</w:t>
            </w:r>
          </w:p>
        </w:tc>
        <w:tc>
          <w:tcPr>
            <w:tcW w:w="1960" w:type="dxa"/>
            <w:vAlign w:val="bottom"/>
          </w:tcPr>
          <w:p>
            <w:pPr>
              <w:spacing w:after="0"/>
              <w:rPr>
                <w:sz w:val="22"/>
                <w:szCs w:val="22"/>
                <w:color w:val="auto"/>
              </w:rPr>
            </w:pPr>
          </w:p>
        </w:tc>
        <w:tc>
          <w:tcPr>
            <w:tcW w:w="1700" w:type="dxa"/>
            <w:vAlign w:val="bottom"/>
          </w:tcPr>
          <w:p>
            <w:pPr>
              <w:spacing w:after="0"/>
              <w:rPr>
                <w:sz w:val="22"/>
                <w:szCs w:val="22"/>
                <w:color w:val="auto"/>
              </w:rPr>
            </w:pPr>
          </w:p>
        </w:tc>
      </w:tr>
      <w:tr>
        <w:trPr>
          <w:trHeight w:val="261"/>
        </w:trPr>
        <w:tc>
          <w:tcPr>
            <w:tcW w:w="1620" w:type="dxa"/>
            <w:vAlign w:val="bottom"/>
          </w:tcPr>
          <w:p>
            <w:pPr>
              <w:ind w:left="80"/>
              <w:spacing w:after="0"/>
              <w:rPr>
                <w:sz w:val="20"/>
                <w:szCs w:val="20"/>
                <w:color w:val="auto"/>
              </w:rPr>
            </w:pPr>
            <w:r>
              <w:rPr>
                <w:rFonts w:ascii="Arial" w:cs="Arial" w:eastAsia="Arial" w:hAnsi="Arial"/>
                <w:sz w:val="20"/>
                <w:szCs w:val="20"/>
                <w:color w:val="3E3935"/>
              </w:rPr>
              <w:t>Services</w:t>
            </w:r>
          </w:p>
        </w:tc>
        <w:tc>
          <w:tcPr>
            <w:tcW w:w="1960" w:type="dxa"/>
            <w:vAlign w:val="bottom"/>
          </w:tcPr>
          <w:p>
            <w:pPr>
              <w:jc w:val="right"/>
              <w:ind w:right="261"/>
              <w:spacing w:after="0"/>
              <w:rPr>
                <w:sz w:val="20"/>
                <w:szCs w:val="20"/>
                <w:color w:val="auto"/>
              </w:rPr>
            </w:pPr>
            <w:r>
              <w:rPr>
                <w:rFonts w:ascii="Arial" w:cs="Arial" w:eastAsia="Arial" w:hAnsi="Arial"/>
                <w:sz w:val="20"/>
                <w:szCs w:val="20"/>
                <w:color w:val="3E3935"/>
              </w:rPr>
              <w:t>2</w:t>
            </w:r>
          </w:p>
        </w:tc>
        <w:tc>
          <w:tcPr>
            <w:tcW w:w="1700" w:type="dxa"/>
            <w:vAlign w:val="bottom"/>
          </w:tcPr>
          <w:p>
            <w:pPr>
              <w:jc w:val="right"/>
              <w:spacing w:after="0"/>
              <w:rPr>
                <w:sz w:val="20"/>
                <w:szCs w:val="20"/>
                <w:color w:val="auto"/>
              </w:rPr>
            </w:pPr>
            <w:r>
              <w:rPr>
                <w:rFonts w:ascii="Arial" w:cs="Arial" w:eastAsia="Arial" w:hAnsi="Arial"/>
                <w:sz w:val="20"/>
                <w:szCs w:val="20"/>
                <w:color w:val="3E3935"/>
              </w:rPr>
              <w:t>1</w:t>
            </w:r>
          </w:p>
        </w:tc>
      </w:tr>
      <w:tr>
        <w:trPr>
          <w:trHeight w:val="58"/>
        </w:trPr>
        <w:tc>
          <w:tcPr>
            <w:tcW w:w="1620" w:type="dxa"/>
            <w:vAlign w:val="bottom"/>
            <w:tcBorders>
              <w:bottom w:val="single" w:sz="8" w:color="3E3935"/>
            </w:tcBorders>
          </w:tcPr>
          <w:p>
            <w:pPr>
              <w:spacing w:after="0"/>
              <w:rPr>
                <w:sz w:val="5"/>
                <w:szCs w:val="5"/>
                <w:color w:val="auto"/>
              </w:rPr>
            </w:pPr>
          </w:p>
        </w:tc>
        <w:tc>
          <w:tcPr>
            <w:tcW w:w="1960" w:type="dxa"/>
            <w:vAlign w:val="bottom"/>
            <w:tcBorders>
              <w:bottom w:val="single" w:sz="8" w:color="3E3935"/>
            </w:tcBorders>
          </w:tcPr>
          <w:p>
            <w:pPr>
              <w:spacing w:after="0"/>
              <w:rPr>
                <w:sz w:val="5"/>
                <w:szCs w:val="5"/>
                <w:color w:val="auto"/>
              </w:rPr>
            </w:pPr>
          </w:p>
        </w:tc>
        <w:tc>
          <w:tcPr>
            <w:tcW w:w="1700" w:type="dxa"/>
            <w:vAlign w:val="bottom"/>
            <w:tcBorders>
              <w:bottom w:val="single" w:sz="8" w:color="3E3935"/>
            </w:tcBorders>
          </w:tcPr>
          <w:p>
            <w:pPr>
              <w:spacing w:after="0"/>
              <w:rPr>
                <w:sz w:val="5"/>
                <w:szCs w:val="5"/>
                <w:color w:val="auto"/>
              </w:rPr>
            </w:pPr>
          </w:p>
        </w:tc>
      </w:tr>
      <w:tr>
        <w:trPr>
          <w:trHeight w:val="310"/>
        </w:trPr>
        <w:tc>
          <w:tcPr>
            <w:tcW w:w="1620" w:type="dxa"/>
            <w:vAlign w:val="bottom"/>
          </w:tcPr>
          <w:p>
            <w:pPr>
              <w:ind w:left="80"/>
              <w:spacing w:after="0"/>
              <w:rPr>
                <w:sz w:val="20"/>
                <w:szCs w:val="20"/>
                <w:color w:val="auto"/>
              </w:rPr>
            </w:pPr>
            <w:r>
              <w:rPr>
                <w:rFonts w:ascii="Arial" w:cs="Arial" w:eastAsia="Arial" w:hAnsi="Arial"/>
                <w:sz w:val="20"/>
                <w:szCs w:val="20"/>
                <w:b w:val="1"/>
                <w:bCs w:val="1"/>
                <w:color w:val="0071CE"/>
              </w:rPr>
              <w:t>TOTAL</w:t>
            </w:r>
          </w:p>
        </w:tc>
        <w:tc>
          <w:tcPr>
            <w:tcW w:w="1960" w:type="dxa"/>
            <w:vAlign w:val="bottom"/>
          </w:tcPr>
          <w:p>
            <w:pPr>
              <w:jc w:val="right"/>
              <w:ind w:right="261"/>
              <w:spacing w:after="0"/>
              <w:rPr>
                <w:sz w:val="20"/>
                <w:szCs w:val="20"/>
                <w:color w:val="auto"/>
              </w:rPr>
            </w:pPr>
            <w:r>
              <w:rPr>
                <w:rFonts w:ascii="Arial" w:cs="Arial" w:eastAsia="Arial" w:hAnsi="Arial"/>
                <w:sz w:val="20"/>
                <w:szCs w:val="20"/>
                <w:color w:val="3E3935"/>
              </w:rPr>
              <w:t>29</w:t>
            </w:r>
          </w:p>
        </w:tc>
        <w:tc>
          <w:tcPr>
            <w:tcW w:w="1700" w:type="dxa"/>
            <w:vAlign w:val="bottom"/>
          </w:tcPr>
          <w:p>
            <w:pPr>
              <w:jc w:val="right"/>
              <w:spacing w:after="0"/>
              <w:rPr>
                <w:sz w:val="20"/>
                <w:szCs w:val="20"/>
                <w:color w:val="auto"/>
              </w:rPr>
            </w:pPr>
            <w:r>
              <w:rPr>
                <w:rFonts w:ascii="Arial" w:cs="Arial" w:eastAsia="Arial" w:hAnsi="Arial"/>
                <w:sz w:val="20"/>
                <w:szCs w:val="20"/>
                <w:color w:val="3E3935"/>
              </w:rPr>
              <w:t>32</w:t>
            </w:r>
          </w:p>
        </w:tc>
      </w:tr>
      <w:tr>
        <w:trPr>
          <w:trHeight w:val="48"/>
        </w:trPr>
        <w:tc>
          <w:tcPr>
            <w:tcW w:w="1620" w:type="dxa"/>
            <w:vAlign w:val="bottom"/>
            <w:tcBorders>
              <w:bottom w:val="single" w:sz="8" w:color="0071CE"/>
            </w:tcBorders>
          </w:tcPr>
          <w:p>
            <w:pPr>
              <w:spacing w:after="0"/>
              <w:rPr>
                <w:sz w:val="4"/>
                <w:szCs w:val="4"/>
                <w:color w:val="auto"/>
              </w:rPr>
            </w:pPr>
          </w:p>
        </w:tc>
        <w:tc>
          <w:tcPr>
            <w:tcW w:w="1960" w:type="dxa"/>
            <w:vAlign w:val="bottom"/>
            <w:tcBorders>
              <w:bottom w:val="single" w:sz="8" w:color="0071CE"/>
            </w:tcBorders>
          </w:tcPr>
          <w:p>
            <w:pPr>
              <w:spacing w:after="0"/>
              <w:rPr>
                <w:sz w:val="4"/>
                <w:szCs w:val="4"/>
                <w:color w:val="auto"/>
              </w:rPr>
            </w:pPr>
          </w:p>
        </w:tc>
        <w:tc>
          <w:tcPr>
            <w:tcW w:w="1700" w:type="dxa"/>
            <w:vAlign w:val="bottom"/>
            <w:tcBorders>
              <w:bottom w:val="single" w:sz="8" w:color="0071CE"/>
            </w:tcBorders>
          </w:tcPr>
          <w:p>
            <w:pPr>
              <w:spacing w:after="0"/>
              <w:rPr>
                <w:sz w:val="4"/>
                <w:szCs w:val="4"/>
                <w:color w:val="auto"/>
              </w:rPr>
            </w:pPr>
          </w:p>
        </w:tc>
      </w:tr>
    </w:tbl>
    <w:p>
      <w:pPr>
        <w:spacing w:after="0" w:line="20" w:lineRule="exact"/>
        <w:rPr>
          <w:sz w:val="20"/>
          <w:szCs w:val="20"/>
          <w:color w:val="auto"/>
        </w:rPr>
      </w:pPr>
      <w:r>
        <w:rPr>
          <w:sz w:val="20"/>
          <w:szCs w:val="20"/>
          <w:color w:val="auto"/>
        </w:rPr>
        <w:br w:type="column"/>
      </w:r>
    </w:p>
    <w:p>
      <w:pPr>
        <w:spacing w:after="0" w:line="207" w:lineRule="exact"/>
        <w:rPr>
          <w:sz w:val="20"/>
          <w:szCs w:val="20"/>
          <w:color w:val="auto"/>
        </w:rPr>
      </w:pPr>
    </w:p>
    <w:p>
      <w:pPr>
        <w:jc w:val="both"/>
        <w:spacing w:after="0" w:line="231" w:lineRule="auto"/>
        <w:rPr>
          <w:sz w:val="20"/>
          <w:szCs w:val="20"/>
          <w:color w:val="auto"/>
        </w:rPr>
      </w:pPr>
      <w:r>
        <w:rPr>
          <w:rFonts w:ascii="Arial" w:cs="Arial" w:eastAsia="Arial" w:hAnsi="Arial"/>
          <w:sz w:val="20"/>
          <w:szCs w:val="20"/>
          <w:b w:val="1"/>
          <w:bCs w:val="1"/>
          <w:color w:val="0071CE"/>
        </w:rPr>
        <w:t xml:space="preserve">Audit-Related Fees </w:t>
      </w:r>
      <w:r>
        <w:rPr>
          <w:rFonts w:ascii="Arial" w:cs="Arial" w:eastAsia="Arial" w:hAnsi="Arial"/>
          <w:sz w:val="20"/>
          <w:szCs w:val="20"/>
          <w:color w:val="3E3935"/>
        </w:rPr>
        <w:t>– Includes fees for assurance and</w:t>
      </w:r>
      <w:r>
        <w:rPr>
          <w:rFonts w:ascii="Arial" w:cs="Arial" w:eastAsia="Arial" w:hAnsi="Arial"/>
          <w:sz w:val="20"/>
          <w:szCs w:val="20"/>
          <w:b w:val="1"/>
          <w:bCs w:val="1"/>
          <w:color w:val="0071CE"/>
        </w:rPr>
        <w:t xml:space="preserve"> </w:t>
      </w:r>
      <w:r>
        <w:rPr>
          <w:rFonts w:ascii="Arial" w:cs="Arial" w:eastAsia="Arial" w:hAnsi="Arial"/>
          <w:sz w:val="20"/>
          <w:szCs w:val="20"/>
          <w:color w:val="3E3935"/>
        </w:rPr>
        <w:t>related services that are traditionally performed by the independent registered public accounting firm. More specifically, these services include employee benefit plan audits, comfort letters in connection with financing transactions, financial due diligence, other attestation services, and consultations concerning financial accounting and reporting standards.</w:t>
      </w:r>
    </w:p>
    <w:p>
      <w:pPr>
        <w:spacing w:after="0" w:line="106" w:lineRule="exact"/>
        <w:rPr>
          <w:sz w:val="20"/>
          <w:szCs w:val="20"/>
          <w:color w:val="auto"/>
        </w:rPr>
      </w:pPr>
    </w:p>
    <w:p>
      <w:pPr>
        <w:jc w:val="both"/>
        <w:ind w:right="20"/>
        <w:spacing w:after="0" w:line="231" w:lineRule="auto"/>
        <w:rPr>
          <w:sz w:val="20"/>
          <w:szCs w:val="20"/>
          <w:color w:val="auto"/>
        </w:rPr>
      </w:pPr>
      <w:r>
        <w:rPr>
          <w:rFonts w:ascii="Arial" w:cs="Arial" w:eastAsia="Arial" w:hAnsi="Arial"/>
          <w:sz w:val="20"/>
          <w:szCs w:val="20"/>
          <w:b w:val="1"/>
          <w:bCs w:val="1"/>
          <w:color w:val="0071CE"/>
        </w:rPr>
        <w:t xml:space="preserve">Tax Fees </w:t>
      </w:r>
      <w:r>
        <w:rPr>
          <w:rFonts w:ascii="Arial" w:cs="Arial" w:eastAsia="Arial" w:hAnsi="Arial"/>
          <w:sz w:val="20"/>
          <w:szCs w:val="20"/>
          <w:color w:val="3E3935"/>
        </w:rPr>
        <w:t>– Includes fees for tax compliance, tax planning,</w:t>
      </w:r>
      <w:r>
        <w:rPr>
          <w:rFonts w:ascii="Arial" w:cs="Arial" w:eastAsia="Arial" w:hAnsi="Arial"/>
          <w:sz w:val="20"/>
          <w:szCs w:val="20"/>
          <w:b w:val="1"/>
          <w:bCs w:val="1"/>
          <w:color w:val="0071CE"/>
        </w:rPr>
        <w:t xml:space="preserve"> </w:t>
      </w:r>
      <w:r>
        <w:rPr>
          <w:rFonts w:ascii="Arial" w:cs="Arial" w:eastAsia="Arial" w:hAnsi="Arial"/>
          <w:sz w:val="20"/>
          <w:szCs w:val="20"/>
          <w:color w:val="3E3935"/>
        </w:rPr>
        <w:t>and tax advice. Tax compliance involves preparation of original and amended tax returns and claims for refunds. Tax planning and tax advice encompass a diverse range of services, including assistance with tax audits and appeals, tax advice related to mergers and acquisitions and employee benefit plans, and requests for rulings or technical advice from taxing authorities.</w:t>
      </w:r>
    </w:p>
    <w:p>
      <w:pPr>
        <w:spacing w:after="0" w:line="106" w:lineRule="exact"/>
        <w:rPr>
          <w:sz w:val="20"/>
          <w:szCs w:val="20"/>
          <w:color w:val="auto"/>
        </w:rPr>
      </w:pPr>
    </w:p>
    <w:p>
      <w:pPr>
        <w:jc w:val="both"/>
        <w:ind w:right="20"/>
        <w:spacing w:after="0" w:line="242" w:lineRule="auto"/>
        <w:rPr>
          <w:sz w:val="20"/>
          <w:szCs w:val="20"/>
          <w:color w:val="auto"/>
        </w:rPr>
      </w:pPr>
      <w:r>
        <w:rPr>
          <w:rFonts w:ascii="Arial" w:cs="Arial" w:eastAsia="Arial" w:hAnsi="Arial"/>
          <w:sz w:val="20"/>
          <w:szCs w:val="20"/>
          <w:b w:val="1"/>
          <w:bCs w:val="1"/>
          <w:color w:val="0071CE"/>
        </w:rPr>
        <w:t xml:space="preserve">All Other Fees </w:t>
      </w:r>
      <w:r>
        <w:rPr>
          <w:rFonts w:ascii="Arial" w:cs="Arial" w:eastAsia="Arial" w:hAnsi="Arial"/>
          <w:sz w:val="20"/>
          <w:szCs w:val="20"/>
          <w:color w:val="3E3935"/>
        </w:rPr>
        <w:t>– Includes fees for services that are not</w:t>
      </w:r>
      <w:r>
        <w:rPr>
          <w:rFonts w:ascii="Arial" w:cs="Arial" w:eastAsia="Arial" w:hAnsi="Arial"/>
          <w:sz w:val="20"/>
          <w:szCs w:val="20"/>
          <w:b w:val="1"/>
          <w:bCs w:val="1"/>
          <w:color w:val="0071CE"/>
        </w:rPr>
        <w:t xml:space="preserve"> </w:t>
      </w:r>
      <w:r>
        <w:rPr>
          <w:rFonts w:ascii="Arial" w:cs="Arial" w:eastAsia="Arial" w:hAnsi="Arial"/>
          <w:sz w:val="20"/>
          <w:szCs w:val="20"/>
          <w:color w:val="3E3935"/>
        </w:rPr>
        <w:t>contained in the above categories and consists of permissible advisory services.</w:t>
      </w:r>
    </w:p>
    <w:p>
      <w:pPr>
        <w:spacing w:after="0" w:line="505" w:lineRule="exact"/>
        <w:rPr>
          <w:sz w:val="20"/>
          <w:szCs w:val="20"/>
          <w:color w:val="auto"/>
        </w:rPr>
      </w:pPr>
    </w:p>
    <w:p>
      <w:pPr>
        <w:sectPr>
          <w:pgSz w:w="11900" w:h="16838" w:orient="portrait"/>
          <w:cols w:equalWidth="0" w:num="2">
            <w:col w:w="5400" w:space="340"/>
            <w:col w:w="5400"/>
          </w:cols>
          <w:pgMar w:left="320" w:top="482" w:right="439" w:bottom="1440" w:gutter="0" w:footer="0" w:header="0"/>
          <w:type w:val="continuous"/>
        </w:sectPr>
      </w:pPr>
    </w:p>
    <w:p>
      <w:pPr>
        <w:ind w:left="120"/>
        <w:spacing w:after="0"/>
        <w:rPr>
          <w:sz w:val="20"/>
          <w:szCs w:val="20"/>
          <w:color w:val="auto"/>
        </w:rPr>
      </w:pPr>
      <w:r>
        <w:rPr>
          <w:rFonts w:ascii="Arial" w:cs="Arial" w:eastAsia="Arial" w:hAnsi="Arial"/>
          <w:sz w:val="20"/>
          <w:szCs w:val="20"/>
          <w:b w:val="1"/>
          <w:bCs w:val="1"/>
          <w:color w:val="0071CE"/>
        </w:rPr>
        <w:t xml:space="preserve">Audit Fees </w:t>
      </w:r>
      <w:r>
        <w:rPr>
          <w:rFonts w:ascii="Arial" w:cs="Arial" w:eastAsia="Arial" w:hAnsi="Arial"/>
          <w:sz w:val="20"/>
          <w:szCs w:val="20"/>
          <w:color w:val="3E3935"/>
        </w:rPr>
        <w:t>– Includes fees for the integrated audit of the</w:t>
      </w:r>
    </w:p>
    <w:p>
      <w:pPr>
        <w:ind w:left="120"/>
        <w:spacing w:after="0" w:line="231" w:lineRule="auto"/>
        <w:rPr>
          <w:sz w:val="20"/>
          <w:szCs w:val="20"/>
          <w:color w:val="auto"/>
        </w:rPr>
      </w:pPr>
      <w:r>
        <w:rPr>
          <w:rFonts w:ascii="Arial" w:cs="Arial" w:eastAsia="Arial" w:hAnsi="Arial"/>
          <w:sz w:val="20"/>
          <w:szCs w:val="20"/>
          <w:color w:val="3E3935"/>
        </w:rPr>
        <w:t>Company’s annual consolidated financial statements and</w:t>
      </w:r>
    </w:p>
    <w:p>
      <w:pPr>
        <w:ind w:left="120"/>
        <w:spacing w:after="0" w:line="226" w:lineRule="auto"/>
        <w:rPr>
          <w:sz w:val="20"/>
          <w:szCs w:val="20"/>
          <w:color w:val="auto"/>
        </w:rPr>
      </w:pPr>
      <w:r>
        <w:rPr>
          <w:rFonts w:ascii="Arial" w:cs="Arial" w:eastAsia="Arial" w:hAnsi="Arial"/>
          <w:sz w:val="20"/>
          <w:szCs w:val="20"/>
          <w:color w:val="3E3935"/>
        </w:rPr>
        <w:t>internal control over financial reporting, including reviews of</w:t>
      </w:r>
    </w:p>
    <w:p>
      <w:pPr>
        <w:ind w:left="120"/>
        <w:spacing w:after="0" w:line="225" w:lineRule="auto"/>
        <w:rPr>
          <w:sz w:val="20"/>
          <w:szCs w:val="20"/>
          <w:color w:val="auto"/>
        </w:rPr>
      </w:pPr>
      <w:r>
        <w:rPr>
          <w:rFonts w:ascii="Arial" w:cs="Arial" w:eastAsia="Arial" w:hAnsi="Arial"/>
          <w:sz w:val="20"/>
          <w:szCs w:val="20"/>
          <w:color w:val="3E3935"/>
        </w:rPr>
        <w:t>the interim financial statements contained in the Company’s</w:t>
      </w:r>
    </w:p>
    <w:p>
      <w:pPr>
        <w:ind w:left="120"/>
        <w:spacing w:after="0" w:line="225" w:lineRule="auto"/>
        <w:rPr>
          <w:sz w:val="20"/>
          <w:szCs w:val="20"/>
          <w:color w:val="auto"/>
        </w:rPr>
      </w:pPr>
      <w:r>
        <w:rPr>
          <w:rFonts w:ascii="Arial" w:cs="Arial" w:eastAsia="Arial" w:hAnsi="Arial"/>
          <w:sz w:val="20"/>
          <w:szCs w:val="20"/>
          <w:color w:val="3E3935"/>
        </w:rPr>
        <w:t>Quarterly Reports on Form 10-Q and audits of statutory</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20"/>
          <w:szCs w:val="20"/>
          <w:color w:val="3E3935"/>
        </w:rPr>
        <w:t>financial statements.</w:t>
      </w:r>
    </w:p>
    <w:p>
      <w:pPr>
        <w:spacing w:after="0" w:line="200" w:lineRule="exact"/>
        <w:rPr>
          <w:sz w:val="20"/>
          <w:szCs w:val="20"/>
          <w:color w:val="auto"/>
        </w:rPr>
      </w:pPr>
    </w:p>
    <w:p>
      <w:pPr>
        <w:spacing w:after="0" w:line="244" w:lineRule="exact"/>
        <w:rPr>
          <w:sz w:val="20"/>
          <w:szCs w:val="20"/>
          <w:color w:val="auto"/>
        </w:rPr>
      </w:pPr>
    </w:p>
    <w:p>
      <w:pPr>
        <w:ind w:left="120"/>
        <w:spacing w:after="0"/>
        <w:rPr>
          <w:sz w:val="20"/>
          <w:szCs w:val="20"/>
          <w:color w:val="auto"/>
        </w:rPr>
      </w:pPr>
      <w:r>
        <w:rPr>
          <w:rFonts w:ascii="Arial" w:cs="Arial" w:eastAsia="Arial" w:hAnsi="Arial"/>
          <w:sz w:val="28"/>
          <w:szCs w:val="28"/>
          <w:color w:val="3E3935"/>
        </w:rPr>
        <w:t>Policy for Approval of Audit and Permitted Non-Audit Services</w:t>
      </w:r>
    </w:p>
    <w:p>
      <w:pPr>
        <w:sectPr>
          <w:pgSz w:w="11900" w:h="16838" w:orient="portrait"/>
          <w:cols w:equalWidth="0" w:num="1">
            <w:col w:w="11140"/>
          </w:cols>
          <w:pgMar w:left="320" w:top="482" w:right="439" w:bottom="1440" w:gutter="0" w:footer="0" w:header="0"/>
          <w:type w:val="continuous"/>
        </w:sectPr>
      </w:pPr>
    </w:p>
    <w:p>
      <w:pPr>
        <w:spacing w:after="0" w:line="229" w:lineRule="exact"/>
        <w:rPr>
          <w:sz w:val="20"/>
          <w:szCs w:val="20"/>
          <w:color w:val="auto"/>
        </w:rPr>
      </w:pPr>
    </w:p>
    <w:p>
      <w:pPr>
        <w:jc w:val="both"/>
        <w:ind w:left="120"/>
        <w:spacing w:after="0" w:line="228" w:lineRule="auto"/>
        <w:rPr>
          <w:sz w:val="20"/>
          <w:szCs w:val="20"/>
          <w:color w:val="auto"/>
        </w:rPr>
      </w:pPr>
      <w:r>
        <w:rPr>
          <w:rFonts w:ascii="Arial" w:cs="Arial" w:eastAsia="Arial" w:hAnsi="Arial"/>
          <w:sz w:val="20"/>
          <w:szCs w:val="20"/>
          <w:color w:val="3E3935"/>
        </w:rPr>
        <w:t>The services performed by EY in 2022 were preapproved in accordance with the pre-approval policy and procedures established by the Audit Committee. This policy requires that, prior to the provision of services by the auditor, the Audit Committee will be presented, for consideration, with a description of the types of Audit-Related, Tax, and All Other Services expected to be performed by the auditor during the fiscal year, with amounts budgeted for each category. Subject to these preapproved budgets, any requests for individual services falling within these categories for less than $1 million may be approved by management, while any such requests for $1 million or more not specifically contemplated and approved by the Audit Committee must be</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jc w:val="both"/>
        <w:spacing w:after="0" w:line="234" w:lineRule="auto"/>
        <w:rPr>
          <w:sz w:val="20"/>
          <w:szCs w:val="20"/>
          <w:color w:val="auto"/>
        </w:rPr>
      </w:pPr>
      <w:r>
        <w:rPr>
          <w:rFonts w:ascii="Arial" w:cs="Arial" w:eastAsia="Arial" w:hAnsi="Arial"/>
          <w:sz w:val="20"/>
          <w:szCs w:val="20"/>
          <w:color w:val="3E3935"/>
        </w:rPr>
        <w:t>submitted to the Audit Committee Chair for pre-approval and must be reported to the full Audit Committee at its next regularly scheduled meeting. Management must report actual spending for each category to the full Audit Committee periodically throughout the year.</w:t>
      </w:r>
    </w:p>
    <w:p>
      <w:pPr>
        <w:spacing w:after="0" w:line="94" w:lineRule="exact"/>
        <w:rPr>
          <w:sz w:val="20"/>
          <w:szCs w:val="20"/>
          <w:color w:val="auto"/>
        </w:rPr>
      </w:pPr>
    </w:p>
    <w:p>
      <w:pPr>
        <w:jc w:val="both"/>
        <w:spacing w:after="0" w:line="231" w:lineRule="auto"/>
        <w:rPr>
          <w:sz w:val="20"/>
          <w:szCs w:val="20"/>
          <w:color w:val="auto"/>
        </w:rPr>
      </w:pPr>
      <w:r>
        <w:rPr>
          <w:rFonts w:ascii="Arial" w:cs="Arial" w:eastAsia="Arial" w:hAnsi="Arial"/>
          <w:sz w:val="20"/>
          <w:szCs w:val="20"/>
          <w:color w:val="3E3935"/>
        </w:rPr>
        <w:t>These services are actively monitored (both spending and work content) by the Audit Committee to maintain the appropriate objectivity and independence in EY’s core work, which is the audit of the Company’s annual consolidated financial statements and internal controls. The Audit Committee determined that all services provided by EY in 2022 were compatible with maintaining the independence of EY.</w:t>
      </w:r>
    </w:p>
    <w:p>
      <w:pPr>
        <w:spacing w:after="0" w:line="272" w:lineRule="exact"/>
        <w:rPr>
          <w:sz w:val="20"/>
          <w:szCs w:val="20"/>
          <w:color w:val="auto"/>
        </w:rPr>
      </w:pPr>
    </w:p>
    <w:p>
      <w:pPr>
        <w:sectPr>
          <w:pgSz w:w="11900" w:h="16838" w:orient="portrait"/>
          <w:cols w:equalWidth="0" w:num="2">
            <w:col w:w="5400" w:space="340"/>
            <w:col w:w="5400"/>
          </w:cols>
          <w:pgMar w:left="320" w:top="482" w:right="439" w:bottom="1440" w:gutter="0" w:footer="0" w:header="0"/>
          <w:type w:val="continuous"/>
        </w:sectPr>
      </w:pPr>
    </w:p>
    <w:p>
      <w:pPr>
        <w:spacing w:after="0" w:line="61" w:lineRule="exact"/>
        <w:rPr>
          <w:sz w:val="20"/>
          <w:szCs w:val="20"/>
          <w:color w:val="auto"/>
        </w:rPr>
      </w:pPr>
    </w:p>
    <w:p>
      <w:pPr>
        <w:ind w:left="10660"/>
        <w:spacing w:after="0"/>
        <w:rPr>
          <w:sz w:val="20"/>
          <w:szCs w:val="20"/>
          <w:color w:val="auto"/>
        </w:rPr>
      </w:pPr>
      <w:r>
        <w:rPr>
          <w:rFonts w:ascii="Arial" w:cs="Arial" w:eastAsia="Arial" w:hAnsi="Arial"/>
          <w:sz w:val="14"/>
          <w:szCs w:val="14"/>
          <w:color w:val="0071CE"/>
        </w:rPr>
        <w:t>49</w:t>
      </w:r>
    </w:p>
    <w:p>
      <w:pPr>
        <w:sectPr>
          <w:pgSz w:w="11900" w:h="16838" w:orient="portrait"/>
          <w:cols w:equalWidth="0" w:num="1">
            <w:col w:w="11140"/>
          </w:cols>
          <w:pgMar w:left="320" w:top="482" w:right="439" w:bottom="1440" w:gutter="0" w:footer="0" w:header="0"/>
          <w:type w:val="continuous"/>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11" w:lineRule="exact"/>
        <w:rPr>
          <w:sz w:val="20"/>
          <w:szCs w:val="20"/>
          <w:color w:val="auto"/>
        </w:rPr>
      </w:pPr>
    </w:p>
    <w:p>
      <w:pPr>
        <w:ind w:left="2380" w:right="1740" w:hanging="2267"/>
        <w:spacing w:after="0" w:line="272" w:lineRule="auto"/>
        <w:tabs>
          <w:tab w:leader="none" w:pos="2360" w:val="left"/>
        </w:tabs>
        <w:rPr>
          <w:sz w:val="20"/>
          <w:szCs w:val="20"/>
          <w:color w:val="auto"/>
        </w:rPr>
      </w:pPr>
      <w:r>
        <w:rPr>
          <w:rFonts w:ascii="Arial" w:cs="Arial" w:eastAsia="Arial" w:hAnsi="Arial"/>
          <w:sz w:val="32"/>
          <w:szCs w:val="32"/>
          <w:b w:val="1"/>
          <w:bCs w:val="1"/>
          <w:color w:val="3E3935"/>
        </w:rPr>
        <w:t>ITEM NO. 3:</w:t>
      </w:r>
      <w:r>
        <w:rPr>
          <w:rFonts w:ascii="Arial" w:cs="Arial" w:eastAsia="Arial" w:hAnsi="Arial"/>
          <w:sz w:val="32"/>
          <w:szCs w:val="32"/>
          <w:b w:val="1"/>
          <w:bCs w:val="1"/>
          <w:color w:val="00C1DE"/>
        </w:rPr>
        <w:tab/>
        <w:t>PROPOSAL TO APPROVE, ON AN ADVISORY BASIS, NAMED EXECUTIVE OFFICER COMPENSATION</w:t>
      </w:r>
    </w:p>
    <w:p>
      <w:pPr>
        <w:spacing w:after="0" w:line="202" w:lineRule="exact"/>
        <w:rPr>
          <w:sz w:val="20"/>
          <w:szCs w:val="20"/>
          <w:color w:val="auto"/>
        </w:rPr>
      </w:pPr>
    </w:p>
    <w:p>
      <w:pPr>
        <w:jc w:val="both"/>
        <w:ind w:left="120"/>
        <w:spacing w:after="0" w:line="234" w:lineRule="auto"/>
        <w:rPr>
          <w:sz w:val="20"/>
          <w:szCs w:val="20"/>
          <w:color w:val="auto"/>
        </w:rPr>
      </w:pPr>
      <w:r>
        <w:rPr>
          <w:rFonts w:ascii="Arial" w:cs="Arial" w:eastAsia="Arial" w:hAnsi="Arial"/>
          <w:sz w:val="20"/>
          <w:szCs w:val="20"/>
          <w:color w:val="3E3935"/>
        </w:rPr>
        <w:t>Executive compensation is an important matter for our shareholders. The Dodd-Frank Wall Street Reform and Consumer Protection Act requires that we provide you with the opportunity to vote to approve, on a non-binding, advisory basis, the compensation of our NEOs as disclosed in this Proxy Statement in accordance with the compensation disclosure rules of the SEC (sometimes referred to as “Say-on-Pay”). The Board has adopted a policy providing for an annual Say-on-Pay advisory vote.</w:t>
      </w:r>
    </w:p>
    <w:p>
      <w:pPr>
        <w:spacing w:after="0" w:line="175" w:lineRule="exact"/>
        <w:rPr>
          <w:sz w:val="20"/>
          <w:szCs w:val="20"/>
          <w:color w:val="auto"/>
        </w:rPr>
      </w:pPr>
    </w:p>
    <w:p>
      <w:pPr>
        <w:jc w:val="both"/>
        <w:ind w:left="120" w:right="20"/>
        <w:spacing w:after="0" w:line="234" w:lineRule="auto"/>
        <w:rPr>
          <w:sz w:val="20"/>
          <w:szCs w:val="20"/>
          <w:color w:val="auto"/>
        </w:rPr>
      </w:pPr>
      <w:r>
        <w:rPr>
          <w:rFonts w:ascii="Arial" w:cs="Arial" w:eastAsia="Arial" w:hAnsi="Arial"/>
          <w:sz w:val="20"/>
          <w:szCs w:val="20"/>
          <w:color w:val="3E3935"/>
        </w:rPr>
        <w:t>The Compensation Committee has approved the compensation arrangements for our NEOs described in the “Compensation Discussion and Analysis” section beginning on page 51 and the accompanying executive compensation tables beginning on page 74. We urge you to read the Compensation Discussion and Analysis for a more complete understanding of our executive compensation plans, including our compensation principles, our objectives, and the 2022 compensation of our NEOs.</w:t>
      </w:r>
    </w:p>
    <w:p>
      <w:pPr>
        <w:spacing w:after="0" w:line="175" w:lineRule="exact"/>
        <w:rPr>
          <w:sz w:val="20"/>
          <w:szCs w:val="20"/>
          <w:color w:val="auto"/>
        </w:rPr>
      </w:pPr>
    </w:p>
    <w:p>
      <w:pPr>
        <w:ind w:left="120"/>
        <w:spacing w:after="0"/>
        <w:rPr>
          <w:sz w:val="20"/>
          <w:szCs w:val="20"/>
          <w:color w:val="auto"/>
        </w:rPr>
      </w:pPr>
      <w:r>
        <w:rPr>
          <w:rFonts w:ascii="Arial" w:cs="Arial" w:eastAsia="Arial" w:hAnsi="Arial"/>
          <w:sz w:val="20"/>
          <w:szCs w:val="20"/>
          <w:color w:val="3E3935"/>
        </w:rPr>
        <w:t>We are asking shareholders to vote in favor of the following resolution:</w:t>
      </w:r>
    </w:p>
    <w:p>
      <w:pPr>
        <w:spacing w:after="0" w:line="200" w:lineRule="exact"/>
        <w:rPr>
          <w:sz w:val="20"/>
          <w:szCs w:val="20"/>
          <w:color w:val="auto"/>
        </w:rPr>
      </w:pPr>
    </w:p>
    <w:p>
      <w:pPr>
        <w:jc w:val="both"/>
        <w:ind w:left="120" w:right="20"/>
        <w:spacing w:after="0" w:line="242" w:lineRule="auto"/>
        <w:rPr>
          <w:sz w:val="20"/>
          <w:szCs w:val="20"/>
          <w:color w:val="auto"/>
        </w:rPr>
      </w:pPr>
      <w:r>
        <w:rPr>
          <w:rFonts w:ascii="Arial" w:cs="Arial" w:eastAsia="Arial" w:hAnsi="Arial"/>
          <w:sz w:val="20"/>
          <w:szCs w:val="20"/>
          <w:b w:val="1"/>
          <w:bCs w:val="1"/>
          <w:color w:val="3E3935"/>
        </w:rPr>
        <w:t xml:space="preserve">RESOLVED, </w:t>
      </w:r>
      <w:r>
        <w:rPr>
          <w:rFonts w:ascii="Arial" w:cs="Arial" w:eastAsia="Arial" w:hAnsi="Arial"/>
          <w:sz w:val="20"/>
          <w:szCs w:val="20"/>
          <w:color w:val="3E3935"/>
        </w:rPr>
        <w:t>that the compensation paid to the Company’s named executive officers, as disclosed pursuant to Item 402 of</w:t>
      </w:r>
      <w:r>
        <w:rPr>
          <w:rFonts w:ascii="Arial" w:cs="Arial" w:eastAsia="Arial" w:hAnsi="Arial"/>
          <w:sz w:val="20"/>
          <w:szCs w:val="20"/>
          <w:b w:val="1"/>
          <w:bCs w:val="1"/>
          <w:color w:val="3E3935"/>
        </w:rPr>
        <w:t xml:space="preserve"> </w:t>
      </w:r>
      <w:r>
        <w:rPr>
          <w:rFonts w:ascii="Arial" w:cs="Arial" w:eastAsia="Arial" w:hAnsi="Arial"/>
          <w:sz w:val="20"/>
          <w:szCs w:val="20"/>
          <w:color w:val="3E3935"/>
        </w:rPr>
        <w:t>Regulation S-K, including the Compensation Discussion and Analysis, executive compensation tables, and the related narrative discussion, is hereby APPROVED.</w:t>
      </w:r>
    </w:p>
    <w:p>
      <w:pPr>
        <w:spacing w:after="0" w:line="170" w:lineRule="exact"/>
        <w:rPr>
          <w:sz w:val="20"/>
          <w:szCs w:val="20"/>
          <w:color w:val="auto"/>
        </w:rPr>
      </w:pPr>
    </w:p>
    <w:p>
      <w:pPr>
        <w:jc w:val="both"/>
        <w:ind w:left="120" w:right="20"/>
        <w:spacing w:after="0" w:line="257" w:lineRule="auto"/>
        <w:rPr>
          <w:sz w:val="20"/>
          <w:szCs w:val="20"/>
          <w:color w:val="auto"/>
        </w:rPr>
      </w:pPr>
      <w:r>
        <w:rPr>
          <w:rFonts w:ascii="Arial" w:cs="Arial" w:eastAsia="Arial" w:hAnsi="Arial"/>
          <w:sz w:val="20"/>
          <w:szCs w:val="20"/>
          <w:color w:val="3E3935"/>
        </w:rPr>
        <w:t>Although the vote on this item is non-binding, the Board and the Compensation Committee value the opinions of our shareholders and will consider the outcome of the vote when making future compensation decisions for NEOs.</w:t>
      </w:r>
    </w:p>
    <w:p>
      <w:pPr>
        <w:spacing w:after="0" w:line="155" w:lineRule="exact"/>
        <w:rPr>
          <w:sz w:val="20"/>
          <w:szCs w:val="20"/>
          <w:color w:val="auto"/>
        </w:rPr>
      </w:pPr>
    </w:p>
    <w:p>
      <w:pPr>
        <w:jc w:val="both"/>
        <w:ind w:left="120" w:right="20"/>
        <w:spacing w:after="0" w:line="257" w:lineRule="auto"/>
        <w:rPr>
          <w:sz w:val="20"/>
          <w:szCs w:val="20"/>
          <w:color w:val="auto"/>
        </w:rPr>
      </w:pPr>
      <w:r>
        <w:rPr>
          <w:rFonts w:ascii="Arial" w:cs="Arial" w:eastAsia="Arial" w:hAnsi="Arial"/>
          <w:sz w:val="20"/>
          <w:szCs w:val="20"/>
          <w:color w:val="3E3935"/>
        </w:rPr>
        <w:t>The next Say-on-Pay vote will occur at our 2024 annual meeting and the next advisory vote on the frequency of future Say-on-Pay votes will occur at our 2026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129540</wp:posOffset>
            </wp:positionV>
            <wp:extent cx="6986270" cy="7283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986270" cy="728345"/>
                    </a:xfrm>
                    <a:prstGeom prst="rect">
                      <a:avLst/>
                    </a:prstGeom>
                    <a:noFill/>
                  </pic:spPr>
                </pic:pic>
              </a:graphicData>
            </a:graphic>
          </wp:anchor>
        </w:drawing>
      </w:r>
    </w:p>
    <w:p>
      <w:pPr>
        <w:spacing w:after="0" w:line="389" w:lineRule="exact"/>
        <w:rPr>
          <w:sz w:val="20"/>
          <w:szCs w:val="20"/>
          <w:color w:val="auto"/>
        </w:rPr>
      </w:pPr>
    </w:p>
    <w:tbl>
      <w:tblPr>
        <w:tblLayout w:type="fixed"/>
        <w:tblInd w:w="280" w:type="dxa"/>
        <w:tblCellMar>
          <w:top w:w="0" w:type="dxa"/>
          <w:left w:w="0" w:type="dxa"/>
          <w:bottom w:w="0" w:type="dxa"/>
          <w:right w:w="0" w:type="dxa"/>
        </w:tblCellMar>
      </w:tblPr>
      <w:tr>
        <w:trPr>
          <w:trHeight w:val="297"/>
        </w:trPr>
        <w:tc>
          <w:tcPr>
            <w:tcW w:w="8900" w:type="dxa"/>
            <w:vAlign w:val="bottom"/>
          </w:tcPr>
          <w:p>
            <w:pPr>
              <w:spacing w:after="0"/>
              <w:rPr>
                <w:sz w:val="20"/>
                <w:szCs w:val="20"/>
                <w:color w:val="auto"/>
              </w:rPr>
            </w:pPr>
            <w:r>
              <w:rPr>
                <w:rFonts w:ascii="Arial" w:cs="Arial" w:eastAsia="Arial" w:hAnsi="Arial"/>
                <w:sz w:val="25"/>
                <w:szCs w:val="25"/>
                <w:b w:val="1"/>
                <w:bCs w:val="1"/>
                <w:color w:val="0071CE"/>
              </w:rPr>
              <w:t xml:space="preserve">The Board recommends a vote </w:t>
            </w:r>
            <w:r>
              <w:rPr>
                <w:rFonts w:ascii="Arial" w:cs="Arial" w:eastAsia="Arial" w:hAnsi="Arial"/>
                <w:sz w:val="25"/>
                <w:szCs w:val="25"/>
                <w:b w:val="1"/>
                <w:bCs w:val="1"/>
                <w:u w:val="single" w:color="auto"/>
                <w:color w:val="00C1DE"/>
              </w:rPr>
              <w:t>FOR</w:t>
            </w:r>
            <w:r>
              <w:rPr>
                <w:rFonts w:ascii="Arial" w:cs="Arial" w:eastAsia="Arial" w:hAnsi="Arial"/>
                <w:sz w:val="25"/>
                <w:szCs w:val="25"/>
                <w:b w:val="1"/>
                <w:bCs w:val="1"/>
                <w:color w:val="0071CE"/>
              </w:rPr>
              <w:t xml:space="preserve"> the advisory proposal to approve</w:t>
            </w:r>
          </w:p>
        </w:tc>
        <w:tc>
          <w:tcPr>
            <w:tcW w:w="1180" w:type="dxa"/>
            <w:vAlign w:val="bottom"/>
          </w:tcPr>
          <w:p>
            <w:pPr>
              <w:spacing w:after="0"/>
              <w:rPr>
                <w:sz w:val="24"/>
                <w:szCs w:val="24"/>
                <w:color w:val="auto"/>
              </w:rPr>
            </w:pPr>
          </w:p>
        </w:tc>
      </w:tr>
      <w:tr>
        <w:trPr>
          <w:trHeight w:val="441"/>
        </w:trPr>
        <w:tc>
          <w:tcPr>
            <w:tcW w:w="8900" w:type="dxa"/>
            <w:vAlign w:val="bottom"/>
          </w:tcPr>
          <w:p>
            <w:pPr>
              <w:spacing w:after="0"/>
              <w:rPr>
                <w:sz w:val="20"/>
                <w:szCs w:val="20"/>
                <w:color w:val="auto"/>
              </w:rPr>
            </w:pPr>
            <w:r>
              <w:rPr>
                <w:rFonts w:ascii="Arial" w:cs="Arial" w:eastAsia="Arial" w:hAnsi="Arial"/>
                <w:sz w:val="25"/>
                <w:szCs w:val="25"/>
                <w:b w:val="1"/>
                <w:bCs w:val="1"/>
                <w:color w:val="0071CE"/>
              </w:rPr>
              <w:t>named executive officer compensation.</w:t>
            </w:r>
          </w:p>
        </w:tc>
        <w:tc>
          <w:tcPr>
            <w:tcW w:w="1180" w:type="dxa"/>
            <w:vAlign w:val="bottom"/>
          </w:tcPr>
          <w:p>
            <w:pPr>
              <w:ind w:left="580"/>
              <w:spacing w:after="0"/>
              <w:rPr>
                <w:sz w:val="20"/>
                <w:szCs w:val="20"/>
                <w:color w:val="auto"/>
              </w:rPr>
            </w:pPr>
            <w:r>
              <w:rPr>
                <w:rFonts w:ascii="Arial" w:cs="Arial" w:eastAsia="Arial" w:hAnsi="Arial"/>
                <w:sz w:val="29"/>
                <w:szCs w:val="29"/>
                <w:b w:val="1"/>
                <w:bCs w:val="1"/>
                <w:color w:val="0071CE"/>
                <w:w w:val="94"/>
              </w:rPr>
              <w:t>FOR</w:t>
            </w:r>
          </w:p>
        </w:tc>
      </w:tr>
    </w:tbl>
    <w:p>
      <w:pPr>
        <w:spacing w:after="0" w:line="200" w:lineRule="exact"/>
        <w:rPr>
          <w:sz w:val="20"/>
          <w:szCs w:val="20"/>
          <w:color w:val="auto"/>
        </w:rPr>
      </w:pPr>
    </w:p>
    <w:p>
      <w:pPr>
        <w:spacing w:after="0" w:line="387" w:lineRule="exact"/>
        <w:rPr>
          <w:sz w:val="20"/>
          <w:szCs w:val="20"/>
          <w:color w:val="auto"/>
        </w:rPr>
      </w:pPr>
    </w:p>
    <w:p>
      <w:pPr>
        <w:ind w:left="120"/>
        <w:spacing w:after="0"/>
        <w:rPr>
          <w:sz w:val="20"/>
          <w:szCs w:val="20"/>
          <w:color w:val="auto"/>
        </w:rPr>
      </w:pPr>
      <w:r>
        <w:rPr>
          <w:rFonts w:ascii="Arial" w:cs="Arial" w:eastAsia="Arial" w:hAnsi="Arial"/>
          <w:sz w:val="14"/>
          <w:szCs w:val="14"/>
          <w:color w:val="0071CE"/>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wp:posOffset>
            </wp:positionH>
            <wp:positionV relativeFrom="paragraph">
              <wp:posOffset>-95885</wp:posOffset>
            </wp:positionV>
            <wp:extent cx="5983605" cy="10287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5983605" cy="102870"/>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6665595</wp:posOffset>
            </wp:positionH>
            <wp:positionV relativeFrom="paragraph">
              <wp:posOffset>294005</wp:posOffset>
            </wp:positionV>
            <wp:extent cx="403225" cy="4025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403225" cy="402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120"/>
        <w:spacing w:after="0"/>
        <w:rPr>
          <w:sz w:val="20"/>
          <w:szCs w:val="20"/>
          <w:color w:val="auto"/>
        </w:rPr>
      </w:pPr>
      <w:r>
        <w:rPr>
          <w:rFonts w:ascii="Arial" w:cs="Arial" w:eastAsia="Arial" w:hAnsi="Arial"/>
          <w:sz w:val="32"/>
          <w:szCs w:val="32"/>
          <w:b w:val="1"/>
          <w:bCs w:val="1"/>
          <w:color w:val="0071CE"/>
        </w:rPr>
        <w:t>COMPENSATION DISCUSSION AND ANALYSIS</w:t>
      </w:r>
    </w:p>
    <w:p>
      <w:pPr>
        <w:spacing w:after="0" w:line="200" w:lineRule="exact"/>
        <w:rPr>
          <w:sz w:val="20"/>
          <w:szCs w:val="20"/>
          <w:color w:val="auto"/>
        </w:rPr>
      </w:pPr>
    </w:p>
    <w:p>
      <w:pPr>
        <w:spacing w:after="0" w:line="262"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00C1DE"/>
        </w:rPr>
        <w:t>Dear Shareholders:</w:t>
      </w:r>
    </w:p>
    <w:p>
      <w:pPr>
        <w:spacing w:after="0" w:line="204" w:lineRule="exact"/>
        <w:rPr>
          <w:sz w:val="20"/>
          <w:szCs w:val="20"/>
          <w:color w:val="auto"/>
        </w:rPr>
      </w:pPr>
    </w:p>
    <w:p>
      <w:pPr>
        <w:jc w:val="both"/>
        <w:ind w:left="120"/>
        <w:spacing w:after="0" w:line="237" w:lineRule="auto"/>
        <w:rPr>
          <w:sz w:val="20"/>
          <w:szCs w:val="20"/>
          <w:color w:val="auto"/>
        </w:rPr>
      </w:pPr>
      <w:r>
        <w:rPr>
          <w:rFonts w:ascii="Arial" w:cs="Arial" w:eastAsia="Arial" w:hAnsi="Arial"/>
          <w:sz w:val="20"/>
          <w:szCs w:val="20"/>
          <w:color w:val="3E3935"/>
        </w:rPr>
        <w:t>On behalf of the Compensation Committee, I want to thank you for your support of the Company’s executive compensation program, as evidenced by last year’s Say-on-Pay proposal receiving over 92 percent support from shareholders. The Compensation Committee represents our shareholders, and we recognize our obligation to align the Company’s executive compensation program with our shareholders’ interest in driving long-term value creation.</w:t>
      </w:r>
    </w:p>
    <w:p>
      <w:pPr>
        <w:spacing w:after="0" w:line="104" w:lineRule="exact"/>
        <w:rPr>
          <w:sz w:val="20"/>
          <w:szCs w:val="20"/>
          <w:color w:val="auto"/>
        </w:rPr>
      </w:pPr>
    </w:p>
    <w:p>
      <w:pPr>
        <w:jc w:val="both"/>
        <w:ind w:left="120"/>
        <w:spacing w:after="0" w:line="231" w:lineRule="auto"/>
        <w:rPr>
          <w:sz w:val="20"/>
          <w:szCs w:val="20"/>
          <w:color w:val="auto"/>
        </w:rPr>
      </w:pPr>
      <w:r>
        <w:rPr>
          <w:rFonts w:ascii="Arial" w:cs="Arial" w:eastAsia="Arial" w:hAnsi="Arial"/>
          <w:sz w:val="20"/>
          <w:szCs w:val="20"/>
          <w:color w:val="3E3935"/>
        </w:rPr>
        <w:t>In August of 2022, Carol Stephenson transitioned from being your Compensation Committee Chair to a member of the Committee until her anticipated retirement later this year. I am grateful for Carol’s leadership of our Committee and for her mentorship during the Chair transition. I want to recognize Carol for fostering change during her tenure by modernizing the Company’s compensation plans with an emphasis on driving enhanced shareholder alignment, including a focus on the importance of EV growth. Under her leadership, we have implemented competitive executive compensation plans built on a foundation of pay-for-performance, while attracting, motivating, and retaining our top-tier talent amidst significant transformation for the industry and the Company. Please see page 54 for a detailed description of the plan changes over the past several years.</w:t>
      </w:r>
    </w:p>
    <w:p>
      <w:pPr>
        <w:spacing w:after="0" w:line="106" w:lineRule="exact"/>
        <w:rPr>
          <w:sz w:val="20"/>
          <w:szCs w:val="20"/>
          <w:color w:val="auto"/>
        </w:rPr>
      </w:pPr>
    </w:p>
    <w:p>
      <w:pPr>
        <w:jc w:val="both"/>
        <w:ind w:left="120" w:right="20"/>
        <w:spacing w:after="0" w:line="231" w:lineRule="auto"/>
        <w:rPr>
          <w:sz w:val="20"/>
          <w:szCs w:val="20"/>
          <w:color w:val="auto"/>
        </w:rPr>
      </w:pPr>
      <w:r>
        <w:rPr>
          <w:rFonts w:ascii="Arial" w:cs="Arial" w:eastAsia="Arial" w:hAnsi="Arial"/>
          <w:sz w:val="20"/>
          <w:szCs w:val="20"/>
          <w:color w:val="3E3935"/>
        </w:rPr>
        <w:t>One of the priorities of our Committee is to continue to ensure that the Board responds to your views on executive compensation. The feedback we most frequently receive relates to aligning compensation to our EV strategy and incorporating ESG performance in compensation decisions. Please see page 62 for a description of the 2022 LTIP design, which now includes GMNA EV metrics for volume, launch timing, and launch quality. When determining short-term incentives, the Committee uses a rigorous assessment process against pre-established financial and operational goals, safety results, and other measures, including ESG outcomes. Please see pages 65-69 for 2022 STIP results for each NEO. We believe these actions demonstrate our commitment to linking executive compensation to the Company’s strategy and responding to shareholder feedback.</w:t>
      </w:r>
    </w:p>
    <w:p>
      <w:pPr>
        <w:spacing w:after="0" w:line="92" w:lineRule="exact"/>
        <w:rPr>
          <w:sz w:val="20"/>
          <w:szCs w:val="20"/>
          <w:color w:val="auto"/>
        </w:rPr>
      </w:pPr>
    </w:p>
    <w:p>
      <w:pPr>
        <w:jc w:val="both"/>
        <w:ind w:left="120"/>
        <w:spacing w:after="0" w:line="230" w:lineRule="auto"/>
        <w:rPr>
          <w:sz w:val="20"/>
          <w:szCs w:val="20"/>
          <w:color w:val="auto"/>
        </w:rPr>
      </w:pPr>
      <w:r>
        <w:rPr>
          <w:rFonts w:ascii="Arial" w:cs="Arial" w:eastAsia="Arial" w:hAnsi="Arial"/>
          <w:sz w:val="20"/>
          <w:szCs w:val="20"/>
          <w:color w:val="3E3935"/>
        </w:rPr>
        <w:t>The Company faced many challenges last year, including increased commodity and supply chain disruptions, but was still able to deliver record financial performance and lead the industry in total U.S. sales, all while accelerating our EV strategy. The Compensation Discussion and Analysis that follows describes a strong alignment between the Company’s demonstrated performance and compensation outcomes for each NEO. The Committee believes these accomplishments warrant recognition; however, we understand the market has not yet fully recognized this success and that total shareholder return did not perform at the desired level in 2022. In recognition of this, we have held Ms. Barra’s 2023 target compensation at the same level as it was in 2022, as it is highly aligned with shareholder outcomes. We continue to believe that we have an extraordinary CEO and leadership team who are driving the transformation of the Company and the industry as demonstrated by its track record of delivering on its commitments to shareholders quarter-after-quarter, and continuing to demonstrate excellent execution of our strategy in a turbulent environment.</w:t>
      </w:r>
    </w:p>
    <w:p>
      <w:pPr>
        <w:spacing w:after="0" w:line="105" w:lineRule="exact"/>
        <w:rPr>
          <w:sz w:val="20"/>
          <w:szCs w:val="20"/>
          <w:color w:val="auto"/>
        </w:rPr>
      </w:pPr>
    </w:p>
    <w:p>
      <w:pPr>
        <w:jc w:val="both"/>
        <w:ind w:left="120" w:right="20"/>
        <w:spacing w:after="0" w:line="241" w:lineRule="auto"/>
        <w:rPr>
          <w:sz w:val="20"/>
          <w:szCs w:val="20"/>
          <w:color w:val="auto"/>
        </w:rPr>
      </w:pPr>
      <w:r>
        <w:rPr>
          <w:rFonts w:ascii="Arial" w:cs="Arial" w:eastAsia="Arial" w:hAnsi="Arial"/>
          <w:sz w:val="20"/>
          <w:szCs w:val="20"/>
          <w:color w:val="3E3935"/>
        </w:rPr>
        <w:t>The Compensation Committee looks forward to your continued feedback as we work to continue to align our executive compensation program with shareholders’ interests, encourage management to make decisions that drive long-term value creation, and attract and retain the talent required to accelerate the Company’s critical transition to EVs.</w:t>
      </w:r>
    </w:p>
    <w:p>
      <w:pPr>
        <w:spacing w:after="0" w:line="104" w:lineRule="exact"/>
        <w:rPr>
          <w:sz w:val="20"/>
          <w:szCs w:val="20"/>
          <w:color w:val="auto"/>
        </w:rPr>
      </w:pPr>
    </w:p>
    <w:p>
      <w:pPr>
        <w:ind w:left="120"/>
        <w:spacing w:after="0"/>
        <w:rPr>
          <w:sz w:val="20"/>
          <w:szCs w:val="20"/>
          <w:color w:val="auto"/>
        </w:rPr>
      </w:pPr>
      <w:r>
        <w:rPr>
          <w:rFonts w:ascii="Arial" w:cs="Arial" w:eastAsia="Arial" w:hAnsi="Arial"/>
          <w:sz w:val="20"/>
          <w:szCs w:val="20"/>
          <w:color w:val="3E3935"/>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159385</wp:posOffset>
            </wp:positionV>
            <wp:extent cx="1928495" cy="62547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1928495" cy="6254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1340"/>
        <w:spacing w:after="0"/>
        <w:rPr>
          <w:sz w:val="20"/>
          <w:szCs w:val="20"/>
          <w:color w:val="auto"/>
        </w:rPr>
      </w:pPr>
      <w:r>
        <w:rPr>
          <w:rFonts w:ascii="Arial" w:cs="Arial" w:eastAsia="Arial" w:hAnsi="Arial"/>
          <w:sz w:val="20"/>
          <w:szCs w:val="20"/>
          <w:b w:val="1"/>
          <w:bCs w:val="1"/>
          <w:color w:val="3E3935"/>
        </w:rPr>
        <w:t>Wesley G. Bush</w:t>
      </w:r>
    </w:p>
    <w:p>
      <w:pPr>
        <w:spacing w:after="0" w:line="20" w:lineRule="exact"/>
        <w:rPr>
          <w:sz w:val="20"/>
          <w:szCs w:val="20"/>
          <w:color w:val="auto"/>
        </w:rPr>
      </w:pPr>
    </w:p>
    <w:p>
      <w:pPr>
        <w:ind w:left="1340"/>
        <w:spacing w:after="0"/>
        <w:rPr>
          <w:sz w:val="20"/>
          <w:szCs w:val="20"/>
          <w:color w:val="auto"/>
        </w:rPr>
      </w:pPr>
      <w:r>
        <w:rPr>
          <w:rFonts w:ascii="Arial" w:cs="Arial" w:eastAsia="Arial" w:hAnsi="Arial"/>
          <w:sz w:val="20"/>
          <w:szCs w:val="20"/>
          <w:color w:val="3E3935"/>
        </w:rPr>
        <w:t>Compensation Committee Chair</w:t>
      </w:r>
    </w:p>
    <w:p>
      <w:pPr>
        <w:spacing w:after="0" w:line="129" w:lineRule="exact"/>
        <w:rPr>
          <w:sz w:val="20"/>
          <w:szCs w:val="20"/>
          <w:color w:val="auto"/>
        </w:rPr>
      </w:pPr>
    </w:p>
    <w:p>
      <w:pPr>
        <w:ind w:left="10660"/>
        <w:spacing w:after="0"/>
        <w:rPr>
          <w:sz w:val="20"/>
          <w:szCs w:val="20"/>
          <w:color w:val="auto"/>
        </w:rPr>
      </w:pPr>
      <w:r>
        <w:rPr>
          <w:rFonts w:ascii="Arial" w:cs="Arial" w:eastAsia="Arial" w:hAnsi="Arial"/>
          <w:sz w:val="14"/>
          <w:szCs w:val="14"/>
          <w:color w:val="0071CE"/>
        </w:rPr>
        <w:t>51</w:t>
      </w:r>
    </w:p>
    <w:p>
      <w:pPr>
        <w:sectPr>
          <w:pgSz w:w="11900" w:h="16838" w:orient="portrait"/>
          <w:cols w:equalWidth="0" w:num="1">
            <w:col w:w="11140"/>
          </w:cols>
          <w:pgMar w:left="320" w:top="482" w:right="4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29"/>
          <w:szCs w:val="29"/>
          <w:color w:val="3E3935"/>
        </w:rPr>
        <w:t>Our Company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681990</wp:posOffset>
            </wp:positionH>
            <wp:positionV relativeFrom="paragraph">
              <wp:posOffset>494665</wp:posOffset>
            </wp:positionV>
            <wp:extent cx="5786755" cy="21399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5786755" cy="2139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both"/>
        <w:ind w:left="2080" w:right="560"/>
        <w:spacing w:after="0" w:line="244" w:lineRule="auto"/>
        <w:rPr>
          <w:sz w:val="20"/>
          <w:szCs w:val="20"/>
          <w:color w:val="auto"/>
        </w:rPr>
      </w:pPr>
      <w:r>
        <w:rPr>
          <w:rFonts w:ascii="Arial" w:cs="Arial" w:eastAsia="Arial" w:hAnsi="Arial"/>
          <w:sz w:val="18"/>
          <w:szCs w:val="18"/>
          <w:color w:val="3E3935"/>
        </w:rPr>
        <w:t>“General Motors’s ability to grow EV sales is the payoff for many years of investment in R&amp;D, design, engineering, manufacturing, our supply chain, and a new EV customer experience that is designed to be the best in the industry. Our multi-brand, multi-segment, multi-price point EV strategy gives us incredible leverage to grow revenue and market share, and we believe our Ultium Platform and vertical integration will allow us to continuously improve battery performance and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-655320</wp:posOffset>
            </wp:positionV>
            <wp:extent cx="402590" cy="4025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402590" cy="402590"/>
                    </a:xfrm>
                    <a:prstGeom prst="rect">
                      <a:avLst/>
                    </a:prstGeom>
                    <a:noFill/>
                  </pic:spPr>
                </pic:pic>
              </a:graphicData>
            </a:graphic>
          </wp:anchor>
        </w:drawing>
      </w:r>
    </w:p>
    <w:p>
      <w:pPr>
        <w:spacing w:after="0" w:line="62" w:lineRule="exact"/>
        <w:rPr>
          <w:sz w:val="20"/>
          <w:szCs w:val="20"/>
          <w:color w:val="auto"/>
        </w:rPr>
      </w:pPr>
    </w:p>
    <w:p>
      <w:pPr>
        <w:ind w:left="5080"/>
        <w:spacing w:after="0"/>
        <w:rPr>
          <w:sz w:val="20"/>
          <w:szCs w:val="20"/>
          <w:color w:val="auto"/>
        </w:rPr>
      </w:pPr>
      <w:r>
        <w:rPr>
          <w:rFonts w:ascii="Arial" w:cs="Arial" w:eastAsia="Arial" w:hAnsi="Arial"/>
          <w:sz w:val="18"/>
          <w:szCs w:val="18"/>
          <w:color w:val="3E3935"/>
        </w:rPr>
        <w:t>- Mary T. Barra, Chair and 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681990</wp:posOffset>
            </wp:positionH>
            <wp:positionV relativeFrom="paragraph">
              <wp:posOffset>248920</wp:posOffset>
            </wp:positionV>
            <wp:extent cx="5786755" cy="189420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5786755" cy="1894205"/>
                    </a:xfrm>
                    <a:prstGeom prst="rect">
                      <a:avLst/>
                    </a:prstGeom>
                    <a:noFill/>
                  </pic:spPr>
                </pic:pic>
              </a:graphicData>
            </a:graphic>
          </wp:anchor>
        </w:drawing>
        <w:drawing>
          <wp:anchor simplePos="0" relativeHeight="251657728" behindDoc="1" locked="0" layoutInCell="0" allowOverlap="1">
            <wp:simplePos x="0" y="0"/>
            <wp:positionH relativeFrom="column">
              <wp:posOffset>544830</wp:posOffset>
            </wp:positionH>
            <wp:positionV relativeFrom="paragraph">
              <wp:posOffset>2374900</wp:posOffset>
            </wp:positionV>
            <wp:extent cx="6094730" cy="408051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094730" cy="4080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540" w:hanging="424"/>
        <w:spacing w:after="0" w:line="269" w:lineRule="auto"/>
        <w:tabs>
          <w:tab w:leader="none" w:pos="540" w:val="left"/>
        </w:tabs>
        <w:numPr>
          <w:ilvl w:val="0"/>
          <w:numId w:val="72"/>
        </w:numPr>
        <w:rPr>
          <w:rFonts w:ascii="Arial" w:cs="Arial" w:eastAsia="Arial" w:hAnsi="Arial"/>
          <w:sz w:val="18"/>
          <w:szCs w:val="18"/>
          <w:i w:val="1"/>
          <w:iCs w:val="1"/>
          <w:color w:val="3E3935"/>
        </w:rPr>
      </w:pPr>
      <w:r>
        <w:rPr>
          <w:rFonts w:ascii="Arial" w:cs="Arial" w:eastAsia="Arial" w:hAnsi="Arial"/>
          <w:sz w:val="18"/>
          <w:szCs w:val="18"/>
          <w:i w:val="1"/>
          <w:iCs w:val="1"/>
          <w:color w:val="3E3935"/>
        </w:rPr>
        <w:t>Non-GAAP financial measure. Refer to Appendix A for a reconciliation of Non-GAAP financial measures to their closest comparable GAAP measure.</w:t>
      </w:r>
    </w:p>
    <w:p>
      <w:pPr>
        <w:spacing w:after="0" w:line="97" w:lineRule="exact"/>
        <w:rPr>
          <w:sz w:val="20"/>
          <w:szCs w:val="20"/>
          <w:color w:val="auto"/>
        </w:rPr>
      </w:pPr>
    </w:p>
    <w:p>
      <w:pPr>
        <w:ind w:left="120"/>
        <w:spacing w:after="0"/>
        <w:rPr>
          <w:sz w:val="20"/>
          <w:szCs w:val="20"/>
          <w:color w:val="auto"/>
        </w:rPr>
      </w:pPr>
      <w:r>
        <w:rPr>
          <w:rFonts w:ascii="Arial" w:cs="Arial" w:eastAsia="Arial" w:hAnsi="Arial"/>
          <w:sz w:val="14"/>
          <w:szCs w:val="14"/>
          <w:color w:val="0071CE"/>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wp:posOffset>
            </wp:positionH>
            <wp:positionV relativeFrom="paragraph">
              <wp:posOffset>-95885</wp:posOffset>
            </wp:positionV>
            <wp:extent cx="5983605" cy="10287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5983605" cy="102870"/>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681990</wp:posOffset>
            </wp:positionH>
            <wp:positionV relativeFrom="paragraph">
              <wp:posOffset>208280</wp:posOffset>
            </wp:positionV>
            <wp:extent cx="5786755" cy="21463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5786755" cy="2146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both"/>
        <w:ind w:left="1000" w:right="20"/>
        <w:spacing w:after="0" w:line="257" w:lineRule="auto"/>
        <w:rPr>
          <w:sz w:val="20"/>
          <w:szCs w:val="20"/>
          <w:color w:val="auto"/>
        </w:rPr>
      </w:pPr>
      <w:r>
        <w:rPr>
          <w:rFonts w:ascii="Arial" w:cs="Arial" w:eastAsia="Arial" w:hAnsi="Arial"/>
          <w:sz w:val="20"/>
          <w:szCs w:val="20"/>
          <w:color w:val="3E3935"/>
        </w:rPr>
        <w:t>Delivered record revenue of $156.7 billion, strong net income attributable to stockholders of $9.9 billion, record EBIT-adjusted of $14.5 billion, exceptional cash flow, and reinstated a quarterly shareholder dividend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-229870</wp:posOffset>
            </wp:positionV>
            <wp:extent cx="179705" cy="17970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179705" cy="179705"/>
                    </a:xfrm>
                    <a:prstGeom prst="rect">
                      <a:avLst/>
                    </a:prstGeom>
                    <a:noFill/>
                  </pic:spPr>
                </pic:pic>
              </a:graphicData>
            </a:graphic>
          </wp:anchor>
        </w:drawing>
      </w:r>
    </w:p>
    <w:p>
      <w:pPr>
        <w:spacing w:after="0" w:line="176" w:lineRule="exact"/>
        <w:rPr>
          <w:sz w:val="20"/>
          <w:szCs w:val="20"/>
          <w:color w:val="auto"/>
        </w:rPr>
      </w:pPr>
    </w:p>
    <w:p>
      <w:pPr>
        <w:ind w:left="1000"/>
        <w:spacing w:after="0"/>
        <w:rPr>
          <w:sz w:val="20"/>
          <w:szCs w:val="20"/>
          <w:color w:val="auto"/>
        </w:rPr>
      </w:pPr>
      <w:r>
        <w:rPr>
          <w:rFonts w:ascii="Arial" w:cs="Arial" w:eastAsia="Arial" w:hAnsi="Arial"/>
          <w:sz w:val="20"/>
          <w:szCs w:val="20"/>
          <w:color w:val="3E3935"/>
        </w:rPr>
        <w:t>Generated EBT-adjusted of $4.1 billion and paid $1.7 billion in dividends to GM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142240</wp:posOffset>
            </wp:positionH>
            <wp:positionV relativeFrom="paragraph">
              <wp:posOffset>-123190</wp:posOffset>
            </wp:positionV>
            <wp:extent cx="360045" cy="22288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360045" cy="222885"/>
                    </a:xfrm>
                    <a:prstGeom prst="rect">
                      <a:avLst/>
                    </a:prstGeom>
                    <a:noFill/>
                  </pic:spPr>
                </pic:pic>
              </a:graphicData>
            </a:graphic>
          </wp:anchor>
        </w:drawing>
      </w:r>
    </w:p>
    <w:p>
      <w:pPr>
        <w:spacing w:after="0" w:line="304" w:lineRule="exact"/>
        <w:rPr>
          <w:sz w:val="20"/>
          <w:szCs w:val="20"/>
          <w:color w:val="auto"/>
        </w:rPr>
      </w:pPr>
    </w:p>
    <w:p>
      <w:pPr>
        <w:jc w:val="both"/>
        <w:ind w:left="1000" w:right="20"/>
        <w:spacing w:after="0" w:line="257" w:lineRule="auto"/>
        <w:rPr>
          <w:sz w:val="20"/>
          <w:szCs w:val="20"/>
          <w:color w:val="auto"/>
        </w:rPr>
      </w:pPr>
      <w:r>
        <w:rPr>
          <w:rFonts w:ascii="Arial" w:cs="Arial" w:eastAsia="Arial" w:hAnsi="Arial"/>
          <w:sz w:val="20"/>
          <w:szCs w:val="20"/>
          <w:color w:val="3E3935"/>
        </w:rPr>
        <w:t xml:space="preserve">Detailed plans at investor event for GM’s rapidly growing portfolio of EVs to become solidly profitable in 2025 in North America as the Company scales EV capacity in the region to more than 1 million units annually </w:t>
      </w:r>
      <w:r>
        <w:rPr>
          <w:sz w:val="1"/>
          <w:szCs w:val="1"/>
          <w:color w:val="auto"/>
        </w:rPr>
        <w:drawing>
          <wp:inline distT="0" distB="0" distL="0" distR="0">
            <wp:extent cx="77470" cy="77470"/>
            <wp:effectExtent l="0" t="0" r="0" b="0"/>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7470" cy="77470"/>
                    </a:xfrm>
                    <a:prstGeom prst="rect">
                      <a:avLst/>
                    </a:prstGeom>
                    <a:noFill/>
                    <a:ln>
                      <a:noFill/>
                    </a:ln>
                  </pic:spPr>
                </pic:pic>
              </a:graphicData>
            </a:graphic>
          </wp:inline>
        </w:drawing>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-247015</wp:posOffset>
            </wp:positionV>
            <wp:extent cx="188595" cy="17970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188595" cy="179705"/>
                    </a:xfrm>
                    <a:prstGeom prst="rect">
                      <a:avLst/>
                    </a:prstGeom>
                    <a:noFill/>
                  </pic:spPr>
                </pic:pic>
              </a:graphicData>
            </a:graphic>
          </wp:anchor>
        </w:drawing>
      </w:r>
    </w:p>
    <w:p>
      <w:pPr>
        <w:spacing w:after="0" w:line="108" w:lineRule="exact"/>
        <w:rPr>
          <w:sz w:val="20"/>
          <w:szCs w:val="20"/>
          <w:color w:val="auto"/>
        </w:rPr>
      </w:pPr>
    </w:p>
    <w:p>
      <w:pPr>
        <w:jc w:val="both"/>
        <w:ind w:left="1000" w:right="20"/>
        <w:spacing w:after="0" w:line="257" w:lineRule="auto"/>
        <w:rPr>
          <w:sz w:val="20"/>
          <w:szCs w:val="20"/>
          <w:color w:val="auto"/>
        </w:rPr>
      </w:pPr>
      <w:r>
        <w:rPr>
          <w:rFonts w:ascii="Arial" w:cs="Arial" w:eastAsia="Arial" w:hAnsi="Arial"/>
          <w:sz w:val="20"/>
          <w:szCs w:val="20"/>
          <w:color w:val="3E3935"/>
        </w:rPr>
        <w:t xml:space="preserve">Announced investment of more than $6 billion in U.S. manufacturing in 2022, supporting nearly 3,600 jobs across multiple sectors of production </w:t>
      </w:r>
      <w:r>
        <w:rPr>
          <w:sz w:val="1"/>
          <w:szCs w:val="1"/>
          <w:color w:val="auto"/>
        </w:rPr>
        <w:drawing>
          <wp:inline distT="0" distB="0" distL="0" distR="0">
            <wp:extent cx="76835" cy="77470"/>
            <wp:effectExtent l="0" t="0" r="0" b="0"/>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6835" cy="77470"/>
                    </a:xfrm>
                    <a:prstGeom prst="rect">
                      <a:avLst/>
                    </a:prstGeom>
                    <a:noFill/>
                    <a:ln>
                      <a:noFill/>
                    </a:ln>
                  </pic:spPr>
                </pic:pic>
              </a:graphicData>
            </a:graphic>
          </wp:inline>
        </w:drawing>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-212725</wp:posOffset>
            </wp:positionV>
            <wp:extent cx="179705" cy="17970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179705" cy="179705"/>
                    </a:xfrm>
                    <a:prstGeom prst="rect">
                      <a:avLst/>
                    </a:prstGeom>
                    <a:noFill/>
                  </pic:spPr>
                </pic:pic>
              </a:graphicData>
            </a:graphic>
          </wp:anchor>
        </w:drawing>
      </w:r>
    </w:p>
    <w:p>
      <w:pPr>
        <w:spacing w:after="0" w:line="176" w:lineRule="exact"/>
        <w:rPr>
          <w:sz w:val="20"/>
          <w:szCs w:val="20"/>
          <w:color w:val="auto"/>
        </w:rPr>
      </w:pPr>
    </w:p>
    <w:p>
      <w:pPr>
        <w:jc w:val="both"/>
        <w:ind w:left="1000" w:right="20"/>
        <w:spacing w:after="0" w:line="241" w:lineRule="auto"/>
        <w:rPr>
          <w:sz w:val="20"/>
          <w:szCs w:val="20"/>
          <w:color w:val="auto"/>
        </w:rPr>
      </w:pPr>
      <w:r>
        <w:rPr>
          <w:rFonts w:ascii="Arial" w:cs="Arial" w:eastAsia="Arial" w:hAnsi="Arial"/>
          <w:sz w:val="20"/>
          <w:szCs w:val="20"/>
          <w:color w:val="3E3935"/>
        </w:rPr>
        <w:t xml:space="preserve">Announced GM Energy, a holistic ecosystem of energy management products and services made available through Ultium Home, Ultium Commercial, and Ultium Charge 360. This cohesive system of offerings will provide solutions for home, commercial and EV customers </w:t>
      </w:r>
      <w:r>
        <w:rPr>
          <w:sz w:val="1"/>
          <w:szCs w:val="1"/>
          <w:color w:val="auto"/>
        </w:rPr>
        <w:drawing>
          <wp:inline distT="0" distB="0" distL="0" distR="0">
            <wp:extent cx="77470" cy="77470"/>
            <wp:effectExtent l="0" t="0" r="0" b="0"/>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7470" cy="77470"/>
                    </a:xfrm>
                    <a:prstGeom prst="rect">
                      <a:avLst/>
                    </a:prstGeom>
                    <a:noFill/>
                    <a:ln>
                      <a:noFill/>
                    </a:ln>
                  </pic:spPr>
                </pic:pic>
              </a:graphicData>
            </a:graphic>
          </wp:inline>
        </w:drawing>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193675</wp:posOffset>
            </wp:positionH>
            <wp:positionV relativeFrom="paragraph">
              <wp:posOffset>-288290</wp:posOffset>
            </wp:positionV>
            <wp:extent cx="257175" cy="18034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257175" cy="180340"/>
                    </a:xfrm>
                    <a:prstGeom prst="rect">
                      <a:avLst/>
                    </a:prstGeom>
                    <a:noFill/>
                  </pic:spPr>
                </pic:pic>
              </a:graphicData>
            </a:graphic>
          </wp:anchor>
        </w:drawing>
      </w:r>
    </w:p>
    <w:p>
      <w:pPr>
        <w:spacing w:after="0" w:line="192" w:lineRule="exact"/>
        <w:rPr>
          <w:sz w:val="20"/>
          <w:szCs w:val="20"/>
          <w:color w:val="auto"/>
        </w:rPr>
      </w:pPr>
    </w:p>
    <w:p>
      <w:pPr>
        <w:jc w:val="both"/>
        <w:ind w:left="1000"/>
        <w:spacing w:after="0" w:line="241" w:lineRule="auto"/>
        <w:rPr>
          <w:sz w:val="20"/>
          <w:szCs w:val="20"/>
          <w:color w:val="auto"/>
        </w:rPr>
      </w:pPr>
      <w:r>
        <w:rPr>
          <w:rFonts w:ascii="Arial" w:cs="Arial" w:eastAsia="Arial" w:hAnsi="Arial"/>
          <w:sz w:val="20"/>
          <w:szCs w:val="20"/>
          <w:color w:val="3E3935"/>
        </w:rPr>
        <w:t xml:space="preserve">Expanded internationally with DHL Express Canada as BrightDrop’s newest customer. Began production of BrightDrop Zevo 600 electric delivery van and scaled production in January, with Zevo 400 production to begin later this year </w:t>
      </w:r>
      <w:r>
        <w:rPr>
          <w:sz w:val="1"/>
          <w:szCs w:val="1"/>
          <w:color w:val="auto"/>
        </w:rPr>
        <w:drawing>
          <wp:inline distT="0" distB="0" distL="0" distR="0">
            <wp:extent cx="77470" cy="77470"/>
            <wp:effectExtent l="0" t="0" r="0" b="0"/>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7470" cy="77470"/>
                    </a:xfrm>
                    <a:prstGeom prst="rect">
                      <a:avLst/>
                    </a:prstGeom>
                    <a:noFill/>
                    <a:ln>
                      <a:noFill/>
                    </a:ln>
                  </pic:spPr>
                </pic:pic>
              </a:graphicData>
            </a:graphic>
          </wp:inline>
        </w:drawing>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167640</wp:posOffset>
            </wp:positionH>
            <wp:positionV relativeFrom="paragraph">
              <wp:posOffset>-322580</wp:posOffset>
            </wp:positionV>
            <wp:extent cx="308610" cy="19748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308610" cy="197485"/>
                    </a:xfrm>
                    <a:prstGeom prst="rect">
                      <a:avLst/>
                    </a:prstGeom>
                    <a:noFill/>
                  </pic:spPr>
                </pic:pic>
              </a:graphicData>
            </a:graphic>
          </wp:anchor>
        </w:drawing>
      </w:r>
    </w:p>
    <w:p>
      <w:pPr>
        <w:spacing w:after="0" w:line="192" w:lineRule="exact"/>
        <w:rPr>
          <w:sz w:val="20"/>
          <w:szCs w:val="20"/>
          <w:color w:val="auto"/>
        </w:rPr>
      </w:pPr>
    </w:p>
    <w:p>
      <w:pPr>
        <w:jc w:val="both"/>
        <w:ind w:left="1000" w:right="20"/>
        <w:spacing w:after="0" w:line="257" w:lineRule="auto"/>
        <w:rPr>
          <w:sz w:val="20"/>
          <w:szCs w:val="20"/>
          <w:color w:val="auto"/>
        </w:rPr>
      </w:pPr>
      <w:r>
        <w:rPr>
          <w:rFonts w:ascii="Arial" w:cs="Arial" w:eastAsia="Arial" w:hAnsi="Arial"/>
          <w:sz w:val="20"/>
          <w:szCs w:val="20"/>
          <w:color w:val="3E3935"/>
        </w:rPr>
        <w:t xml:space="preserve">Surpassed 1 million fully driverless miles. Became first and only commercial driverless ridehail service at San Francisco launch, quickly followed by commercial expansion into Phoenix area and Austin </w:t>
      </w:r>
      <w:r>
        <w:rPr>
          <w:sz w:val="1"/>
          <w:szCs w:val="1"/>
          <w:color w:val="auto"/>
        </w:rPr>
        <w:drawing>
          <wp:inline distT="0" distB="0" distL="0" distR="0">
            <wp:extent cx="77470" cy="77470"/>
            <wp:effectExtent l="0" t="0" r="0" b="0"/>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7470" cy="77470"/>
                    </a:xfrm>
                    <a:prstGeom prst="rect">
                      <a:avLst/>
                    </a:prstGeom>
                    <a:noFill/>
                    <a:ln>
                      <a:noFill/>
                    </a:ln>
                  </pic:spPr>
                </pic:pic>
              </a:graphicData>
            </a:graphic>
          </wp:inline>
        </w:drawing>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116205</wp:posOffset>
            </wp:positionH>
            <wp:positionV relativeFrom="paragraph">
              <wp:posOffset>-220980</wp:posOffset>
            </wp:positionV>
            <wp:extent cx="402590" cy="12001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402590" cy="120015"/>
                    </a:xfrm>
                    <a:prstGeom prst="rect">
                      <a:avLst/>
                    </a:prstGeom>
                    <a:noFill/>
                  </pic:spPr>
                </pic:pic>
              </a:graphicData>
            </a:graphic>
          </wp:anchor>
        </w:drawing>
      </w:r>
    </w:p>
    <w:p>
      <w:pPr>
        <w:spacing w:after="0" w:line="176" w:lineRule="exact"/>
        <w:rPr>
          <w:sz w:val="20"/>
          <w:szCs w:val="20"/>
          <w:color w:val="auto"/>
        </w:rPr>
      </w:pPr>
    </w:p>
    <w:p>
      <w:pPr>
        <w:jc w:val="both"/>
        <w:ind w:left="1000" w:right="20"/>
        <w:spacing w:after="0" w:line="282" w:lineRule="auto"/>
        <w:rPr>
          <w:sz w:val="20"/>
          <w:szCs w:val="20"/>
          <w:color w:val="auto"/>
        </w:rPr>
      </w:pPr>
      <w:r>
        <w:rPr>
          <w:rFonts w:ascii="Arial" w:cs="Arial" w:eastAsia="Arial" w:hAnsi="Arial"/>
          <w:sz w:val="20"/>
          <w:szCs w:val="20"/>
          <w:color w:val="3E3935"/>
        </w:rPr>
        <w:t>Delivered third consecutive year of full-size pickup truck leadership, ninth consecutive year of full and midsize truck leadership, and 48</w:t>
      </w:r>
      <w:r>
        <w:rPr>
          <w:rFonts w:ascii="Arial" w:cs="Arial" w:eastAsia="Arial" w:hAnsi="Arial"/>
          <w:sz w:val="29"/>
          <w:szCs w:val="29"/>
          <w:color w:val="3E3935"/>
          <w:vertAlign w:val="superscript"/>
        </w:rPr>
        <w:t>th</w:t>
      </w:r>
      <w:r>
        <w:rPr>
          <w:rFonts w:ascii="Arial" w:cs="Arial" w:eastAsia="Arial" w:hAnsi="Arial"/>
          <w:sz w:val="20"/>
          <w:szCs w:val="20"/>
          <w:color w:val="3E3935"/>
        </w:rPr>
        <w:t xml:space="preserve"> consecutive year as the market leader in full-size SUVs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142240</wp:posOffset>
            </wp:positionH>
            <wp:positionV relativeFrom="paragraph">
              <wp:posOffset>-337185</wp:posOffset>
            </wp:positionV>
            <wp:extent cx="360045" cy="15430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360045" cy="154305"/>
                    </a:xfrm>
                    <a:prstGeom prst="rect">
                      <a:avLst/>
                    </a:prstGeom>
                    <a:noFill/>
                  </pic:spPr>
                </pic:pic>
              </a:graphicData>
            </a:graphic>
          </wp:anchor>
        </w:drawing>
      </w:r>
    </w:p>
    <w:p>
      <w:pPr>
        <w:spacing w:after="0" w:line="6" w:lineRule="exact"/>
        <w:rPr>
          <w:sz w:val="20"/>
          <w:szCs w:val="20"/>
          <w:color w:val="auto"/>
        </w:rPr>
      </w:pPr>
    </w:p>
    <w:p>
      <w:pPr>
        <w:jc w:val="both"/>
        <w:ind w:left="1000" w:right="20"/>
        <w:spacing w:after="0" w:line="257" w:lineRule="auto"/>
        <w:rPr>
          <w:sz w:val="20"/>
          <w:szCs w:val="20"/>
          <w:color w:val="auto"/>
        </w:rPr>
      </w:pPr>
      <w:r>
        <w:rPr>
          <w:rFonts w:ascii="Arial" w:cs="Arial" w:eastAsia="Arial" w:hAnsi="Arial"/>
          <w:sz w:val="20"/>
          <w:szCs w:val="20"/>
          <w:color w:val="3E3935"/>
        </w:rPr>
        <w:t xml:space="preserve">Introduced three EVs set to launch this year in America’s most popular vehicle segments and are poised to conquest new customers to GM at 40 percent or better </w:t>
      </w:r>
      <w:r>
        <w:rPr>
          <w:sz w:val="1"/>
          <w:szCs w:val="1"/>
          <w:color w:val="auto"/>
        </w:rPr>
        <w:drawing>
          <wp:inline distT="0" distB="0" distL="0" distR="0">
            <wp:extent cx="76835" cy="76835"/>
            <wp:effectExtent l="0" t="0" r="0" b="0"/>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6835" cy="76835"/>
                    </a:xfrm>
                    <a:prstGeom prst="rect">
                      <a:avLst/>
                    </a:prstGeom>
                    <a:noFill/>
                    <a:ln>
                      <a:noFill/>
                    </a:ln>
                  </pic:spPr>
                </pic:pic>
              </a:graphicData>
            </a:graphic>
          </wp:inline>
        </w:drawing>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150495</wp:posOffset>
            </wp:positionH>
            <wp:positionV relativeFrom="paragraph">
              <wp:posOffset>-195580</wp:posOffset>
            </wp:positionV>
            <wp:extent cx="334010" cy="10287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334010" cy="102870"/>
                    </a:xfrm>
                    <a:prstGeom prst="rect">
                      <a:avLst/>
                    </a:prstGeom>
                    <a:noFill/>
                  </pic:spPr>
                </pic:pic>
              </a:graphicData>
            </a:graphic>
          </wp:anchor>
        </w:drawing>
      </w:r>
    </w:p>
    <w:p>
      <w:pPr>
        <w:spacing w:after="0" w:line="176" w:lineRule="exact"/>
        <w:rPr>
          <w:sz w:val="20"/>
          <w:szCs w:val="20"/>
          <w:color w:val="auto"/>
        </w:rPr>
      </w:pPr>
    </w:p>
    <w:p>
      <w:pPr>
        <w:jc w:val="both"/>
        <w:ind w:left="1000" w:right="20"/>
        <w:spacing w:after="0" w:line="257" w:lineRule="auto"/>
        <w:rPr>
          <w:sz w:val="20"/>
          <w:szCs w:val="20"/>
          <w:color w:val="auto"/>
        </w:rPr>
      </w:pPr>
      <w:r>
        <w:rPr>
          <w:rFonts w:ascii="Arial" w:cs="Arial" w:eastAsia="Arial" w:hAnsi="Arial"/>
          <w:sz w:val="20"/>
          <w:szCs w:val="20"/>
          <w:color w:val="3E3935"/>
        </w:rPr>
        <w:t xml:space="preserve">Ranked highest among all brands in J.D. Power Sales Satisfaction Index, unveiled first EV in China, and committed to an all-electric vehicle portfolio in North America by 2030 </w:t>
      </w:r>
      <w:r>
        <w:rPr>
          <w:sz w:val="1"/>
          <w:szCs w:val="1"/>
          <w:color w:val="auto"/>
        </w:rPr>
        <w:drawing>
          <wp:inline distT="0" distB="0" distL="0" distR="0">
            <wp:extent cx="77470" cy="77470"/>
            <wp:effectExtent l="0" t="0" r="0" b="0"/>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7470" cy="77470"/>
                    </a:xfrm>
                    <a:prstGeom prst="rect">
                      <a:avLst/>
                    </a:prstGeom>
                    <a:noFill/>
                    <a:ln>
                      <a:noFill/>
                    </a:ln>
                  </pic:spPr>
                </pic:pic>
              </a:graphicData>
            </a:graphic>
          </wp:inline>
        </w:drawing>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-220980</wp:posOffset>
            </wp:positionV>
            <wp:extent cx="213995" cy="21463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213995" cy="214630"/>
                    </a:xfrm>
                    <a:prstGeom prst="rect">
                      <a:avLst/>
                    </a:prstGeom>
                    <a:noFill/>
                  </pic:spPr>
                </pic:pic>
              </a:graphicData>
            </a:graphic>
          </wp:anchor>
        </w:drawing>
      </w:r>
    </w:p>
    <w:p>
      <w:pPr>
        <w:spacing w:after="0" w:line="149" w:lineRule="exact"/>
        <w:rPr>
          <w:sz w:val="20"/>
          <w:szCs w:val="20"/>
          <w:color w:val="auto"/>
        </w:rPr>
      </w:pPr>
    </w:p>
    <w:p>
      <w:pPr>
        <w:jc w:val="both"/>
        <w:ind w:left="1000" w:right="20"/>
        <w:spacing w:after="0" w:line="241" w:lineRule="auto"/>
        <w:rPr>
          <w:sz w:val="20"/>
          <w:szCs w:val="20"/>
          <w:color w:val="auto"/>
        </w:rPr>
      </w:pPr>
      <w:r>
        <w:rPr>
          <w:rFonts w:ascii="Arial" w:cs="Arial" w:eastAsia="Arial" w:hAnsi="Arial"/>
          <w:sz w:val="20"/>
          <w:szCs w:val="20"/>
          <w:color w:val="3E3935"/>
        </w:rPr>
        <w:t xml:space="preserve">Achieved record volume and retail market share, and continued as industry’s No. 1 premium truck brand with 46 percent of retail sales in Denali or AT4 trims. Sierra recorded best retail share ever and 5 consecutive years of share growth. Unveiled the GMC Sierra EV Denali Edition 1, joining the GMC HUMMER EV Pickup and SUV </w:t>
      </w:r>
      <w:r>
        <w:rPr>
          <w:sz w:val="1"/>
          <w:szCs w:val="1"/>
          <w:color w:val="auto"/>
        </w:rPr>
        <w:drawing>
          <wp:inline distT="0" distB="0" distL="0" distR="0">
            <wp:extent cx="77470" cy="77470"/>
            <wp:effectExtent l="0" t="0" r="0" b="0"/>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7470" cy="77470"/>
                    </a:xfrm>
                    <a:prstGeom prst="rect">
                      <a:avLst/>
                    </a:prstGeom>
                    <a:noFill/>
                    <a:ln>
                      <a:noFill/>
                    </a:ln>
                  </pic:spPr>
                </pic:pic>
              </a:graphicData>
            </a:graphic>
          </wp:inline>
        </w:drawing>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150495</wp:posOffset>
            </wp:positionH>
            <wp:positionV relativeFrom="paragraph">
              <wp:posOffset>-236855</wp:posOffset>
            </wp:positionV>
            <wp:extent cx="334010" cy="9461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334010" cy="94615"/>
                    </a:xfrm>
                    <a:prstGeom prst="rect">
                      <a:avLst/>
                    </a:prstGeom>
                    <a:noFill/>
                  </pic:spPr>
                </pic:pic>
              </a:graphicData>
            </a:graphic>
          </wp:anchor>
        </w:drawing>
      </w:r>
    </w:p>
    <w:p>
      <w:pPr>
        <w:spacing w:after="0" w:line="192" w:lineRule="exact"/>
        <w:rPr>
          <w:sz w:val="20"/>
          <w:szCs w:val="20"/>
          <w:color w:val="auto"/>
        </w:rPr>
      </w:pPr>
    </w:p>
    <w:p>
      <w:pPr>
        <w:jc w:val="both"/>
        <w:ind w:left="1000" w:right="20"/>
        <w:spacing w:after="0" w:line="260" w:lineRule="auto"/>
        <w:rPr>
          <w:sz w:val="20"/>
          <w:szCs w:val="20"/>
          <w:color w:val="auto"/>
        </w:rPr>
      </w:pPr>
      <w:r>
        <w:rPr>
          <w:rFonts w:ascii="Arial" w:cs="Arial" w:eastAsia="Arial" w:hAnsi="Arial"/>
          <w:sz w:val="19"/>
          <w:szCs w:val="19"/>
          <w:color w:val="3E3935"/>
        </w:rPr>
        <w:t xml:space="preserve">Began deliveries of the Cadillac LYRIQ, the brand’s first all-electric vehicle, with production ramping this year. Unveiled Cadillac CELESTIQ. Delivered year-over-year sales growth of 14 percent and fortified Escalade’s position as the No. 1 luxury SUV in the United States, leading its nearest competitor by six points of retail market share </w:t>
      </w:r>
      <w:r>
        <w:rPr>
          <w:sz w:val="1"/>
          <w:szCs w:val="1"/>
          <w:color w:val="auto"/>
        </w:rPr>
        <w:drawing>
          <wp:inline distT="0" distB="0" distL="0" distR="0">
            <wp:extent cx="77470" cy="76835"/>
            <wp:effectExtent l="0" t="0" r="0" b="0"/>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7470" cy="76835"/>
                    </a:xfrm>
                    <a:prstGeom prst="rect">
                      <a:avLst/>
                    </a:prstGeom>
                    <a:noFill/>
                    <a:ln>
                      <a:noFill/>
                    </a:ln>
                  </pic:spPr>
                </pic:pic>
              </a:graphicData>
            </a:graphic>
          </wp:inline>
        </w:drawing>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-273685</wp:posOffset>
            </wp:positionV>
            <wp:extent cx="325755" cy="12890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325755" cy="128905"/>
                    </a:xfrm>
                    <a:prstGeom prst="rect">
                      <a:avLst/>
                    </a:prstGeom>
                    <a:noFill/>
                  </pic:spPr>
                </pic:pic>
              </a:graphicData>
            </a:graphic>
          </wp:anchor>
        </w:drawing>
      </w:r>
    </w:p>
    <w:p>
      <w:pPr>
        <w:spacing w:after="0" w:line="174" w:lineRule="exact"/>
        <w:rPr>
          <w:sz w:val="20"/>
          <w:szCs w:val="20"/>
          <w:color w:val="auto"/>
        </w:rPr>
      </w:pPr>
    </w:p>
    <w:p>
      <w:pPr>
        <w:jc w:val="both"/>
        <w:ind w:left="1000" w:right="20"/>
        <w:spacing w:after="0" w:line="257" w:lineRule="auto"/>
        <w:rPr>
          <w:sz w:val="20"/>
          <w:szCs w:val="20"/>
          <w:color w:val="auto"/>
        </w:rPr>
      </w:pPr>
      <w:r>
        <w:rPr>
          <w:rFonts w:ascii="Arial" w:cs="Arial" w:eastAsia="Arial" w:hAnsi="Arial"/>
          <w:sz w:val="20"/>
          <w:szCs w:val="20"/>
          <w:color w:val="3E3935"/>
        </w:rPr>
        <w:t xml:space="preserve">Recognized as one of the Clean Energy Buyers Association’s top 10 energy customers in 2022, advancing the clean energy transition through voluntary procurement of clean energy in the United States </w:t>
      </w:r>
      <w:r>
        <w:rPr>
          <w:sz w:val="1"/>
          <w:szCs w:val="1"/>
          <w:color w:val="auto"/>
        </w:rPr>
        <w:drawing>
          <wp:inline distT="0" distB="0" distL="0" distR="0">
            <wp:extent cx="77470" cy="77470"/>
            <wp:effectExtent l="0" t="0" r="0" b="0"/>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7470" cy="77470"/>
                    </a:xfrm>
                    <a:prstGeom prst="rect">
                      <a:avLst/>
                    </a:prstGeom>
                    <a:noFill/>
                    <a:ln>
                      <a:noFill/>
                    </a:ln>
                  </pic:spPr>
                </pic:pic>
              </a:graphicData>
            </a:graphic>
          </wp:inline>
        </w:drawing>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-238125</wp:posOffset>
            </wp:positionV>
            <wp:extent cx="179705" cy="17970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179705" cy="179705"/>
                    </a:xfrm>
                    <a:prstGeom prst="rect">
                      <a:avLst/>
                    </a:prstGeom>
                    <a:noFill/>
                  </pic:spPr>
                </pic:pic>
              </a:graphicData>
            </a:graphic>
          </wp:anchor>
        </w:drawing>
      </w:r>
    </w:p>
    <w:p>
      <w:pPr>
        <w:spacing w:after="0" w:line="176" w:lineRule="exact"/>
        <w:rPr>
          <w:sz w:val="20"/>
          <w:szCs w:val="20"/>
          <w:color w:val="auto"/>
        </w:rPr>
      </w:pPr>
    </w:p>
    <w:p>
      <w:pPr>
        <w:jc w:val="both"/>
        <w:ind w:left="1000" w:right="20"/>
        <w:spacing w:after="0" w:line="257" w:lineRule="auto"/>
        <w:rPr>
          <w:sz w:val="20"/>
          <w:szCs w:val="20"/>
          <w:color w:val="auto"/>
        </w:rPr>
      </w:pPr>
      <w:r>
        <w:rPr>
          <w:rFonts w:ascii="Arial" w:cs="Arial" w:eastAsia="Arial" w:hAnsi="Arial"/>
          <w:sz w:val="20"/>
          <w:szCs w:val="20"/>
          <w:color w:val="3E3935"/>
        </w:rPr>
        <w:t>Conquested business of more than 300 major commercial accounts over the last several years, leading to GM’s best year for commercial deliveries since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-229870</wp:posOffset>
            </wp:positionV>
            <wp:extent cx="179705" cy="17970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179705" cy="179705"/>
                    </a:xfrm>
                    <a:prstGeom prst="rect">
                      <a:avLst/>
                    </a:prstGeom>
                    <a:noFill/>
                  </pic:spPr>
                </pic:pic>
              </a:graphicData>
            </a:graphic>
          </wp:anchor>
        </w:drawing>
      </w:r>
    </w:p>
    <w:p>
      <w:pPr>
        <w:spacing w:after="0" w:line="176" w:lineRule="exact"/>
        <w:rPr>
          <w:sz w:val="20"/>
          <w:szCs w:val="20"/>
          <w:color w:val="auto"/>
        </w:rPr>
      </w:pPr>
    </w:p>
    <w:p>
      <w:pPr>
        <w:jc w:val="both"/>
        <w:ind w:left="1000" w:right="20"/>
        <w:spacing w:after="0" w:line="241" w:lineRule="auto"/>
        <w:rPr>
          <w:sz w:val="20"/>
          <w:szCs w:val="20"/>
          <w:color w:val="auto"/>
        </w:rPr>
      </w:pPr>
      <w:r>
        <w:rPr>
          <w:rFonts w:ascii="Arial" w:cs="Arial" w:eastAsia="Arial" w:hAnsi="Arial"/>
          <w:sz w:val="20"/>
          <w:szCs w:val="20"/>
          <w:color w:val="3E3935"/>
        </w:rPr>
        <w:t>Led among all automakers in J.D. Power’s Initial Quality Study, improving results while the rest of the industry went backwards. Chevrolet had six top-ranked vehicles and the Corvette was the highest-ranked nameplate in the industry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-288290</wp:posOffset>
            </wp:positionV>
            <wp:extent cx="179705" cy="17970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179705" cy="179705"/>
                    </a:xfrm>
                    <a:prstGeom prst="rect">
                      <a:avLst/>
                    </a:prstGeom>
                    <a:noFill/>
                  </pic:spPr>
                </pic:pic>
              </a:graphicData>
            </a:graphic>
          </wp:anchor>
        </w:drawing>
      </w:r>
    </w:p>
    <w:p>
      <w:pPr>
        <w:spacing w:after="0" w:line="124" w:lineRule="exact"/>
        <w:rPr>
          <w:sz w:val="20"/>
          <w:szCs w:val="20"/>
          <w:color w:val="auto"/>
        </w:rPr>
      </w:pPr>
    </w:p>
    <w:p>
      <w:pPr>
        <w:jc w:val="right"/>
        <w:spacing w:after="0"/>
        <w:rPr>
          <w:sz w:val="20"/>
          <w:szCs w:val="20"/>
          <w:color w:val="auto"/>
        </w:rPr>
      </w:pPr>
      <w:r>
        <w:rPr>
          <w:sz w:val="1"/>
          <w:szCs w:val="1"/>
          <w:color w:val="auto"/>
        </w:rPr>
        <w:drawing>
          <wp:inline distT="0" distB="0" distL="0" distR="0">
            <wp:extent cx="76835" cy="77470"/>
            <wp:effectExtent l="0" t="0" r="0" b="0"/>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6835" cy="77470"/>
                    </a:xfrm>
                    <a:prstGeom prst="rect">
                      <a:avLst/>
                    </a:prstGeom>
                    <a:noFill/>
                    <a:ln>
                      <a:noFill/>
                    </a:ln>
                  </pic:spPr>
                </pic:pic>
              </a:graphicData>
            </a:graphic>
          </wp:inline>
        </w:drawing>
      </w:r>
      <w:r>
        <w:rPr>
          <w:rFonts w:ascii="Arial" w:cs="Arial" w:eastAsia="Arial" w:hAnsi="Arial"/>
          <w:sz w:val="20"/>
          <w:szCs w:val="20"/>
          <w:i w:val="1"/>
          <w:iCs w:val="1"/>
          <w:color w:val="3E3935"/>
        </w:rPr>
        <w:t xml:space="preserve"> Represents ESG Results</w:t>
      </w:r>
    </w:p>
    <w:p>
      <w:pPr>
        <w:spacing w:after="0" w:line="147" w:lineRule="exact"/>
        <w:rPr>
          <w:sz w:val="20"/>
          <w:szCs w:val="20"/>
          <w:color w:val="auto"/>
        </w:rPr>
      </w:pPr>
    </w:p>
    <w:p>
      <w:pPr>
        <w:ind w:left="10660"/>
        <w:spacing w:after="0"/>
        <w:rPr>
          <w:sz w:val="20"/>
          <w:szCs w:val="20"/>
          <w:color w:val="auto"/>
        </w:rPr>
      </w:pPr>
      <w:r>
        <w:rPr>
          <w:rFonts w:ascii="Arial" w:cs="Arial" w:eastAsia="Arial" w:hAnsi="Arial"/>
          <w:sz w:val="14"/>
          <w:szCs w:val="14"/>
          <w:color w:val="0071CE"/>
        </w:rPr>
        <w:t>53</w:t>
      </w:r>
    </w:p>
    <w:p>
      <w:pPr>
        <w:sectPr>
          <w:pgSz w:w="11900" w:h="16838" w:orient="portrait"/>
          <w:cols w:equalWidth="0" w:num="1">
            <w:col w:w="11140"/>
          </w:cols>
          <w:pgMar w:left="320" w:top="482" w:right="4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29"/>
          <w:szCs w:val="29"/>
          <w:color w:val="3E3935"/>
        </w:rPr>
        <w:t>Compensation Overview</w:t>
      </w:r>
    </w:p>
    <w:p>
      <w:pPr>
        <w:spacing w:after="0" w:line="351" w:lineRule="exact"/>
        <w:rPr>
          <w:sz w:val="20"/>
          <w:szCs w:val="20"/>
          <w:color w:val="auto"/>
        </w:rPr>
      </w:pPr>
    </w:p>
    <w:p>
      <w:pPr>
        <w:ind w:left="660" w:hanging="544"/>
        <w:spacing w:after="0"/>
        <w:tabs>
          <w:tab w:leader="none" w:pos="660" w:val="left"/>
        </w:tabs>
        <w:numPr>
          <w:ilvl w:val="0"/>
          <w:numId w:val="73"/>
        </w:numPr>
        <w:rPr>
          <w:rFonts w:ascii="Times New Roman" w:cs="Times New Roman" w:eastAsia="Times New Roman" w:hAnsi="Times New Roman"/>
          <w:sz w:val="19"/>
          <w:szCs w:val="19"/>
          <w:color w:val="0071CE"/>
        </w:rPr>
      </w:pPr>
      <w:r>
        <w:rPr>
          <w:rFonts w:ascii="Arial" w:cs="Arial" w:eastAsia="Arial" w:hAnsi="Arial"/>
          <w:sz w:val="25"/>
          <w:szCs w:val="25"/>
          <w:color w:val="3E3935"/>
        </w:rPr>
        <w:t>Our Named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459105</wp:posOffset>
            </wp:positionH>
            <wp:positionV relativeFrom="paragraph">
              <wp:posOffset>277495</wp:posOffset>
            </wp:positionV>
            <wp:extent cx="368300" cy="4025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368300" cy="402590"/>
                    </a:xfrm>
                    <a:prstGeom prst="rect">
                      <a:avLst/>
                    </a:prstGeom>
                    <a:noFill/>
                  </pic:spPr>
                </pic:pic>
              </a:graphicData>
            </a:graphic>
          </wp:anchor>
        </w:drawing>
      </w:r>
    </w:p>
    <w:p>
      <w:pPr>
        <w:spacing w:after="0" w:line="200" w:lineRule="exact"/>
        <w:rPr>
          <w:sz w:val="20"/>
          <w:szCs w:val="20"/>
          <w:color w:val="auto"/>
        </w:rPr>
      </w:pPr>
    </w:p>
    <w:p>
      <w:pPr>
        <w:spacing w:after="0" w:line="293" w:lineRule="exact"/>
        <w:rPr>
          <w:sz w:val="20"/>
          <w:szCs w:val="20"/>
          <w:color w:val="auto"/>
        </w:rPr>
      </w:pPr>
    </w:p>
    <w:p>
      <w:pPr>
        <w:ind w:left="1440"/>
        <w:spacing w:after="0"/>
        <w:rPr>
          <w:sz w:val="20"/>
          <w:szCs w:val="20"/>
          <w:color w:val="auto"/>
        </w:rPr>
      </w:pPr>
      <w:r>
        <w:rPr>
          <w:rFonts w:ascii="Arial" w:cs="Arial" w:eastAsia="Arial" w:hAnsi="Arial"/>
          <w:sz w:val="18"/>
          <w:szCs w:val="18"/>
          <w:b w:val="1"/>
          <w:bCs w:val="1"/>
          <w:color w:val="0071CE"/>
        </w:rPr>
        <w:t>Mary T. Barra</w:t>
      </w:r>
    </w:p>
    <w:p>
      <w:pPr>
        <w:spacing w:after="0" w:line="63" w:lineRule="exact"/>
        <w:rPr>
          <w:sz w:val="20"/>
          <w:szCs w:val="20"/>
          <w:color w:val="auto"/>
        </w:rPr>
      </w:pPr>
    </w:p>
    <w:p>
      <w:pPr>
        <w:ind w:left="1440"/>
        <w:spacing w:after="0"/>
        <w:rPr>
          <w:sz w:val="20"/>
          <w:szCs w:val="20"/>
          <w:color w:val="auto"/>
        </w:rPr>
      </w:pPr>
      <w:r>
        <w:rPr>
          <w:rFonts w:ascii="Arial" w:cs="Arial" w:eastAsia="Arial" w:hAnsi="Arial"/>
          <w:sz w:val="18"/>
          <w:szCs w:val="18"/>
          <w:color w:val="3E3935"/>
        </w:rPr>
        <w:t>Chair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459105</wp:posOffset>
            </wp:positionH>
            <wp:positionV relativeFrom="paragraph">
              <wp:posOffset>214630</wp:posOffset>
            </wp:positionV>
            <wp:extent cx="368300" cy="4025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368300" cy="402590"/>
                    </a:xfrm>
                    <a:prstGeom prst="rect">
                      <a:avLst/>
                    </a:prstGeom>
                    <a:noFill/>
                  </pic:spPr>
                </pic:pic>
              </a:graphicData>
            </a:graphic>
          </wp:anchor>
        </w:drawing>
      </w:r>
    </w:p>
    <w:p>
      <w:pPr>
        <w:spacing w:after="0" w:line="394" w:lineRule="exact"/>
        <w:rPr>
          <w:sz w:val="20"/>
          <w:szCs w:val="20"/>
          <w:color w:val="auto"/>
        </w:rPr>
      </w:pPr>
    </w:p>
    <w:p>
      <w:pPr>
        <w:ind w:left="1440"/>
        <w:spacing w:after="0"/>
        <w:rPr>
          <w:sz w:val="20"/>
          <w:szCs w:val="20"/>
          <w:color w:val="auto"/>
        </w:rPr>
      </w:pPr>
      <w:r>
        <w:rPr>
          <w:rFonts w:ascii="Arial" w:cs="Arial" w:eastAsia="Arial" w:hAnsi="Arial"/>
          <w:sz w:val="18"/>
          <w:szCs w:val="18"/>
          <w:b w:val="1"/>
          <w:bCs w:val="1"/>
          <w:color w:val="0071CE"/>
        </w:rPr>
        <w:t>Paul A. Jacobson</w:t>
      </w:r>
    </w:p>
    <w:p>
      <w:pPr>
        <w:spacing w:after="0" w:line="63" w:lineRule="exact"/>
        <w:rPr>
          <w:sz w:val="20"/>
          <w:szCs w:val="20"/>
          <w:color w:val="auto"/>
        </w:rPr>
      </w:pPr>
    </w:p>
    <w:p>
      <w:pPr>
        <w:ind w:left="1440"/>
        <w:spacing w:after="0"/>
        <w:rPr>
          <w:sz w:val="20"/>
          <w:szCs w:val="20"/>
          <w:color w:val="auto"/>
        </w:rPr>
      </w:pPr>
      <w:r>
        <w:rPr>
          <w:rFonts w:ascii="Arial" w:cs="Arial" w:eastAsia="Arial" w:hAnsi="Arial"/>
          <w:sz w:val="18"/>
          <w:szCs w:val="18"/>
          <w:color w:val="3E3935"/>
        </w:rPr>
        <w:t>Executive Vice President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459105</wp:posOffset>
            </wp:positionH>
            <wp:positionV relativeFrom="paragraph">
              <wp:posOffset>214630</wp:posOffset>
            </wp:positionV>
            <wp:extent cx="368300" cy="40322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368300" cy="403225"/>
                    </a:xfrm>
                    <a:prstGeom prst="rect">
                      <a:avLst/>
                    </a:prstGeom>
                    <a:noFill/>
                  </pic:spPr>
                </pic:pic>
              </a:graphicData>
            </a:graphic>
          </wp:anchor>
        </w:drawing>
      </w:r>
    </w:p>
    <w:p>
      <w:pPr>
        <w:spacing w:after="0" w:line="394" w:lineRule="exact"/>
        <w:rPr>
          <w:sz w:val="20"/>
          <w:szCs w:val="20"/>
          <w:color w:val="auto"/>
        </w:rPr>
      </w:pPr>
    </w:p>
    <w:p>
      <w:pPr>
        <w:ind w:left="1440"/>
        <w:spacing w:after="0"/>
        <w:rPr>
          <w:sz w:val="20"/>
          <w:szCs w:val="20"/>
          <w:color w:val="auto"/>
        </w:rPr>
      </w:pPr>
      <w:r>
        <w:rPr>
          <w:rFonts w:ascii="Arial" w:cs="Arial" w:eastAsia="Arial" w:hAnsi="Arial"/>
          <w:sz w:val="18"/>
          <w:szCs w:val="18"/>
          <w:b w:val="1"/>
          <w:bCs w:val="1"/>
          <w:color w:val="0071CE"/>
        </w:rPr>
        <w:t>Mark L. Reuss</w:t>
      </w:r>
    </w:p>
    <w:p>
      <w:pPr>
        <w:spacing w:after="0" w:line="63" w:lineRule="exact"/>
        <w:rPr>
          <w:sz w:val="20"/>
          <w:szCs w:val="20"/>
          <w:color w:val="auto"/>
        </w:rPr>
      </w:pPr>
    </w:p>
    <w:p>
      <w:pPr>
        <w:ind w:left="1440"/>
        <w:spacing w:after="0"/>
        <w:rPr>
          <w:sz w:val="20"/>
          <w:szCs w:val="20"/>
          <w:color w:val="auto"/>
        </w:rPr>
      </w:pPr>
      <w:r>
        <w:rPr>
          <w:rFonts w:ascii="Arial" w:cs="Arial" w:eastAsia="Arial" w:hAnsi="Arial"/>
          <w:sz w:val="18"/>
          <w:szCs w:val="18"/>
          <w:color w:val="3E3935"/>
        </w:rPr>
        <w:t>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459105</wp:posOffset>
            </wp:positionH>
            <wp:positionV relativeFrom="paragraph">
              <wp:posOffset>214630</wp:posOffset>
            </wp:positionV>
            <wp:extent cx="368300" cy="40322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368300" cy="403225"/>
                    </a:xfrm>
                    <a:prstGeom prst="rect">
                      <a:avLst/>
                    </a:prstGeom>
                    <a:noFill/>
                  </pic:spPr>
                </pic:pic>
              </a:graphicData>
            </a:graphic>
          </wp:anchor>
        </w:drawing>
      </w:r>
    </w:p>
    <w:p>
      <w:pPr>
        <w:spacing w:after="0" w:line="394" w:lineRule="exact"/>
        <w:rPr>
          <w:sz w:val="20"/>
          <w:szCs w:val="20"/>
          <w:color w:val="auto"/>
        </w:rPr>
      </w:pPr>
    </w:p>
    <w:p>
      <w:pPr>
        <w:ind w:left="1440"/>
        <w:spacing w:after="0"/>
        <w:rPr>
          <w:sz w:val="20"/>
          <w:szCs w:val="20"/>
          <w:color w:val="auto"/>
        </w:rPr>
      </w:pPr>
      <w:r>
        <w:rPr>
          <w:rFonts w:ascii="Arial" w:cs="Arial" w:eastAsia="Arial" w:hAnsi="Arial"/>
          <w:sz w:val="18"/>
          <w:szCs w:val="18"/>
          <w:b w:val="1"/>
          <w:bCs w:val="1"/>
          <w:color w:val="0071CE"/>
        </w:rPr>
        <w:t>Douglas L. Parks</w:t>
      </w:r>
    </w:p>
    <w:p>
      <w:pPr>
        <w:spacing w:after="0" w:line="63" w:lineRule="exact"/>
        <w:rPr>
          <w:sz w:val="20"/>
          <w:szCs w:val="20"/>
          <w:color w:val="auto"/>
        </w:rPr>
      </w:pPr>
    </w:p>
    <w:p>
      <w:pPr>
        <w:ind w:left="1440"/>
        <w:spacing w:after="0"/>
        <w:rPr>
          <w:sz w:val="20"/>
          <w:szCs w:val="20"/>
          <w:color w:val="auto"/>
        </w:rPr>
      </w:pPr>
      <w:r>
        <w:rPr>
          <w:rFonts w:ascii="Arial" w:cs="Arial" w:eastAsia="Arial" w:hAnsi="Arial"/>
          <w:sz w:val="18"/>
          <w:szCs w:val="18"/>
          <w:color w:val="3E3935"/>
        </w:rPr>
        <w:t>Executive Vice President, Global Product Development, Purchasing and Supply Chain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459105</wp:posOffset>
            </wp:positionH>
            <wp:positionV relativeFrom="paragraph">
              <wp:posOffset>214630</wp:posOffset>
            </wp:positionV>
            <wp:extent cx="368300" cy="4025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368300" cy="402590"/>
                    </a:xfrm>
                    <a:prstGeom prst="rect">
                      <a:avLst/>
                    </a:prstGeom>
                    <a:noFill/>
                  </pic:spPr>
                </pic:pic>
              </a:graphicData>
            </a:graphic>
          </wp:anchor>
        </w:drawing>
      </w:r>
    </w:p>
    <w:p>
      <w:pPr>
        <w:spacing w:after="0" w:line="394" w:lineRule="exact"/>
        <w:rPr>
          <w:sz w:val="20"/>
          <w:szCs w:val="20"/>
          <w:color w:val="auto"/>
        </w:rPr>
      </w:pPr>
    </w:p>
    <w:p>
      <w:pPr>
        <w:ind w:left="1440"/>
        <w:spacing w:after="0"/>
        <w:rPr>
          <w:sz w:val="20"/>
          <w:szCs w:val="20"/>
          <w:color w:val="auto"/>
        </w:rPr>
      </w:pPr>
      <w:r>
        <w:rPr>
          <w:rFonts w:ascii="Arial" w:cs="Arial" w:eastAsia="Arial" w:hAnsi="Arial"/>
          <w:sz w:val="18"/>
          <w:szCs w:val="18"/>
          <w:b w:val="1"/>
          <w:bCs w:val="1"/>
          <w:color w:val="0071CE"/>
        </w:rPr>
        <w:t>Stephen K. Carlisle</w:t>
      </w:r>
    </w:p>
    <w:p>
      <w:pPr>
        <w:spacing w:after="0" w:line="63" w:lineRule="exact"/>
        <w:rPr>
          <w:sz w:val="20"/>
          <w:szCs w:val="20"/>
          <w:color w:val="auto"/>
        </w:rPr>
      </w:pPr>
    </w:p>
    <w:p>
      <w:pPr>
        <w:ind w:left="1440"/>
        <w:spacing w:after="0"/>
        <w:rPr>
          <w:sz w:val="20"/>
          <w:szCs w:val="20"/>
          <w:color w:val="auto"/>
        </w:rPr>
      </w:pPr>
      <w:r>
        <w:rPr>
          <w:rFonts w:ascii="Arial" w:cs="Arial" w:eastAsia="Arial" w:hAnsi="Arial"/>
          <w:sz w:val="18"/>
          <w:szCs w:val="18"/>
          <w:color w:val="3E3935"/>
        </w:rPr>
        <w:t>Executive Vice President and President, North America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111760</wp:posOffset>
            </wp:positionV>
            <wp:extent cx="6995160"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39" w:lineRule="exact"/>
        <w:rPr>
          <w:sz w:val="20"/>
          <w:szCs w:val="20"/>
          <w:color w:val="auto"/>
        </w:rPr>
      </w:pPr>
    </w:p>
    <w:p>
      <w:pPr>
        <w:ind w:left="120"/>
        <w:spacing w:after="0"/>
        <w:rPr>
          <w:sz w:val="20"/>
          <w:szCs w:val="20"/>
          <w:color w:val="auto"/>
        </w:rPr>
      </w:pPr>
      <w:r>
        <w:rPr>
          <w:rFonts w:ascii="Arial" w:cs="Arial" w:eastAsia="Arial" w:hAnsi="Arial"/>
          <w:sz w:val="16"/>
          <w:szCs w:val="16"/>
          <w:i w:val="1"/>
          <w:iCs w:val="1"/>
          <w:color w:val="3E3935"/>
        </w:rPr>
        <w:t>Positions as of December 31, 2022.</w:t>
      </w:r>
    </w:p>
    <w:p>
      <w:pPr>
        <w:spacing w:after="0" w:line="332" w:lineRule="exact"/>
        <w:rPr>
          <w:sz w:val="20"/>
          <w:szCs w:val="20"/>
          <w:color w:val="auto"/>
        </w:rPr>
      </w:pPr>
    </w:p>
    <w:p>
      <w:pPr>
        <w:ind w:left="660" w:hanging="544"/>
        <w:spacing w:after="0"/>
        <w:tabs>
          <w:tab w:leader="none" w:pos="660" w:val="left"/>
        </w:tabs>
        <w:numPr>
          <w:ilvl w:val="0"/>
          <w:numId w:val="74"/>
        </w:numPr>
        <w:rPr>
          <w:rFonts w:ascii="Times New Roman" w:cs="Times New Roman" w:eastAsia="Times New Roman" w:hAnsi="Times New Roman"/>
          <w:sz w:val="19"/>
          <w:szCs w:val="19"/>
          <w:color w:val="0071CE"/>
        </w:rPr>
      </w:pPr>
      <w:r>
        <w:rPr>
          <w:rFonts w:ascii="Arial" w:cs="Arial" w:eastAsia="Arial" w:hAnsi="Arial"/>
          <w:sz w:val="25"/>
          <w:szCs w:val="25"/>
          <w:color w:val="3E3935"/>
        </w:rPr>
        <w:t>Compensation Program Evolution</w:t>
      </w:r>
    </w:p>
    <w:p>
      <w:pPr>
        <w:spacing w:after="0" w:line="118" w:lineRule="exact"/>
        <w:rPr>
          <w:sz w:val="20"/>
          <w:szCs w:val="20"/>
          <w:color w:val="auto"/>
        </w:rPr>
      </w:pPr>
    </w:p>
    <w:p>
      <w:pPr>
        <w:jc w:val="both"/>
        <w:ind w:left="120"/>
        <w:spacing w:after="0" w:line="233" w:lineRule="auto"/>
        <w:rPr>
          <w:sz w:val="20"/>
          <w:szCs w:val="20"/>
          <w:color w:val="auto"/>
        </w:rPr>
      </w:pPr>
      <w:r>
        <w:rPr>
          <w:rFonts w:ascii="Arial" w:cs="Arial" w:eastAsia="Arial" w:hAnsi="Arial"/>
          <w:sz w:val="20"/>
          <w:szCs w:val="20"/>
          <w:color w:val="3E3935"/>
        </w:rPr>
        <w:t>Our executive compensation program is designed to focus our leaders on key areas that drive the business forward and align to the short-term and long-term interests of our shareholders. The Compensation Committee regularly reviews and discusses plan performance at each meeting. The Compensation Committee considers many factors when electing to make plan changes for future incentive plans, including results, market trends, and feedback from its independent compensation consultant and shareholders. The timeline below shows the actions we have taken to develop executive compensation plans that align the interests of our senior leaders with those of our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922020</wp:posOffset>
            </wp:positionH>
            <wp:positionV relativeFrom="paragraph">
              <wp:posOffset>200025</wp:posOffset>
            </wp:positionV>
            <wp:extent cx="5306060" cy="306006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5306060" cy="30600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120"/>
        <w:spacing w:after="0"/>
        <w:rPr>
          <w:sz w:val="20"/>
          <w:szCs w:val="20"/>
          <w:color w:val="auto"/>
        </w:rPr>
      </w:pPr>
      <w:r>
        <w:rPr>
          <w:rFonts w:ascii="Arial" w:cs="Arial" w:eastAsia="Arial" w:hAnsi="Arial"/>
          <w:sz w:val="14"/>
          <w:szCs w:val="14"/>
          <w:color w:val="0071CE"/>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wp:posOffset>
            </wp:positionH>
            <wp:positionV relativeFrom="paragraph">
              <wp:posOffset>-95885</wp:posOffset>
            </wp:positionV>
            <wp:extent cx="5983605" cy="10287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5983605" cy="102870"/>
                    </a:xfrm>
                    <a:prstGeom prst="rect">
                      <a:avLst/>
                    </a:prstGeom>
                    <a:noFill/>
                  </pic:spPr>
                </pic:pic>
              </a:graphicData>
            </a:graphic>
          </wp:anchor>
        </w:drawing>
      </w:r>
    </w:p>
    <w:p>
      <w:pPr>
        <w:sectPr>
          <w:pgSz w:w="11900" w:h="16838" w:orient="portrait"/>
          <w:cols w:equalWidth="0" w:num="1">
            <w:col w:w="11120"/>
          </w:cols>
          <w:pgMar w:left="320" w:top="482" w:right="45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ind w:left="660" w:hanging="544"/>
        <w:spacing w:after="0"/>
        <w:tabs>
          <w:tab w:leader="none" w:pos="660" w:val="left"/>
        </w:tabs>
        <w:numPr>
          <w:ilvl w:val="0"/>
          <w:numId w:val="75"/>
        </w:numPr>
        <w:rPr>
          <w:rFonts w:ascii="Times New Roman" w:cs="Times New Roman" w:eastAsia="Times New Roman" w:hAnsi="Times New Roman"/>
          <w:sz w:val="19"/>
          <w:szCs w:val="19"/>
          <w:color w:val="0071CE"/>
        </w:rPr>
      </w:pPr>
      <w:r>
        <w:rPr>
          <w:rFonts w:ascii="Arial" w:cs="Arial" w:eastAsia="Arial" w:hAnsi="Arial"/>
          <w:sz w:val="25"/>
          <w:szCs w:val="25"/>
          <w:color w:val="3E3935"/>
        </w:rPr>
        <w:t>Compensation Governance and Best Practices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174625</wp:posOffset>
            </wp:positionV>
            <wp:extent cx="6995160"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85" w:lineRule="exact"/>
        <w:rPr>
          <w:sz w:val="20"/>
          <w:szCs w:val="20"/>
          <w:color w:val="auto"/>
        </w:rPr>
      </w:pPr>
    </w:p>
    <w:p>
      <w:pPr>
        <w:jc w:val="center"/>
        <w:ind w:right="-119"/>
        <w:spacing w:after="0"/>
        <w:rPr>
          <w:sz w:val="20"/>
          <w:szCs w:val="20"/>
          <w:color w:val="auto"/>
        </w:rPr>
      </w:pPr>
      <w:r>
        <w:rPr>
          <w:rFonts w:ascii="Arial" w:cs="Arial" w:eastAsia="Arial" w:hAnsi="Arial"/>
          <w:sz w:val="20"/>
          <w:szCs w:val="20"/>
          <w:b w:val="1"/>
          <w:bCs w:val="1"/>
          <w:color w:val="00C1DE"/>
        </w:rPr>
        <w:t>WHAT WE 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14605</wp:posOffset>
            </wp:positionV>
            <wp:extent cx="6995160"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6" w:lineRule="exact"/>
        <w:rPr>
          <w:sz w:val="20"/>
          <w:szCs w:val="20"/>
          <w:color w:val="auto"/>
        </w:rPr>
      </w:pPr>
    </w:p>
    <w:p>
      <w:pPr>
        <w:ind w:left="660" w:hanging="288"/>
        <w:spacing w:after="0"/>
        <w:tabs>
          <w:tab w:leader="none" w:pos="660" w:val="left"/>
        </w:tabs>
        <w:numPr>
          <w:ilvl w:val="0"/>
          <w:numId w:val="76"/>
        </w:numPr>
        <w:rPr>
          <w:rFonts w:ascii="MS PGothic" w:cs="MS PGothic" w:eastAsia="MS PGothic" w:hAnsi="MS PGothic"/>
          <w:sz w:val="20"/>
          <w:szCs w:val="20"/>
          <w:color w:val="00C1DE"/>
        </w:rPr>
      </w:pPr>
      <w:r>
        <w:rPr>
          <w:rFonts w:ascii="Arial" w:cs="Arial" w:eastAsia="Arial" w:hAnsi="Arial"/>
          <w:sz w:val="20"/>
          <w:szCs w:val="20"/>
          <w:color w:val="3E3935"/>
        </w:rPr>
        <w:t>Provide short-term and long-term incentive plans with performance targets aligned to business goals</w:t>
      </w:r>
    </w:p>
    <w:p>
      <w:pPr>
        <w:spacing w:after="0" w:line="80" w:lineRule="exact"/>
        <w:rPr>
          <w:rFonts w:ascii="MS PGothic" w:cs="MS PGothic" w:eastAsia="MS PGothic" w:hAnsi="MS PGothic"/>
          <w:sz w:val="20"/>
          <w:szCs w:val="20"/>
          <w:color w:val="00C1DE"/>
        </w:rPr>
      </w:pPr>
    </w:p>
    <w:p>
      <w:pPr>
        <w:ind w:left="660" w:hanging="288"/>
        <w:spacing w:after="0" w:line="257" w:lineRule="auto"/>
        <w:tabs>
          <w:tab w:leader="none" w:pos="660" w:val="left"/>
        </w:tabs>
        <w:numPr>
          <w:ilvl w:val="0"/>
          <w:numId w:val="76"/>
        </w:numPr>
        <w:rPr>
          <w:rFonts w:ascii="MS PGothic" w:cs="MS PGothic" w:eastAsia="MS PGothic" w:hAnsi="MS PGothic"/>
          <w:sz w:val="20"/>
          <w:szCs w:val="20"/>
          <w:color w:val="00C1DE"/>
        </w:rPr>
      </w:pPr>
      <w:r>
        <w:rPr>
          <w:rFonts w:ascii="Arial" w:cs="Arial" w:eastAsia="Arial" w:hAnsi="Arial"/>
          <w:sz w:val="20"/>
          <w:szCs w:val="20"/>
          <w:color w:val="3E3935"/>
        </w:rPr>
        <w:t>Maintain a Compensation Committee composed entirely of independent directors who are advised by an independent compensation consultant</w:t>
      </w:r>
    </w:p>
    <w:p>
      <w:pPr>
        <w:spacing w:after="0" w:line="60" w:lineRule="exact"/>
        <w:rPr>
          <w:rFonts w:ascii="MS PGothic" w:cs="MS PGothic" w:eastAsia="MS PGothic" w:hAnsi="MS PGothic"/>
          <w:sz w:val="20"/>
          <w:szCs w:val="20"/>
          <w:color w:val="00C1DE"/>
        </w:rPr>
      </w:pPr>
    </w:p>
    <w:p>
      <w:pPr>
        <w:ind w:left="660" w:hanging="288"/>
        <w:spacing w:after="0"/>
        <w:tabs>
          <w:tab w:leader="none" w:pos="660" w:val="left"/>
        </w:tabs>
        <w:numPr>
          <w:ilvl w:val="0"/>
          <w:numId w:val="76"/>
        </w:numPr>
        <w:rPr>
          <w:rFonts w:ascii="MS PGothic" w:cs="MS PGothic" w:eastAsia="MS PGothic" w:hAnsi="MS PGothic"/>
          <w:sz w:val="20"/>
          <w:szCs w:val="20"/>
          <w:color w:val="00C1DE"/>
        </w:rPr>
      </w:pPr>
      <w:r>
        <w:rPr>
          <w:rFonts w:ascii="Arial" w:cs="Arial" w:eastAsia="Arial" w:hAnsi="Arial"/>
          <w:sz w:val="20"/>
          <w:szCs w:val="20"/>
          <w:color w:val="3E3935"/>
        </w:rPr>
        <w:t>Require stock ownership for all senior leaders to align with the interests of our shareholders</w:t>
      </w:r>
    </w:p>
    <w:p>
      <w:pPr>
        <w:spacing w:after="0" w:line="80" w:lineRule="exact"/>
        <w:rPr>
          <w:rFonts w:ascii="MS PGothic" w:cs="MS PGothic" w:eastAsia="MS PGothic" w:hAnsi="MS PGothic"/>
          <w:sz w:val="20"/>
          <w:szCs w:val="20"/>
          <w:color w:val="00C1DE"/>
        </w:rPr>
      </w:pPr>
    </w:p>
    <w:p>
      <w:pPr>
        <w:ind w:left="660" w:right="20" w:hanging="288"/>
        <w:spacing w:after="0" w:line="257" w:lineRule="auto"/>
        <w:tabs>
          <w:tab w:leader="none" w:pos="660" w:val="left"/>
        </w:tabs>
        <w:numPr>
          <w:ilvl w:val="0"/>
          <w:numId w:val="76"/>
        </w:numPr>
        <w:rPr>
          <w:rFonts w:ascii="MS PGothic" w:cs="MS PGothic" w:eastAsia="MS PGothic" w:hAnsi="MS PGothic"/>
          <w:sz w:val="20"/>
          <w:szCs w:val="20"/>
          <w:color w:val="00C1DE"/>
        </w:rPr>
      </w:pPr>
      <w:r>
        <w:rPr>
          <w:rFonts w:ascii="Arial" w:cs="Arial" w:eastAsia="Arial" w:hAnsi="Arial"/>
          <w:sz w:val="20"/>
          <w:szCs w:val="20"/>
          <w:color w:val="3E3935"/>
        </w:rPr>
        <w:t>Engage with shareholders and other stakeholders on various topics with members of management and directors, including our Compensation Committee and our Independent Lead Director</w:t>
      </w:r>
    </w:p>
    <w:p>
      <w:pPr>
        <w:spacing w:after="0" w:line="60" w:lineRule="exact"/>
        <w:rPr>
          <w:rFonts w:ascii="MS PGothic" w:cs="MS PGothic" w:eastAsia="MS PGothic" w:hAnsi="MS PGothic"/>
          <w:sz w:val="20"/>
          <w:szCs w:val="20"/>
          <w:color w:val="00C1DE"/>
        </w:rPr>
      </w:pPr>
    </w:p>
    <w:p>
      <w:pPr>
        <w:ind w:left="660" w:hanging="288"/>
        <w:spacing w:after="0"/>
        <w:tabs>
          <w:tab w:leader="none" w:pos="660" w:val="left"/>
        </w:tabs>
        <w:numPr>
          <w:ilvl w:val="0"/>
          <w:numId w:val="76"/>
        </w:numPr>
        <w:rPr>
          <w:rFonts w:ascii="MS PGothic" w:cs="MS PGothic" w:eastAsia="MS PGothic" w:hAnsi="MS PGothic"/>
          <w:sz w:val="20"/>
          <w:szCs w:val="20"/>
          <w:color w:val="00C1DE"/>
        </w:rPr>
      </w:pPr>
      <w:r>
        <w:rPr>
          <w:rFonts w:ascii="Arial" w:cs="Arial" w:eastAsia="Arial" w:hAnsi="Arial"/>
          <w:sz w:val="20"/>
          <w:szCs w:val="20"/>
          <w:color w:val="3E3935"/>
        </w:rPr>
        <w:t>Include non-compete and non-solicitation terms in all grant agreements with senior leaders</w:t>
      </w:r>
    </w:p>
    <w:p>
      <w:pPr>
        <w:spacing w:after="0" w:line="80" w:lineRule="exact"/>
        <w:rPr>
          <w:rFonts w:ascii="MS PGothic" w:cs="MS PGothic" w:eastAsia="MS PGothic" w:hAnsi="MS PGothic"/>
          <w:sz w:val="20"/>
          <w:szCs w:val="20"/>
          <w:color w:val="00C1DE"/>
        </w:rPr>
      </w:pPr>
    </w:p>
    <w:p>
      <w:pPr>
        <w:ind w:left="660" w:right="20" w:hanging="288"/>
        <w:spacing w:after="0" w:line="257" w:lineRule="auto"/>
        <w:tabs>
          <w:tab w:leader="none" w:pos="660" w:val="left"/>
        </w:tabs>
        <w:numPr>
          <w:ilvl w:val="0"/>
          <w:numId w:val="76"/>
        </w:numPr>
        <w:rPr>
          <w:rFonts w:ascii="MS PGothic" w:cs="MS PGothic" w:eastAsia="MS PGothic" w:hAnsi="MS PGothic"/>
          <w:sz w:val="20"/>
          <w:szCs w:val="20"/>
          <w:color w:val="00C1DE"/>
        </w:rPr>
      </w:pPr>
      <w:r>
        <w:rPr>
          <w:rFonts w:ascii="Arial" w:cs="Arial" w:eastAsia="Arial" w:hAnsi="Arial"/>
          <w:sz w:val="20"/>
          <w:szCs w:val="20"/>
          <w:color w:val="3E3935"/>
        </w:rPr>
        <w:t>Maintain an Insider Trading Policy requiring directors, executive officers, and all other senior leaders to trade only during pre-established periods after receiving preclearance from the GM legal staff</w:t>
      </w:r>
    </w:p>
    <w:p>
      <w:pPr>
        <w:spacing w:after="0" w:line="60" w:lineRule="exact"/>
        <w:rPr>
          <w:rFonts w:ascii="MS PGothic" w:cs="MS PGothic" w:eastAsia="MS PGothic" w:hAnsi="MS PGothic"/>
          <w:sz w:val="20"/>
          <w:szCs w:val="20"/>
          <w:color w:val="00C1DE"/>
        </w:rPr>
      </w:pPr>
    </w:p>
    <w:p>
      <w:pPr>
        <w:ind w:left="660" w:hanging="288"/>
        <w:spacing w:after="0"/>
        <w:tabs>
          <w:tab w:leader="none" w:pos="660" w:val="left"/>
        </w:tabs>
        <w:numPr>
          <w:ilvl w:val="0"/>
          <w:numId w:val="76"/>
        </w:numPr>
        <w:rPr>
          <w:rFonts w:ascii="MS PGothic" w:cs="MS PGothic" w:eastAsia="MS PGothic" w:hAnsi="MS PGothic"/>
          <w:sz w:val="20"/>
          <w:szCs w:val="20"/>
          <w:color w:val="00C1DE"/>
        </w:rPr>
      </w:pPr>
      <w:r>
        <w:rPr>
          <w:rFonts w:ascii="Arial" w:cs="Arial" w:eastAsia="Arial" w:hAnsi="Arial"/>
          <w:sz w:val="20"/>
          <w:szCs w:val="20"/>
          <w:color w:val="3E3935"/>
        </w:rPr>
        <w:t>Require equity awards to have double trigger (change in control and termination of employment) vesting provisions</w:t>
      </w:r>
    </w:p>
    <w:p>
      <w:pPr>
        <w:spacing w:after="0" w:line="107" w:lineRule="exact"/>
        <w:rPr>
          <w:rFonts w:ascii="MS PGothic" w:cs="MS PGothic" w:eastAsia="MS PGothic" w:hAnsi="MS PGothic"/>
          <w:sz w:val="20"/>
          <w:szCs w:val="20"/>
          <w:color w:val="00C1DE"/>
        </w:rPr>
      </w:pPr>
    </w:p>
    <w:p>
      <w:pPr>
        <w:ind w:left="660" w:hanging="288"/>
        <w:spacing w:after="0"/>
        <w:tabs>
          <w:tab w:leader="none" w:pos="660" w:val="left"/>
        </w:tabs>
        <w:numPr>
          <w:ilvl w:val="0"/>
          <w:numId w:val="76"/>
        </w:numPr>
        <w:rPr>
          <w:rFonts w:ascii="MS PGothic" w:cs="MS PGothic" w:eastAsia="MS PGothic" w:hAnsi="MS PGothic"/>
          <w:sz w:val="20"/>
          <w:szCs w:val="20"/>
          <w:color w:val="00C1DE"/>
        </w:rPr>
      </w:pPr>
      <w:r>
        <w:rPr>
          <w:rFonts w:ascii="Arial" w:cs="Arial" w:eastAsia="Arial" w:hAnsi="Arial"/>
          <w:sz w:val="20"/>
          <w:szCs w:val="20"/>
          <w:color w:val="3E3935"/>
        </w:rPr>
        <w:t>Complete an annual risk review evaluating incentive compensation plans</w:t>
      </w:r>
    </w:p>
    <w:p>
      <w:pPr>
        <w:spacing w:after="0" w:line="80" w:lineRule="exact"/>
        <w:rPr>
          <w:rFonts w:ascii="MS PGothic" w:cs="MS PGothic" w:eastAsia="MS PGothic" w:hAnsi="MS PGothic"/>
          <w:sz w:val="20"/>
          <w:szCs w:val="20"/>
          <w:color w:val="00C1DE"/>
        </w:rPr>
      </w:pPr>
    </w:p>
    <w:p>
      <w:pPr>
        <w:ind w:left="660" w:right="20" w:hanging="288"/>
        <w:spacing w:after="0" w:line="257" w:lineRule="auto"/>
        <w:tabs>
          <w:tab w:leader="none" w:pos="660" w:val="left"/>
        </w:tabs>
        <w:numPr>
          <w:ilvl w:val="0"/>
          <w:numId w:val="76"/>
        </w:numPr>
        <w:rPr>
          <w:rFonts w:ascii="MS PGothic" w:cs="MS PGothic" w:eastAsia="MS PGothic" w:hAnsi="MS PGothic"/>
          <w:sz w:val="20"/>
          <w:szCs w:val="20"/>
          <w:color w:val="00C1DE"/>
        </w:rPr>
      </w:pPr>
      <w:r>
        <w:rPr>
          <w:rFonts w:ascii="Arial" w:cs="Arial" w:eastAsia="Arial" w:hAnsi="Arial"/>
          <w:sz w:val="20"/>
          <w:szCs w:val="20"/>
          <w:color w:val="3E3935"/>
        </w:rPr>
        <w:t>Require short-term cash and long-term equity awards for all executive officers to be subject to clawback and cancellation provisions</w:t>
      </w:r>
    </w:p>
    <w:p>
      <w:pPr>
        <w:spacing w:after="0" w:line="60" w:lineRule="exact"/>
        <w:rPr>
          <w:rFonts w:ascii="MS PGothic" w:cs="MS PGothic" w:eastAsia="MS PGothic" w:hAnsi="MS PGothic"/>
          <w:sz w:val="20"/>
          <w:szCs w:val="20"/>
          <w:color w:val="00C1DE"/>
        </w:rPr>
      </w:pPr>
    </w:p>
    <w:p>
      <w:pPr>
        <w:ind w:left="660" w:hanging="288"/>
        <w:spacing w:after="0"/>
        <w:tabs>
          <w:tab w:leader="none" w:pos="660" w:val="left"/>
        </w:tabs>
        <w:numPr>
          <w:ilvl w:val="0"/>
          <w:numId w:val="76"/>
        </w:numPr>
        <w:rPr>
          <w:rFonts w:ascii="MS PGothic" w:cs="MS PGothic" w:eastAsia="MS PGothic" w:hAnsi="MS PGothic"/>
          <w:sz w:val="20"/>
          <w:szCs w:val="20"/>
          <w:color w:val="00C1DE"/>
        </w:rPr>
      </w:pPr>
      <w:r>
        <w:rPr>
          <w:rFonts w:ascii="Arial" w:cs="Arial" w:eastAsia="Arial" w:hAnsi="Arial"/>
          <w:sz w:val="20"/>
          <w:szCs w:val="20"/>
          <w:color w:val="3E3935"/>
        </w:rPr>
        <w:t>Conduct an annual audit of senior executive expenses and perquisites that is reviewed by the Audit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321945</wp:posOffset>
            </wp:positionV>
            <wp:extent cx="6995160"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47625</wp:posOffset>
            </wp:positionV>
            <wp:extent cx="6995160"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318" w:lineRule="exact"/>
        <w:rPr>
          <w:sz w:val="20"/>
          <w:szCs w:val="20"/>
          <w:color w:val="auto"/>
        </w:rPr>
      </w:pPr>
    </w:p>
    <w:p>
      <w:pPr>
        <w:jc w:val="center"/>
        <w:ind w:right="-119"/>
        <w:spacing w:after="0"/>
        <w:rPr>
          <w:sz w:val="20"/>
          <w:szCs w:val="20"/>
          <w:color w:val="auto"/>
        </w:rPr>
      </w:pPr>
      <w:r>
        <w:rPr>
          <w:rFonts w:ascii="Arial" w:cs="Arial" w:eastAsia="Arial" w:hAnsi="Arial"/>
          <w:sz w:val="20"/>
          <w:szCs w:val="20"/>
          <w:b w:val="1"/>
          <w:bCs w:val="1"/>
          <w:color w:val="00C1DE"/>
        </w:rPr>
        <w:t>WHAT WE DON’T 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14605</wp:posOffset>
            </wp:positionV>
            <wp:extent cx="6995160" cy="88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3" w:lineRule="exact"/>
        <w:rPr>
          <w:sz w:val="20"/>
          <w:szCs w:val="20"/>
          <w:color w:val="auto"/>
        </w:rPr>
      </w:pPr>
    </w:p>
    <w:p>
      <w:pPr>
        <w:ind w:left="660" w:hanging="225"/>
        <w:spacing w:after="0"/>
        <w:tabs>
          <w:tab w:leader="none" w:pos="660" w:val="left"/>
        </w:tabs>
        <w:numPr>
          <w:ilvl w:val="0"/>
          <w:numId w:val="77"/>
        </w:numPr>
        <w:rPr>
          <w:rFonts w:ascii="Times New Roman" w:cs="Times New Roman" w:eastAsia="Times New Roman" w:hAnsi="Times New Roman"/>
          <w:sz w:val="20"/>
          <w:szCs w:val="20"/>
          <w:b w:val="1"/>
          <w:bCs w:val="1"/>
          <w:i w:val="1"/>
          <w:iCs w:val="1"/>
          <w:color w:val="00C1DE"/>
        </w:rPr>
      </w:pPr>
      <w:r>
        <w:rPr>
          <w:rFonts w:ascii="Arial" w:cs="Arial" w:eastAsia="Arial" w:hAnsi="Arial"/>
          <w:sz w:val="20"/>
          <w:szCs w:val="20"/>
          <w:color w:val="3E3935"/>
        </w:rPr>
        <w:t>Provide gross-up payments to cover personal income taxes or excise taxes pertaining to executive severance benefits</w:t>
      </w:r>
    </w:p>
    <w:p>
      <w:pPr>
        <w:spacing w:after="0" w:line="92" w:lineRule="exact"/>
        <w:rPr>
          <w:rFonts w:ascii="Times New Roman" w:cs="Times New Roman" w:eastAsia="Times New Roman" w:hAnsi="Times New Roman"/>
          <w:sz w:val="20"/>
          <w:szCs w:val="20"/>
          <w:b w:val="1"/>
          <w:bCs w:val="1"/>
          <w:i w:val="1"/>
          <w:iCs w:val="1"/>
          <w:color w:val="00C1DE"/>
        </w:rPr>
      </w:pPr>
    </w:p>
    <w:p>
      <w:pPr>
        <w:ind w:left="660" w:hanging="225"/>
        <w:spacing w:after="0"/>
        <w:tabs>
          <w:tab w:leader="none" w:pos="660" w:val="left"/>
        </w:tabs>
        <w:numPr>
          <w:ilvl w:val="0"/>
          <w:numId w:val="77"/>
        </w:numPr>
        <w:rPr>
          <w:rFonts w:ascii="Times New Roman" w:cs="Times New Roman" w:eastAsia="Times New Roman" w:hAnsi="Times New Roman"/>
          <w:sz w:val="20"/>
          <w:szCs w:val="20"/>
          <w:b w:val="1"/>
          <w:bCs w:val="1"/>
          <w:i w:val="1"/>
          <w:iCs w:val="1"/>
          <w:color w:val="00C1DE"/>
        </w:rPr>
      </w:pPr>
      <w:r>
        <w:rPr>
          <w:rFonts w:ascii="Arial" w:cs="Arial" w:eastAsia="Arial" w:hAnsi="Arial"/>
          <w:sz w:val="20"/>
          <w:szCs w:val="20"/>
          <w:color w:val="3E3935"/>
        </w:rPr>
        <w:t>Pay above-market interest on deferred compensation in retirement plans</w:t>
      </w:r>
    </w:p>
    <w:p>
      <w:pPr>
        <w:spacing w:after="0" w:line="93" w:lineRule="exact"/>
        <w:rPr>
          <w:rFonts w:ascii="Times New Roman" w:cs="Times New Roman" w:eastAsia="Times New Roman" w:hAnsi="Times New Roman"/>
          <w:sz w:val="20"/>
          <w:szCs w:val="20"/>
          <w:b w:val="1"/>
          <w:bCs w:val="1"/>
          <w:i w:val="1"/>
          <w:iCs w:val="1"/>
          <w:color w:val="00C1DE"/>
        </w:rPr>
      </w:pPr>
    </w:p>
    <w:p>
      <w:pPr>
        <w:ind w:left="660" w:hanging="225"/>
        <w:spacing w:after="0"/>
        <w:tabs>
          <w:tab w:leader="none" w:pos="660" w:val="left"/>
        </w:tabs>
        <w:numPr>
          <w:ilvl w:val="0"/>
          <w:numId w:val="77"/>
        </w:numPr>
        <w:rPr>
          <w:rFonts w:ascii="Times New Roman" w:cs="Times New Roman" w:eastAsia="Times New Roman" w:hAnsi="Times New Roman"/>
          <w:sz w:val="20"/>
          <w:szCs w:val="20"/>
          <w:b w:val="1"/>
          <w:bCs w:val="1"/>
          <w:i w:val="1"/>
          <w:iCs w:val="1"/>
          <w:color w:val="00C1DE"/>
        </w:rPr>
      </w:pPr>
      <w:r>
        <w:rPr>
          <w:rFonts w:ascii="Arial" w:cs="Arial" w:eastAsia="Arial" w:hAnsi="Arial"/>
          <w:sz w:val="20"/>
          <w:szCs w:val="20"/>
          <w:color w:val="3E3935"/>
        </w:rPr>
        <w:t>Allow any director or employee to engage in hedging or pledging of GM securities</w:t>
      </w:r>
    </w:p>
    <w:p>
      <w:pPr>
        <w:spacing w:after="0" w:line="93" w:lineRule="exact"/>
        <w:rPr>
          <w:rFonts w:ascii="Times New Roman" w:cs="Times New Roman" w:eastAsia="Times New Roman" w:hAnsi="Times New Roman"/>
          <w:sz w:val="20"/>
          <w:szCs w:val="20"/>
          <w:b w:val="1"/>
          <w:bCs w:val="1"/>
          <w:i w:val="1"/>
          <w:iCs w:val="1"/>
          <w:color w:val="00C1DE"/>
        </w:rPr>
      </w:pPr>
    </w:p>
    <w:p>
      <w:pPr>
        <w:ind w:left="660" w:hanging="225"/>
        <w:spacing w:after="0"/>
        <w:tabs>
          <w:tab w:leader="none" w:pos="660" w:val="left"/>
        </w:tabs>
        <w:numPr>
          <w:ilvl w:val="0"/>
          <w:numId w:val="77"/>
        </w:numPr>
        <w:rPr>
          <w:rFonts w:ascii="Times New Roman" w:cs="Times New Roman" w:eastAsia="Times New Roman" w:hAnsi="Times New Roman"/>
          <w:sz w:val="20"/>
          <w:szCs w:val="20"/>
          <w:b w:val="1"/>
          <w:bCs w:val="1"/>
          <w:i w:val="1"/>
          <w:iCs w:val="1"/>
          <w:color w:val="00C1DE"/>
        </w:rPr>
      </w:pPr>
      <w:r>
        <w:rPr>
          <w:rFonts w:ascii="Arial" w:cs="Arial" w:eastAsia="Arial" w:hAnsi="Arial"/>
          <w:sz w:val="20"/>
          <w:szCs w:val="20"/>
          <w:color w:val="3E3935"/>
        </w:rPr>
        <w:t>Reward executives for excessive, imprudent, inappropriate, or unnecessary risk-taking</w:t>
      </w:r>
    </w:p>
    <w:p>
      <w:pPr>
        <w:spacing w:after="0" w:line="93" w:lineRule="exact"/>
        <w:rPr>
          <w:rFonts w:ascii="Times New Roman" w:cs="Times New Roman" w:eastAsia="Times New Roman" w:hAnsi="Times New Roman"/>
          <w:sz w:val="20"/>
          <w:szCs w:val="20"/>
          <w:b w:val="1"/>
          <w:bCs w:val="1"/>
          <w:i w:val="1"/>
          <w:iCs w:val="1"/>
          <w:color w:val="00C1DE"/>
        </w:rPr>
      </w:pPr>
    </w:p>
    <w:p>
      <w:pPr>
        <w:ind w:left="660" w:hanging="225"/>
        <w:spacing w:after="0"/>
        <w:tabs>
          <w:tab w:leader="none" w:pos="660" w:val="left"/>
        </w:tabs>
        <w:numPr>
          <w:ilvl w:val="0"/>
          <w:numId w:val="77"/>
        </w:numPr>
        <w:rPr>
          <w:rFonts w:ascii="Times New Roman" w:cs="Times New Roman" w:eastAsia="Times New Roman" w:hAnsi="Times New Roman"/>
          <w:sz w:val="20"/>
          <w:szCs w:val="20"/>
          <w:b w:val="1"/>
          <w:bCs w:val="1"/>
          <w:i w:val="1"/>
          <w:iCs w:val="1"/>
          <w:color w:val="00C1DE"/>
        </w:rPr>
      </w:pPr>
      <w:r>
        <w:rPr>
          <w:rFonts w:ascii="Arial" w:cs="Arial" w:eastAsia="Arial" w:hAnsi="Arial"/>
          <w:sz w:val="20"/>
          <w:szCs w:val="20"/>
          <w:color w:val="3E3935"/>
        </w:rPr>
        <w:t>Allow the repricing, spring-loading, or backdating of equity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46990</wp:posOffset>
            </wp:positionV>
            <wp:extent cx="6995160" cy="88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7" w:lineRule="exact"/>
        <w:rPr>
          <w:sz w:val="20"/>
          <w:szCs w:val="20"/>
          <w:color w:val="auto"/>
        </w:rPr>
      </w:pPr>
    </w:p>
    <w:p>
      <w:pPr>
        <w:ind w:left="10660"/>
        <w:spacing w:after="0"/>
        <w:rPr>
          <w:sz w:val="20"/>
          <w:szCs w:val="20"/>
          <w:color w:val="auto"/>
        </w:rPr>
      </w:pPr>
      <w:r>
        <w:rPr>
          <w:rFonts w:ascii="Arial" w:cs="Arial" w:eastAsia="Arial" w:hAnsi="Arial"/>
          <w:sz w:val="14"/>
          <w:szCs w:val="14"/>
          <w:color w:val="0071CE"/>
        </w:rPr>
        <w:t>55</w:t>
      </w:r>
    </w:p>
    <w:p>
      <w:pPr>
        <w:sectPr>
          <w:pgSz w:w="11900" w:h="16838" w:orient="portrait"/>
          <w:cols w:equalWidth="0" w:num="1">
            <w:col w:w="11140"/>
          </w:cols>
          <w:pgMar w:left="320" w:top="482" w:right="4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ind w:left="660" w:hanging="544"/>
        <w:spacing w:after="0"/>
        <w:tabs>
          <w:tab w:leader="none" w:pos="660" w:val="left"/>
        </w:tabs>
        <w:numPr>
          <w:ilvl w:val="0"/>
          <w:numId w:val="78"/>
        </w:numPr>
        <w:rPr>
          <w:rFonts w:ascii="Times New Roman" w:cs="Times New Roman" w:eastAsia="Times New Roman" w:hAnsi="Times New Roman"/>
          <w:sz w:val="19"/>
          <w:szCs w:val="19"/>
          <w:color w:val="0071CE"/>
        </w:rPr>
      </w:pPr>
      <w:r>
        <w:rPr>
          <w:rFonts w:ascii="Arial" w:cs="Arial" w:eastAsia="Arial" w:hAnsi="Arial"/>
          <w:sz w:val="25"/>
          <w:szCs w:val="25"/>
          <w:color w:val="3E3935"/>
        </w:rPr>
        <w:t>2022 STIP and 2022 LTIP Overview</w:t>
      </w:r>
    </w:p>
    <w:p>
      <w:pPr>
        <w:spacing w:after="0" w:line="159" w:lineRule="exact"/>
        <w:rPr>
          <w:sz w:val="20"/>
          <w:szCs w:val="20"/>
          <w:color w:val="auto"/>
        </w:rPr>
      </w:pPr>
    </w:p>
    <w:p>
      <w:pPr>
        <w:jc w:val="both"/>
        <w:ind w:left="120" w:right="20"/>
        <w:spacing w:after="0" w:line="248" w:lineRule="auto"/>
        <w:rPr>
          <w:sz w:val="20"/>
          <w:szCs w:val="20"/>
          <w:color w:val="auto"/>
        </w:rPr>
      </w:pPr>
      <w:r>
        <w:rPr>
          <w:rFonts w:ascii="Arial" w:cs="Arial" w:eastAsia="Arial" w:hAnsi="Arial"/>
          <w:sz w:val="19"/>
          <w:szCs w:val="19"/>
          <w:color w:val="3E3935"/>
        </w:rPr>
        <w:t>The 2022 STIP is designed to focus our leaders on key financial measures (75% of STIP) and strategic goals (25% of STIP). The total payout for the STIP ranges from 0 to 200 percent based on performance against pre-established targets. The Compensation Committee determines performance to strategic goals using a rigorous assessment process that evaluates final results against pre-established operational goals, safety results, and other measures, including ESG outcomes. The payout for strategic goals performance occurs only if threshold performance of at least one financial measure is met.</w:t>
      </w:r>
    </w:p>
    <w:p>
      <w:pPr>
        <w:spacing w:after="0" w:line="100" w:lineRule="exact"/>
        <w:rPr>
          <w:sz w:val="20"/>
          <w:szCs w:val="20"/>
          <w:color w:val="auto"/>
        </w:rPr>
      </w:pPr>
    </w:p>
    <w:p>
      <w:pPr>
        <w:jc w:val="both"/>
        <w:ind w:left="120" w:right="20"/>
        <w:spacing w:after="0" w:line="252" w:lineRule="auto"/>
        <w:rPr>
          <w:sz w:val="20"/>
          <w:szCs w:val="20"/>
          <w:color w:val="auto"/>
        </w:rPr>
      </w:pPr>
      <w:r>
        <w:rPr>
          <w:rFonts w:ascii="Arial" w:cs="Arial" w:eastAsia="Arial" w:hAnsi="Arial"/>
          <w:sz w:val="19"/>
          <w:szCs w:val="19"/>
          <w:color w:val="3E3935"/>
        </w:rPr>
        <w:t>The 2022 LTIP design features stock options (25% of total LTIP) to align our senior leaders with shareholders’ interest in stock price appreciation and PSUs (75% of total LTIP) with performance measures that drive long-term results. PSU performance measures include EBIT-adjusted Margin (30% of total LTIP), Relative TSR (30% of total LTIP), and GMNA EV Measures (15% of total LTIP). Relative TSR performance payout is capped at target if GM’s TSR is negative over the performance period.</w:t>
      </w:r>
    </w:p>
    <w:p>
      <w:pPr>
        <w:spacing w:after="0" w:line="81" w:lineRule="exact"/>
        <w:rPr>
          <w:sz w:val="20"/>
          <w:szCs w:val="20"/>
          <w:color w:val="auto"/>
        </w:rPr>
      </w:pPr>
    </w:p>
    <w:p>
      <w:pPr>
        <w:jc w:val="both"/>
        <w:ind w:left="120"/>
        <w:spacing w:after="0" w:line="237" w:lineRule="auto"/>
        <w:rPr>
          <w:sz w:val="20"/>
          <w:szCs w:val="20"/>
          <w:color w:val="auto"/>
        </w:rPr>
      </w:pPr>
      <w:r>
        <w:rPr>
          <w:rFonts w:ascii="Arial" w:cs="Arial" w:eastAsia="Arial" w:hAnsi="Arial"/>
          <w:sz w:val="20"/>
          <w:szCs w:val="20"/>
          <w:color w:val="3E3935"/>
        </w:rPr>
        <w:t>Focusing performance on EBIT-adjusted, AAFCF, and strategic goals in the short term, combined with the PSU performance measures described above in the long term, provide direct alignment of our executive compensation program with the interests of our shareholders, and link the long-term compensation of our executives to the long-term EV strategy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862330</wp:posOffset>
            </wp:positionH>
            <wp:positionV relativeFrom="paragraph">
              <wp:posOffset>200025</wp:posOffset>
            </wp:positionV>
            <wp:extent cx="5417820" cy="216027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5417820" cy="2160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660" w:hanging="544"/>
        <w:spacing w:after="0"/>
        <w:tabs>
          <w:tab w:leader="none" w:pos="660" w:val="left"/>
        </w:tabs>
        <w:numPr>
          <w:ilvl w:val="0"/>
          <w:numId w:val="79"/>
        </w:numPr>
        <w:rPr>
          <w:rFonts w:ascii="Times New Roman" w:cs="Times New Roman" w:eastAsia="Times New Roman" w:hAnsi="Times New Roman"/>
          <w:sz w:val="19"/>
          <w:szCs w:val="19"/>
          <w:color w:val="0071CE"/>
        </w:rPr>
      </w:pPr>
      <w:r>
        <w:rPr>
          <w:rFonts w:ascii="Arial" w:cs="Arial" w:eastAsia="Arial" w:hAnsi="Arial"/>
          <w:sz w:val="25"/>
          <w:szCs w:val="25"/>
          <w:color w:val="3E3935"/>
        </w:rPr>
        <w:t>Peer Group for 2022–2024 LTIP Performance</w:t>
      </w:r>
    </w:p>
    <w:p>
      <w:pPr>
        <w:spacing w:after="0" w:line="159" w:lineRule="exact"/>
        <w:rPr>
          <w:sz w:val="20"/>
          <w:szCs w:val="20"/>
          <w:color w:val="auto"/>
        </w:rPr>
      </w:pPr>
    </w:p>
    <w:p>
      <w:pPr>
        <w:jc w:val="both"/>
        <w:ind w:left="120" w:right="20"/>
        <w:spacing w:after="0" w:line="241" w:lineRule="auto"/>
        <w:rPr>
          <w:sz w:val="20"/>
          <w:szCs w:val="20"/>
          <w:color w:val="auto"/>
        </w:rPr>
      </w:pPr>
      <w:r>
        <w:rPr>
          <w:rFonts w:ascii="Arial" w:cs="Arial" w:eastAsia="Arial" w:hAnsi="Arial"/>
          <w:sz w:val="20"/>
          <w:szCs w:val="20"/>
          <w:color w:val="3E3935"/>
        </w:rPr>
        <w:t>The Compensation Committee uses the following OEMs in the Dow Jones Automobiles &amp; Parts Titans 30 Index to measure relative performance for the Relative TSR measure in the 2022–2024 PSU awards. The companies in the index represent our global competition and are subject to similar macroeconomic forces.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139700</wp:posOffset>
            </wp:positionV>
            <wp:extent cx="6995160" cy="88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30" w:lineRule="exact"/>
        <w:rPr>
          <w:sz w:val="20"/>
          <w:szCs w:val="20"/>
          <w:color w:val="auto"/>
        </w:rPr>
      </w:pPr>
    </w:p>
    <w:p>
      <w:pPr>
        <w:jc w:val="center"/>
        <w:ind w:right="-99"/>
        <w:spacing w:after="0"/>
        <w:rPr>
          <w:sz w:val="20"/>
          <w:szCs w:val="20"/>
          <w:color w:val="auto"/>
        </w:rPr>
      </w:pPr>
      <w:r>
        <w:rPr>
          <w:rFonts w:ascii="Arial" w:cs="Arial" w:eastAsia="Arial" w:hAnsi="Arial"/>
          <w:sz w:val="20"/>
          <w:szCs w:val="20"/>
          <w:b w:val="1"/>
          <w:bCs w:val="1"/>
          <w:color w:val="00C1DE"/>
        </w:rPr>
        <w:t>Dow Jones Automobiles &amp; Parts Titans 30 Index – OEM Peer Group</w:t>
      </w:r>
      <w:r>
        <w:rPr>
          <w:rFonts w:ascii="Arial" w:cs="Arial" w:eastAsia="Arial" w:hAnsi="Arial"/>
          <w:sz w:val="29"/>
          <w:szCs w:val="29"/>
          <w:b w:val="1"/>
          <w:bCs w:val="1"/>
          <w:color w:val="00C1DE"/>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-50165</wp:posOffset>
            </wp:positionV>
            <wp:extent cx="6995160" cy="88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52" w:lineRule="exact"/>
        <w:rPr>
          <w:sz w:val="20"/>
          <w:szCs w:val="20"/>
          <w:color w:val="auto"/>
        </w:rPr>
      </w:pPr>
    </w:p>
    <w:tbl>
      <w:tblPr>
        <w:tblLayout w:type="fixed"/>
        <w:tblInd w:w="120" w:type="dxa"/>
        <w:tblCellMar>
          <w:top w:w="0" w:type="dxa"/>
          <w:left w:w="0" w:type="dxa"/>
          <w:bottom w:w="0" w:type="dxa"/>
          <w:right w:w="0" w:type="dxa"/>
        </w:tblCellMar>
      </w:tblPr>
      <w:tr>
        <w:trPr>
          <w:trHeight w:val="333"/>
        </w:trPr>
        <w:tc>
          <w:tcPr>
            <w:tcW w:w="3960" w:type="dxa"/>
            <w:vAlign w:val="bottom"/>
            <w:tcBorders>
              <w:bottom w:val="single" w:sz="8" w:color="3E3935"/>
            </w:tcBorders>
          </w:tcPr>
          <w:p>
            <w:pPr>
              <w:jc w:val="center"/>
              <w:spacing w:after="0"/>
              <w:rPr>
                <w:sz w:val="20"/>
                <w:szCs w:val="20"/>
                <w:color w:val="auto"/>
              </w:rPr>
            </w:pPr>
            <w:r>
              <w:rPr>
                <w:rFonts w:ascii="Arial" w:cs="Arial" w:eastAsia="Arial" w:hAnsi="Arial"/>
                <w:sz w:val="20"/>
                <w:szCs w:val="20"/>
                <w:color w:val="3E3935"/>
                <w:w w:val="98"/>
              </w:rPr>
              <w:t>Bayerische Motoren Werke AG</w:t>
            </w:r>
          </w:p>
        </w:tc>
        <w:tc>
          <w:tcPr>
            <w:tcW w:w="3740" w:type="dxa"/>
            <w:vAlign w:val="bottom"/>
            <w:tcBorders>
              <w:bottom w:val="single" w:sz="8" w:color="3E3935"/>
            </w:tcBorders>
          </w:tcPr>
          <w:p>
            <w:pPr>
              <w:jc w:val="center"/>
              <w:ind w:left="1"/>
              <w:spacing w:after="0"/>
              <w:rPr>
                <w:sz w:val="20"/>
                <w:szCs w:val="20"/>
                <w:color w:val="auto"/>
              </w:rPr>
            </w:pPr>
            <w:r>
              <w:rPr>
                <w:rFonts w:ascii="Arial" w:cs="Arial" w:eastAsia="Arial" w:hAnsi="Arial"/>
                <w:sz w:val="20"/>
                <w:szCs w:val="20"/>
                <w:color w:val="3E3935"/>
                <w:w w:val="97"/>
              </w:rPr>
              <w:t>Mercedes-Benz Group AG</w:t>
            </w:r>
            <w:r>
              <w:rPr>
                <w:rFonts w:ascii="Arial" w:cs="Arial" w:eastAsia="Arial" w:hAnsi="Arial"/>
                <w:sz w:val="29"/>
                <w:szCs w:val="29"/>
                <w:color w:val="3E3935"/>
                <w:w w:val="97"/>
                <w:vertAlign w:val="superscript"/>
              </w:rPr>
              <w:t>(2)</w:t>
            </w:r>
          </w:p>
        </w:tc>
        <w:tc>
          <w:tcPr>
            <w:tcW w:w="3320" w:type="dxa"/>
            <w:vAlign w:val="bottom"/>
            <w:tcBorders>
              <w:bottom w:val="single" w:sz="8" w:color="3E3935"/>
            </w:tcBorders>
          </w:tcPr>
          <w:p>
            <w:pPr>
              <w:jc w:val="center"/>
              <w:spacing w:after="0"/>
              <w:rPr>
                <w:sz w:val="20"/>
                <w:szCs w:val="20"/>
                <w:color w:val="auto"/>
              </w:rPr>
            </w:pPr>
            <w:r>
              <w:rPr>
                <w:rFonts w:ascii="Arial" w:cs="Arial" w:eastAsia="Arial" w:hAnsi="Arial"/>
                <w:sz w:val="20"/>
                <w:szCs w:val="20"/>
                <w:color w:val="3E3935"/>
                <w:w w:val="98"/>
              </w:rPr>
              <w:t>Suzuki Motor Corporation</w:t>
            </w:r>
          </w:p>
        </w:tc>
      </w:tr>
      <w:tr>
        <w:trPr>
          <w:trHeight w:val="341"/>
        </w:trPr>
        <w:tc>
          <w:tcPr>
            <w:tcW w:w="3960" w:type="dxa"/>
            <w:vAlign w:val="bottom"/>
          </w:tcPr>
          <w:p>
            <w:pPr>
              <w:jc w:val="center"/>
              <w:spacing w:after="0"/>
              <w:rPr>
                <w:sz w:val="20"/>
                <w:szCs w:val="20"/>
                <w:color w:val="auto"/>
              </w:rPr>
            </w:pPr>
            <w:r>
              <w:rPr>
                <w:rFonts w:ascii="Arial" w:cs="Arial" w:eastAsia="Arial" w:hAnsi="Arial"/>
                <w:sz w:val="20"/>
                <w:szCs w:val="20"/>
                <w:color w:val="3E3935"/>
                <w:w w:val="99"/>
              </w:rPr>
              <w:t>Ford Motor Company</w:t>
            </w:r>
          </w:p>
        </w:tc>
        <w:tc>
          <w:tcPr>
            <w:tcW w:w="3740" w:type="dxa"/>
            <w:vAlign w:val="bottom"/>
          </w:tcPr>
          <w:p>
            <w:pPr>
              <w:jc w:val="center"/>
              <w:ind w:left="1"/>
              <w:spacing w:after="0"/>
              <w:rPr>
                <w:sz w:val="20"/>
                <w:szCs w:val="20"/>
                <w:color w:val="auto"/>
              </w:rPr>
            </w:pPr>
            <w:r>
              <w:rPr>
                <w:rFonts w:ascii="Arial" w:cs="Arial" w:eastAsia="Arial" w:hAnsi="Arial"/>
                <w:sz w:val="20"/>
                <w:szCs w:val="20"/>
                <w:color w:val="3E3935"/>
                <w:w w:val="98"/>
              </w:rPr>
              <w:t>Nissan Motor Co., Ltd.</w:t>
            </w:r>
          </w:p>
        </w:tc>
        <w:tc>
          <w:tcPr>
            <w:tcW w:w="3320" w:type="dxa"/>
            <w:vAlign w:val="bottom"/>
          </w:tcPr>
          <w:p>
            <w:pPr>
              <w:jc w:val="center"/>
              <w:spacing w:after="0"/>
              <w:rPr>
                <w:sz w:val="20"/>
                <w:szCs w:val="20"/>
                <w:color w:val="auto"/>
              </w:rPr>
            </w:pPr>
            <w:r>
              <w:rPr>
                <w:rFonts w:ascii="Arial" w:cs="Arial" w:eastAsia="Arial" w:hAnsi="Arial"/>
                <w:sz w:val="20"/>
                <w:szCs w:val="20"/>
                <w:color w:val="3E3935"/>
                <w:w w:val="95"/>
              </w:rPr>
              <w:t>Tesla, Inc.</w:t>
            </w:r>
          </w:p>
        </w:tc>
      </w:tr>
      <w:tr>
        <w:trPr>
          <w:trHeight w:val="84"/>
        </w:trPr>
        <w:tc>
          <w:tcPr>
            <w:tcW w:w="3960" w:type="dxa"/>
            <w:vAlign w:val="bottom"/>
            <w:tcBorders>
              <w:bottom w:val="single" w:sz="8" w:color="3E3935"/>
            </w:tcBorders>
          </w:tcPr>
          <w:p>
            <w:pPr>
              <w:spacing w:after="0"/>
              <w:rPr>
                <w:sz w:val="7"/>
                <w:szCs w:val="7"/>
                <w:color w:val="auto"/>
              </w:rPr>
            </w:pPr>
          </w:p>
        </w:tc>
        <w:tc>
          <w:tcPr>
            <w:tcW w:w="3740" w:type="dxa"/>
            <w:vAlign w:val="bottom"/>
            <w:tcBorders>
              <w:bottom w:val="single" w:sz="8" w:color="3E3935"/>
            </w:tcBorders>
          </w:tcPr>
          <w:p>
            <w:pPr>
              <w:spacing w:after="0"/>
              <w:rPr>
                <w:sz w:val="7"/>
                <w:szCs w:val="7"/>
                <w:color w:val="auto"/>
              </w:rPr>
            </w:pPr>
          </w:p>
        </w:tc>
        <w:tc>
          <w:tcPr>
            <w:tcW w:w="3320" w:type="dxa"/>
            <w:vAlign w:val="bottom"/>
            <w:tcBorders>
              <w:bottom w:val="single" w:sz="8" w:color="3E3935"/>
            </w:tcBorders>
          </w:tcPr>
          <w:p>
            <w:pPr>
              <w:spacing w:after="0"/>
              <w:rPr>
                <w:sz w:val="7"/>
                <w:szCs w:val="7"/>
                <w:color w:val="auto"/>
              </w:rPr>
            </w:pPr>
          </w:p>
        </w:tc>
      </w:tr>
      <w:tr>
        <w:trPr>
          <w:trHeight w:val="341"/>
        </w:trPr>
        <w:tc>
          <w:tcPr>
            <w:tcW w:w="3960" w:type="dxa"/>
            <w:vAlign w:val="bottom"/>
          </w:tcPr>
          <w:p>
            <w:pPr>
              <w:jc w:val="center"/>
              <w:spacing w:after="0"/>
              <w:rPr>
                <w:sz w:val="20"/>
                <w:szCs w:val="20"/>
                <w:color w:val="auto"/>
              </w:rPr>
            </w:pPr>
            <w:r>
              <w:rPr>
                <w:rFonts w:ascii="Arial" w:cs="Arial" w:eastAsia="Arial" w:hAnsi="Arial"/>
                <w:sz w:val="20"/>
                <w:szCs w:val="20"/>
                <w:color w:val="3E3935"/>
                <w:w w:val="99"/>
              </w:rPr>
              <w:t>Honda Motor Co., Ltd.</w:t>
            </w:r>
          </w:p>
        </w:tc>
        <w:tc>
          <w:tcPr>
            <w:tcW w:w="3740" w:type="dxa"/>
            <w:vAlign w:val="bottom"/>
          </w:tcPr>
          <w:p>
            <w:pPr>
              <w:jc w:val="center"/>
              <w:ind w:left="1"/>
              <w:spacing w:after="0"/>
              <w:rPr>
                <w:sz w:val="20"/>
                <w:szCs w:val="20"/>
                <w:color w:val="auto"/>
              </w:rPr>
            </w:pPr>
            <w:r>
              <w:rPr>
                <w:rFonts w:ascii="Arial" w:cs="Arial" w:eastAsia="Arial" w:hAnsi="Arial"/>
                <w:sz w:val="20"/>
                <w:szCs w:val="20"/>
                <w:color w:val="3E3935"/>
                <w:w w:val="98"/>
              </w:rPr>
              <w:t>Renault SA</w:t>
            </w:r>
          </w:p>
        </w:tc>
        <w:tc>
          <w:tcPr>
            <w:tcW w:w="3320" w:type="dxa"/>
            <w:vAlign w:val="bottom"/>
          </w:tcPr>
          <w:p>
            <w:pPr>
              <w:jc w:val="center"/>
              <w:spacing w:after="0"/>
              <w:rPr>
                <w:sz w:val="20"/>
                <w:szCs w:val="20"/>
                <w:color w:val="auto"/>
              </w:rPr>
            </w:pPr>
            <w:r>
              <w:rPr>
                <w:rFonts w:ascii="Arial" w:cs="Arial" w:eastAsia="Arial" w:hAnsi="Arial"/>
                <w:sz w:val="20"/>
                <w:szCs w:val="20"/>
                <w:color w:val="3E3935"/>
                <w:w w:val="98"/>
              </w:rPr>
              <w:t>Toyota Motor Corporation</w:t>
            </w:r>
          </w:p>
        </w:tc>
      </w:tr>
      <w:tr>
        <w:trPr>
          <w:trHeight w:val="84"/>
        </w:trPr>
        <w:tc>
          <w:tcPr>
            <w:tcW w:w="3960" w:type="dxa"/>
            <w:vAlign w:val="bottom"/>
            <w:tcBorders>
              <w:bottom w:val="single" w:sz="8" w:color="3E3935"/>
            </w:tcBorders>
          </w:tcPr>
          <w:p>
            <w:pPr>
              <w:spacing w:after="0"/>
              <w:rPr>
                <w:sz w:val="7"/>
                <w:szCs w:val="7"/>
                <w:color w:val="auto"/>
              </w:rPr>
            </w:pPr>
          </w:p>
        </w:tc>
        <w:tc>
          <w:tcPr>
            <w:tcW w:w="3740" w:type="dxa"/>
            <w:vAlign w:val="bottom"/>
            <w:tcBorders>
              <w:bottom w:val="single" w:sz="8" w:color="3E3935"/>
            </w:tcBorders>
          </w:tcPr>
          <w:p>
            <w:pPr>
              <w:spacing w:after="0"/>
              <w:rPr>
                <w:sz w:val="7"/>
                <w:szCs w:val="7"/>
                <w:color w:val="auto"/>
              </w:rPr>
            </w:pPr>
          </w:p>
        </w:tc>
        <w:tc>
          <w:tcPr>
            <w:tcW w:w="3320" w:type="dxa"/>
            <w:vAlign w:val="bottom"/>
            <w:tcBorders>
              <w:bottom w:val="single" w:sz="8" w:color="3E3935"/>
            </w:tcBorders>
          </w:tcPr>
          <w:p>
            <w:pPr>
              <w:spacing w:after="0"/>
              <w:rPr>
                <w:sz w:val="7"/>
                <w:szCs w:val="7"/>
                <w:color w:val="auto"/>
              </w:rPr>
            </w:pPr>
          </w:p>
        </w:tc>
      </w:tr>
      <w:tr>
        <w:trPr>
          <w:trHeight w:val="341"/>
        </w:trPr>
        <w:tc>
          <w:tcPr>
            <w:tcW w:w="3960" w:type="dxa"/>
            <w:vAlign w:val="bottom"/>
          </w:tcPr>
          <w:p>
            <w:pPr>
              <w:jc w:val="center"/>
              <w:spacing w:after="0"/>
              <w:rPr>
                <w:sz w:val="20"/>
                <w:szCs w:val="20"/>
                <w:color w:val="auto"/>
              </w:rPr>
            </w:pPr>
            <w:r>
              <w:rPr>
                <w:rFonts w:ascii="Arial" w:cs="Arial" w:eastAsia="Arial" w:hAnsi="Arial"/>
                <w:sz w:val="20"/>
                <w:szCs w:val="20"/>
                <w:color w:val="3E3935"/>
                <w:w w:val="99"/>
              </w:rPr>
              <w:t>Hyundai Motor Company</w:t>
            </w:r>
          </w:p>
        </w:tc>
        <w:tc>
          <w:tcPr>
            <w:tcW w:w="3740" w:type="dxa"/>
            <w:vAlign w:val="bottom"/>
          </w:tcPr>
          <w:p>
            <w:pPr>
              <w:jc w:val="center"/>
              <w:ind w:left="1"/>
              <w:spacing w:after="0"/>
              <w:rPr>
                <w:sz w:val="20"/>
                <w:szCs w:val="20"/>
                <w:color w:val="auto"/>
              </w:rPr>
            </w:pPr>
            <w:r>
              <w:rPr>
                <w:rFonts w:ascii="Arial" w:cs="Arial" w:eastAsia="Arial" w:hAnsi="Arial"/>
                <w:sz w:val="20"/>
                <w:szCs w:val="20"/>
                <w:color w:val="3E3935"/>
                <w:w w:val="97"/>
              </w:rPr>
              <w:t>Stellantis NV</w:t>
            </w:r>
          </w:p>
        </w:tc>
        <w:tc>
          <w:tcPr>
            <w:tcW w:w="3320" w:type="dxa"/>
            <w:vAlign w:val="bottom"/>
          </w:tcPr>
          <w:p>
            <w:pPr>
              <w:jc w:val="center"/>
              <w:spacing w:after="0"/>
              <w:rPr>
                <w:sz w:val="20"/>
                <w:szCs w:val="20"/>
                <w:color w:val="auto"/>
              </w:rPr>
            </w:pPr>
            <w:r>
              <w:rPr>
                <w:rFonts w:ascii="Arial" w:cs="Arial" w:eastAsia="Arial" w:hAnsi="Arial"/>
                <w:sz w:val="20"/>
                <w:szCs w:val="20"/>
                <w:color w:val="3E3935"/>
                <w:w w:val="98"/>
              </w:rPr>
              <w:t>Volkswagen AG</w:t>
            </w:r>
          </w:p>
        </w:tc>
      </w:tr>
      <w:tr>
        <w:trPr>
          <w:trHeight w:val="84"/>
        </w:trPr>
        <w:tc>
          <w:tcPr>
            <w:tcW w:w="3960" w:type="dxa"/>
            <w:vAlign w:val="bottom"/>
            <w:tcBorders>
              <w:bottom w:val="single" w:sz="8" w:color="3E3935"/>
            </w:tcBorders>
          </w:tcPr>
          <w:p>
            <w:pPr>
              <w:spacing w:after="0"/>
              <w:rPr>
                <w:sz w:val="7"/>
                <w:szCs w:val="7"/>
                <w:color w:val="auto"/>
              </w:rPr>
            </w:pPr>
          </w:p>
        </w:tc>
        <w:tc>
          <w:tcPr>
            <w:tcW w:w="3740" w:type="dxa"/>
            <w:vAlign w:val="bottom"/>
            <w:tcBorders>
              <w:bottom w:val="single" w:sz="8" w:color="3E3935"/>
            </w:tcBorders>
          </w:tcPr>
          <w:p>
            <w:pPr>
              <w:spacing w:after="0"/>
              <w:rPr>
                <w:sz w:val="7"/>
                <w:szCs w:val="7"/>
                <w:color w:val="auto"/>
              </w:rPr>
            </w:pPr>
          </w:p>
        </w:tc>
        <w:tc>
          <w:tcPr>
            <w:tcW w:w="3320" w:type="dxa"/>
            <w:vAlign w:val="bottom"/>
            <w:tcBorders>
              <w:bottom w:val="single" w:sz="8" w:color="3E3935"/>
            </w:tcBorders>
          </w:tcPr>
          <w:p>
            <w:pPr>
              <w:spacing w:after="0"/>
              <w:rPr>
                <w:sz w:val="7"/>
                <w:szCs w:val="7"/>
                <w:color w:val="auto"/>
              </w:rPr>
            </w:pPr>
          </w:p>
        </w:tc>
      </w:tr>
      <w:tr>
        <w:trPr>
          <w:trHeight w:val="341"/>
        </w:trPr>
        <w:tc>
          <w:tcPr>
            <w:tcW w:w="3960" w:type="dxa"/>
            <w:vAlign w:val="bottom"/>
          </w:tcPr>
          <w:p>
            <w:pPr>
              <w:jc w:val="center"/>
              <w:spacing w:after="0"/>
              <w:rPr>
                <w:sz w:val="20"/>
                <w:szCs w:val="20"/>
                <w:color w:val="auto"/>
              </w:rPr>
            </w:pPr>
            <w:r>
              <w:rPr>
                <w:rFonts w:ascii="Arial" w:cs="Arial" w:eastAsia="Arial" w:hAnsi="Arial"/>
                <w:sz w:val="20"/>
                <w:szCs w:val="20"/>
                <w:color w:val="3E3935"/>
                <w:w w:val="97"/>
              </w:rPr>
              <w:t>Kia Corporation</w:t>
            </w:r>
          </w:p>
        </w:tc>
        <w:tc>
          <w:tcPr>
            <w:tcW w:w="3740" w:type="dxa"/>
            <w:vAlign w:val="bottom"/>
          </w:tcPr>
          <w:p>
            <w:pPr>
              <w:jc w:val="center"/>
              <w:ind w:left="1"/>
              <w:spacing w:after="0"/>
              <w:rPr>
                <w:sz w:val="20"/>
                <w:szCs w:val="20"/>
                <w:color w:val="auto"/>
              </w:rPr>
            </w:pPr>
            <w:r>
              <w:rPr>
                <w:rFonts w:ascii="Arial" w:cs="Arial" w:eastAsia="Arial" w:hAnsi="Arial"/>
                <w:sz w:val="20"/>
                <w:szCs w:val="20"/>
                <w:color w:val="3E3935"/>
                <w:w w:val="98"/>
              </w:rPr>
              <w:t>Subaru Corporation</w:t>
            </w:r>
          </w:p>
        </w:tc>
        <w:tc>
          <w:tcPr>
            <w:tcW w:w="33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53975</wp:posOffset>
            </wp:positionV>
            <wp:extent cx="6995160"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42" w:lineRule="exact"/>
        <w:rPr>
          <w:sz w:val="20"/>
          <w:szCs w:val="20"/>
          <w:color w:val="auto"/>
        </w:rPr>
      </w:pPr>
    </w:p>
    <w:p>
      <w:pPr>
        <w:ind w:left="540" w:right="20" w:hanging="424"/>
        <w:spacing w:after="0" w:line="258" w:lineRule="auto"/>
        <w:tabs>
          <w:tab w:leader="none" w:pos="540" w:val="left"/>
        </w:tabs>
        <w:numPr>
          <w:ilvl w:val="0"/>
          <w:numId w:val="80"/>
        </w:numPr>
        <w:rPr>
          <w:rFonts w:ascii="Arial" w:cs="Arial" w:eastAsia="Arial" w:hAnsi="Arial"/>
          <w:sz w:val="18"/>
          <w:szCs w:val="18"/>
          <w:i w:val="1"/>
          <w:iCs w:val="1"/>
          <w:color w:val="3E3935"/>
        </w:rPr>
      </w:pPr>
      <w:r>
        <w:rPr>
          <w:rFonts w:ascii="Arial" w:cs="Arial" w:eastAsia="Arial" w:hAnsi="Arial"/>
          <w:sz w:val="18"/>
          <w:szCs w:val="18"/>
          <w:i w:val="1"/>
          <w:iCs w:val="1"/>
          <w:color w:val="3E3935"/>
        </w:rPr>
        <w:t>GM is a member of the Dow Jones Automobiles &amp; Parts Titans 30 Index. Our performance is determined on a continuous ranking for performance relative to the OEM peer group.</w:t>
      </w:r>
    </w:p>
    <w:p>
      <w:pPr>
        <w:ind w:left="540" w:hanging="424"/>
        <w:spacing w:after="0"/>
        <w:tabs>
          <w:tab w:leader="none" w:pos="540" w:val="left"/>
        </w:tabs>
        <w:numPr>
          <w:ilvl w:val="0"/>
          <w:numId w:val="80"/>
        </w:numPr>
        <w:rPr>
          <w:rFonts w:ascii="Arial" w:cs="Arial" w:eastAsia="Arial" w:hAnsi="Arial"/>
          <w:sz w:val="18"/>
          <w:szCs w:val="18"/>
          <w:i w:val="1"/>
          <w:iCs w:val="1"/>
          <w:color w:val="3E3935"/>
        </w:rPr>
      </w:pPr>
      <w:r>
        <w:rPr>
          <w:rFonts w:ascii="Arial" w:cs="Arial" w:eastAsia="Arial" w:hAnsi="Arial"/>
          <w:sz w:val="18"/>
          <w:szCs w:val="18"/>
          <w:i w:val="1"/>
          <w:iCs w:val="1"/>
          <w:color w:val="3E3935"/>
        </w:rPr>
        <w:t>Daimler AG changed its name to Mercedes-Benz Group AG on February 1, 2022.</w:t>
      </w:r>
    </w:p>
    <w:p>
      <w:pPr>
        <w:spacing w:after="0" w:line="152" w:lineRule="exact"/>
        <w:rPr>
          <w:sz w:val="20"/>
          <w:szCs w:val="20"/>
          <w:color w:val="auto"/>
        </w:rPr>
      </w:pPr>
    </w:p>
    <w:p>
      <w:pPr>
        <w:ind w:left="120"/>
        <w:spacing w:after="0"/>
        <w:rPr>
          <w:sz w:val="20"/>
          <w:szCs w:val="20"/>
          <w:color w:val="auto"/>
        </w:rPr>
      </w:pPr>
      <w:r>
        <w:rPr>
          <w:rFonts w:ascii="Arial" w:cs="Arial" w:eastAsia="Arial" w:hAnsi="Arial"/>
          <w:sz w:val="14"/>
          <w:szCs w:val="14"/>
          <w:color w:val="0071CE"/>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wp:posOffset>
            </wp:positionH>
            <wp:positionV relativeFrom="paragraph">
              <wp:posOffset>-95885</wp:posOffset>
            </wp:positionV>
            <wp:extent cx="5983605" cy="10287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5983605" cy="102870"/>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ind w:left="660" w:hanging="544"/>
        <w:spacing w:after="0"/>
        <w:tabs>
          <w:tab w:leader="none" w:pos="660" w:val="left"/>
        </w:tabs>
        <w:numPr>
          <w:ilvl w:val="0"/>
          <w:numId w:val="81"/>
        </w:numPr>
        <w:rPr>
          <w:rFonts w:ascii="Times New Roman" w:cs="Times New Roman" w:eastAsia="Times New Roman" w:hAnsi="Times New Roman"/>
          <w:sz w:val="19"/>
          <w:szCs w:val="19"/>
          <w:color w:val="0071CE"/>
        </w:rPr>
      </w:pPr>
      <w:r>
        <w:rPr>
          <w:rFonts w:ascii="Arial" w:cs="Arial" w:eastAsia="Arial" w:hAnsi="Arial"/>
          <w:sz w:val="25"/>
          <w:szCs w:val="25"/>
          <w:color w:val="3E3935"/>
        </w:rPr>
        <w:t>Peer Group for Compensation Benchmarking</w:t>
      </w:r>
    </w:p>
    <w:p>
      <w:pPr>
        <w:spacing w:after="0" w:line="159" w:lineRule="exact"/>
        <w:rPr>
          <w:sz w:val="20"/>
          <w:szCs w:val="20"/>
          <w:color w:val="auto"/>
        </w:rPr>
      </w:pPr>
    </w:p>
    <w:p>
      <w:pPr>
        <w:jc w:val="both"/>
        <w:ind w:left="120" w:right="20"/>
        <w:spacing w:after="0" w:line="237" w:lineRule="auto"/>
        <w:rPr>
          <w:sz w:val="20"/>
          <w:szCs w:val="20"/>
          <w:color w:val="auto"/>
        </w:rPr>
      </w:pPr>
      <w:r>
        <w:rPr>
          <w:rFonts w:ascii="Arial" w:cs="Arial" w:eastAsia="Arial" w:hAnsi="Arial"/>
          <w:sz w:val="20"/>
          <w:szCs w:val="20"/>
          <w:color w:val="3E3935"/>
        </w:rPr>
        <w:t>The Compensation Committee annually reviews the peer group for compensation benchmarking comparisons and makes updates as needed to align with the established criteria and the Company’s strategy. We do not limit the peer group to our industry alone because we believe compensation practices for NEOs at other large U.S.-based multinational companies affect our ability to attract and retain diverse talent around the globe.</w:t>
      </w:r>
    </w:p>
    <w:p>
      <w:pPr>
        <w:spacing w:after="0" w:line="172" w:lineRule="exact"/>
        <w:rPr>
          <w:sz w:val="20"/>
          <w:szCs w:val="20"/>
          <w:color w:val="auto"/>
        </w:rPr>
      </w:pPr>
    </w:p>
    <w:p>
      <w:pPr>
        <w:jc w:val="both"/>
        <w:ind w:left="120" w:right="20"/>
        <w:spacing w:after="0" w:line="257" w:lineRule="auto"/>
        <w:rPr>
          <w:sz w:val="20"/>
          <w:szCs w:val="20"/>
          <w:color w:val="auto"/>
        </w:rPr>
      </w:pPr>
      <w:r>
        <w:rPr>
          <w:rFonts w:ascii="Arial" w:cs="Arial" w:eastAsia="Arial" w:hAnsi="Arial"/>
          <w:sz w:val="20"/>
          <w:szCs w:val="20"/>
          <w:color w:val="3E3935"/>
        </w:rPr>
        <w:t>The Compensation Committee considered the following factors when selecting the peer group used to inform 2022 target compensation levels for our NEOs: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129540</wp:posOffset>
            </wp:positionV>
            <wp:extent cx="5966460" cy="498919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5966460" cy="49891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660" w:hanging="544"/>
        <w:spacing w:after="0"/>
        <w:tabs>
          <w:tab w:leader="none" w:pos="660" w:val="left"/>
        </w:tabs>
        <w:numPr>
          <w:ilvl w:val="0"/>
          <w:numId w:val="82"/>
        </w:numPr>
        <w:rPr>
          <w:rFonts w:ascii="Times New Roman" w:cs="Times New Roman" w:eastAsia="Times New Roman" w:hAnsi="Times New Roman"/>
          <w:sz w:val="19"/>
          <w:szCs w:val="19"/>
          <w:color w:val="0071CE"/>
        </w:rPr>
      </w:pPr>
      <w:r>
        <w:rPr>
          <w:rFonts w:ascii="Arial" w:cs="Arial" w:eastAsia="Arial" w:hAnsi="Arial"/>
          <w:sz w:val="25"/>
          <w:szCs w:val="25"/>
          <w:color w:val="3E3935"/>
        </w:rPr>
        <w:t>How We Use Benchmarking Data to Assess Compensation</w:t>
      </w:r>
    </w:p>
    <w:p>
      <w:pPr>
        <w:spacing w:after="0" w:line="159" w:lineRule="exact"/>
        <w:rPr>
          <w:sz w:val="20"/>
          <w:szCs w:val="20"/>
          <w:color w:val="auto"/>
        </w:rPr>
      </w:pPr>
    </w:p>
    <w:p>
      <w:pPr>
        <w:jc w:val="both"/>
        <w:ind w:left="120"/>
        <w:spacing w:after="0" w:line="234" w:lineRule="auto"/>
        <w:rPr>
          <w:sz w:val="20"/>
          <w:szCs w:val="20"/>
          <w:color w:val="auto"/>
        </w:rPr>
      </w:pPr>
      <w:r>
        <w:rPr>
          <w:rFonts w:ascii="Arial" w:cs="Arial" w:eastAsia="Arial" w:hAnsi="Arial"/>
          <w:sz w:val="20"/>
          <w:szCs w:val="20"/>
          <w:color w:val="3E3935"/>
        </w:rPr>
        <w:t>We benchmark pay practices and compensation levels against the proxy statement disclosures of our peer group. In addition, we use executive compensation surveys and competitive data to benchmark executive positions and adjust this data to reflect GM’s size and market-expected compensation trends. Furthermore, the Compensation Committee reviews an analysis completed by its independent compensation consultant of the competitive position of each of our executives relative to its benchmark data.</w:t>
      </w:r>
    </w:p>
    <w:p>
      <w:pPr>
        <w:spacing w:after="0" w:line="120" w:lineRule="exact"/>
        <w:rPr>
          <w:sz w:val="20"/>
          <w:szCs w:val="20"/>
          <w:color w:val="auto"/>
        </w:rPr>
      </w:pPr>
    </w:p>
    <w:p>
      <w:pPr>
        <w:ind w:left="10660"/>
        <w:spacing w:after="0"/>
        <w:rPr>
          <w:sz w:val="20"/>
          <w:szCs w:val="20"/>
          <w:color w:val="auto"/>
        </w:rPr>
      </w:pPr>
      <w:r>
        <w:rPr>
          <w:rFonts w:ascii="Arial" w:cs="Arial" w:eastAsia="Arial" w:hAnsi="Arial"/>
          <w:sz w:val="14"/>
          <w:szCs w:val="14"/>
          <w:color w:val="0071CE"/>
        </w:rPr>
        <w:t>57</w:t>
      </w:r>
    </w:p>
    <w:p>
      <w:pPr>
        <w:sectPr>
          <w:pgSz w:w="11900" w:h="16838" w:orient="portrait"/>
          <w:cols w:equalWidth="0" w:num="1">
            <w:col w:w="11140"/>
          </w:cols>
          <w:pgMar w:left="320" w:top="482" w:right="4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6" w:lineRule="exact"/>
        <w:rPr>
          <w:sz w:val="20"/>
          <w:szCs w:val="20"/>
          <w:color w:val="auto"/>
        </w:rPr>
      </w:pPr>
    </w:p>
    <w:p>
      <w:pPr>
        <w:jc w:val="both"/>
        <w:ind w:left="120" w:right="20"/>
        <w:spacing w:after="0" w:line="237" w:lineRule="auto"/>
        <w:rPr>
          <w:sz w:val="20"/>
          <w:szCs w:val="20"/>
          <w:color w:val="auto"/>
        </w:rPr>
      </w:pPr>
      <w:r>
        <w:rPr>
          <w:rFonts w:ascii="Arial" w:cs="Arial" w:eastAsia="Arial" w:hAnsi="Arial"/>
          <w:sz w:val="20"/>
          <w:szCs w:val="20"/>
          <w:color w:val="3E3935"/>
        </w:rPr>
        <w:t>We review each element of total direct compensation (base salary, STIP, and LTIP) compared with the market. An individual element or an individual’s total direct compensation may be positioned above or below the market due to a variety of considerations, such as specific responsibilities, experience, and performance to attract and retain top talent needed to execute on our vision.</w:t>
      </w:r>
    </w:p>
    <w:p>
      <w:pPr>
        <w:spacing w:after="0" w:line="292" w:lineRule="exact"/>
        <w:rPr>
          <w:sz w:val="20"/>
          <w:szCs w:val="20"/>
          <w:color w:val="auto"/>
        </w:rPr>
      </w:pPr>
    </w:p>
    <w:p>
      <w:pPr>
        <w:ind w:left="660" w:hanging="544"/>
        <w:spacing w:after="0"/>
        <w:tabs>
          <w:tab w:leader="none" w:pos="660" w:val="left"/>
        </w:tabs>
        <w:numPr>
          <w:ilvl w:val="0"/>
          <w:numId w:val="83"/>
        </w:numPr>
        <w:rPr>
          <w:rFonts w:ascii="Times New Roman" w:cs="Times New Roman" w:eastAsia="Times New Roman" w:hAnsi="Times New Roman"/>
          <w:sz w:val="19"/>
          <w:szCs w:val="19"/>
          <w:color w:val="0071CE"/>
        </w:rPr>
      </w:pPr>
      <w:r>
        <w:rPr>
          <w:rFonts w:ascii="Arial" w:cs="Arial" w:eastAsia="Arial" w:hAnsi="Arial"/>
          <w:sz w:val="25"/>
          <w:szCs w:val="25"/>
          <w:color w:val="3E3935"/>
        </w:rPr>
        <w:t>How We Plan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1016635</wp:posOffset>
            </wp:positionH>
            <wp:positionV relativeFrom="paragraph">
              <wp:posOffset>174625</wp:posOffset>
            </wp:positionV>
            <wp:extent cx="5109210" cy="195453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5109210" cy="19545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660" w:hanging="544"/>
        <w:spacing w:after="0"/>
        <w:tabs>
          <w:tab w:leader="none" w:pos="660" w:val="left"/>
        </w:tabs>
        <w:numPr>
          <w:ilvl w:val="0"/>
          <w:numId w:val="84"/>
        </w:numPr>
        <w:rPr>
          <w:rFonts w:ascii="Times New Roman" w:cs="Times New Roman" w:eastAsia="Times New Roman" w:hAnsi="Times New Roman"/>
          <w:sz w:val="19"/>
          <w:szCs w:val="19"/>
          <w:color w:val="0071CE"/>
        </w:rPr>
      </w:pPr>
      <w:r>
        <w:rPr>
          <w:rFonts w:ascii="Arial" w:cs="Arial" w:eastAsia="Arial" w:hAnsi="Arial"/>
          <w:sz w:val="25"/>
          <w:szCs w:val="25"/>
          <w:color w:val="3E3935"/>
        </w:rPr>
        <w:t>Performance-Based Compensation Structure</w:t>
      </w:r>
    </w:p>
    <w:p>
      <w:pPr>
        <w:spacing w:after="0" w:line="159" w:lineRule="exact"/>
        <w:rPr>
          <w:sz w:val="20"/>
          <w:szCs w:val="20"/>
          <w:color w:val="auto"/>
        </w:rPr>
      </w:pPr>
    </w:p>
    <w:p>
      <w:pPr>
        <w:jc w:val="both"/>
        <w:ind w:left="120"/>
        <w:spacing w:after="0" w:line="234" w:lineRule="auto"/>
        <w:rPr>
          <w:sz w:val="20"/>
          <w:szCs w:val="20"/>
          <w:color w:val="auto"/>
        </w:rPr>
      </w:pPr>
      <w:r>
        <w:rPr>
          <w:rFonts w:ascii="Arial" w:cs="Arial" w:eastAsia="Arial" w:hAnsi="Arial"/>
          <w:sz w:val="20"/>
          <w:szCs w:val="20"/>
          <w:color w:val="3E3935"/>
        </w:rPr>
        <w:t>Our incentive plans are designed to optimize long-term financial returns for our shareholders and reward our NEOs for delivering on the Company’s strategy and vision of zero crashes, zero emissions, and zero congestion. The 2022 performance-based structure incorporated short-term and long-term incentives tied to financial and operational measures to drive Company performance for fiscal year 2022 and beyond. The Compensation Committee believes a majority of the compensation opportunity should be in the form of equity to align the interests of executives with those of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141605</wp:posOffset>
            </wp:positionV>
            <wp:extent cx="5803265" cy="282003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5803265" cy="28200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120"/>
        <w:spacing w:after="0"/>
        <w:rPr>
          <w:sz w:val="20"/>
          <w:szCs w:val="20"/>
          <w:color w:val="auto"/>
        </w:rPr>
      </w:pPr>
      <w:r>
        <w:rPr>
          <w:rFonts w:ascii="Arial" w:cs="Arial" w:eastAsia="Arial" w:hAnsi="Arial"/>
          <w:sz w:val="14"/>
          <w:szCs w:val="14"/>
          <w:color w:val="0071CE"/>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wp:posOffset>
            </wp:positionH>
            <wp:positionV relativeFrom="paragraph">
              <wp:posOffset>-95885</wp:posOffset>
            </wp:positionV>
            <wp:extent cx="5983605" cy="10287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5983605" cy="102870"/>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29"/>
          <w:szCs w:val="29"/>
          <w:color w:val="3E3935"/>
        </w:rPr>
        <w:t>Compensation Principles</w:t>
      </w:r>
    </w:p>
    <w:p>
      <w:pPr>
        <w:spacing w:after="0" w:line="217" w:lineRule="exact"/>
        <w:rPr>
          <w:sz w:val="20"/>
          <w:szCs w:val="20"/>
          <w:color w:val="auto"/>
        </w:rPr>
      </w:pPr>
    </w:p>
    <w:p>
      <w:pPr>
        <w:jc w:val="both"/>
        <w:ind w:left="120"/>
        <w:spacing w:after="0" w:line="257" w:lineRule="auto"/>
        <w:rPr>
          <w:sz w:val="20"/>
          <w:szCs w:val="20"/>
          <w:color w:val="auto"/>
        </w:rPr>
      </w:pPr>
      <w:r>
        <w:rPr>
          <w:rFonts w:ascii="Arial" w:cs="Arial" w:eastAsia="Arial" w:hAnsi="Arial"/>
          <w:sz w:val="20"/>
          <w:szCs w:val="20"/>
          <w:color w:val="3E3935"/>
        </w:rPr>
        <w:t>The compensation provided to our executives is guided by pay-for-performance and the following principles:</w:t>
      </w:r>
    </w:p>
    <w:p>
      <w:pPr>
        <w:spacing w:after="0" w:line="86" w:lineRule="exact"/>
        <w:rPr>
          <w:sz w:val="20"/>
          <w:szCs w:val="20"/>
          <w:color w:val="auto"/>
        </w:rPr>
      </w:pPr>
    </w:p>
    <w:p>
      <w:pPr>
        <w:jc w:val="both"/>
        <w:ind w:left="120"/>
        <w:spacing w:after="0" w:line="237" w:lineRule="auto"/>
        <w:rPr>
          <w:sz w:val="20"/>
          <w:szCs w:val="20"/>
          <w:color w:val="auto"/>
        </w:rPr>
      </w:pPr>
      <w:r>
        <w:rPr>
          <w:rFonts w:ascii="Arial" w:cs="Arial" w:eastAsia="Arial" w:hAnsi="Arial"/>
          <w:sz w:val="20"/>
          <w:szCs w:val="20"/>
          <w:b w:val="1"/>
          <w:bCs w:val="1"/>
          <w:color w:val="0071CE"/>
        </w:rPr>
        <w:t xml:space="preserve">Align with Shareholders </w:t>
      </w:r>
      <w:r>
        <w:rPr>
          <w:rFonts w:ascii="Arial" w:cs="Arial" w:eastAsia="Arial" w:hAnsi="Arial"/>
          <w:sz w:val="20"/>
          <w:szCs w:val="20"/>
          <w:color w:val="3E3935"/>
        </w:rPr>
        <w:t>– Compensation paid should</w:t>
      </w:r>
      <w:r>
        <w:rPr>
          <w:rFonts w:ascii="Arial" w:cs="Arial" w:eastAsia="Arial" w:hAnsi="Arial"/>
          <w:sz w:val="20"/>
          <w:szCs w:val="20"/>
          <w:b w:val="1"/>
          <w:bCs w:val="1"/>
          <w:color w:val="0071CE"/>
        </w:rPr>
        <w:t xml:space="preserve"> </w:t>
      </w:r>
      <w:r>
        <w:rPr>
          <w:rFonts w:ascii="Arial" w:cs="Arial" w:eastAsia="Arial" w:hAnsi="Arial"/>
          <w:sz w:val="20"/>
          <w:szCs w:val="20"/>
          <w:color w:val="3E3935"/>
        </w:rPr>
        <w:t>align directly with the long-term interests of our shareholders, and our executives should share with them in the performance and value of our common stock.</w:t>
      </w:r>
    </w:p>
    <w:p>
      <w:pPr>
        <w:spacing w:after="0" w:line="104" w:lineRule="exact"/>
        <w:rPr>
          <w:sz w:val="20"/>
          <w:szCs w:val="20"/>
          <w:color w:val="auto"/>
        </w:rPr>
      </w:pPr>
    </w:p>
    <w:p>
      <w:pPr>
        <w:jc w:val="both"/>
        <w:ind w:left="120"/>
        <w:spacing w:after="0" w:line="235" w:lineRule="auto"/>
        <w:rPr>
          <w:sz w:val="20"/>
          <w:szCs w:val="20"/>
          <w:color w:val="auto"/>
        </w:rPr>
      </w:pPr>
      <w:r>
        <w:rPr>
          <w:rFonts w:ascii="Arial" w:cs="Arial" w:eastAsia="Arial" w:hAnsi="Arial"/>
          <w:sz w:val="20"/>
          <w:szCs w:val="20"/>
          <w:b w:val="1"/>
          <w:bCs w:val="1"/>
          <w:color w:val="0071CE"/>
        </w:rPr>
        <w:t xml:space="preserve">Enable Company Strategy </w:t>
      </w:r>
      <w:r>
        <w:rPr>
          <w:rFonts w:ascii="Arial" w:cs="Arial" w:eastAsia="Arial" w:hAnsi="Arial"/>
          <w:sz w:val="20"/>
          <w:szCs w:val="20"/>
          <w:color w:val="3E3935"/>
        </w:rPr>
        <w:t>– Compensation should be</w:t>
      </w:r>
      <w:r>
        <w:rPr>
          <w:rFonts w:ascii="Arial" w:cs="Arial" w:eastAsia="Arial" w:hAnsi="Arial"/>
          <w:sz w:val="20"/>
          <w:szCs w:val="20"/>
          <w:b w:val="1"/>
          <w:bCs w:val="1"/>
          <w:color w:val="0071CE"/>
        </w:rPr>
        <w:t xml:space="preserve"> </w:t>
      </w:r>
      <w:r>
        <w:rPr>
          <w:rFonts w:ascii="Arial" w:cs="Arial" w:eastAsia="Arial" w:hAnsi="Arial"/>
          <w:sz w:val="20"/>
          <w:szCs w:val="20"/>
          <w:color w:val="3E3935"/>
        </w:rPr>
        <w:t>based on challenging Company performance and strategic goals, which are within our executives’ control, and reward performance aligned with GM’s strategy, values, and expected behaviors.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both"/>
        <w:spacing w:after="0" w:line="235" w:lineRule="auto"/>
        <w:rPr>
          <w:sz w:val="20"/>
          <w:szCs w:val="20"/>
          <w:color w:val="auto"/>
        </w:rPr>
      </w:pPr>
      <w:r>
        <w:rPr>
          <w:rFonts w:ascii="Arial" w:cs="Arial" w:eastAsia="Arial" w:hAnsi="Arial"/>
          <w:sz w:val="20"/>
          <w:szCs w:val="20"/>
          <w:b w:val="1"/>
          <w:bCs w:val="1"/>
          <w:color w:val="0071CE"/>
        </w:rPr>
        <w:t xml:space="preserve">Market-Competitive </w:t>
      </w:r>
      <w:r>
        <w:rPr>
          <w:rFonts w:ascii="Arial" w:cs="Arial" w:eastAsia="Arial" w:hAnsi="Arial"/>
          <w:sz w:val="20"/>
          <w:szCs w:val="20"/>
          <w:color w:val="3E3935"/>
        </w:rPr>
        <w:t>– Target compensation should have an</w:t>
      </w:r>
      <w:r>
        <w:rPr>
          <w:rFonts w:ascii="Arial" w:cs="Arial" w:eastAsia="Arial" w:hAnsi="Arial"/>
          <w:sz w:val="20"/>
          <w:szCs w:val="20"/>
          <w:b w:val="1"/>
          <w:bCs w:val="1"/>
          <w:color w:val="0071CE"/>
        </w:rPr>
        <w:t xml:space="preserve"> </w:t>
      </w:r>
      <w:r>
        <w:rPr>
          <w:rFonts w:ascii="Arial" w:cs="Arial" w:eastAsia="Arial" w:hAnsi="Arial"/>
          <w:sz w:val="20"/>
          <w:szCs w:val="20"/>
          <w:color w:val="3E3935"/>
        </w:rPr>
        <w:t>appropriate mix of short-term and long-term pay elements and should be competitive with that paid to individuals at peer group companies so that it attracts, motivates, and retains talent.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-3651885</wp:posOffset>
            </wp:positionH>
            <wp:positionV relativeFrom="paragraph">
              <wp:posOffset>-1599565</wp:posOffset>
            </wp:positionV>
            <wp:extent cx="7174865" cy="5588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p>
    <w:p>
      <w:pPr>
        <w:spacing w:after="0" w:line="83" w:lineRule="exact"/>
        <w:rPr>
          <w:sz w:val="20"/>
          <w:szCs w:val="20"/>
          <w:color w:val="auto"/>
        </w:rPr>
      </w:pPr>
    </w:p>
    <w:p>
      <w:pPr>
        <w:jc w:val="both"/>
        <w:ind w:right="20"/>
        <w:spacing w:after="0" w:line="242" w:lineRule="auto"/>
        <w:rPr>
          <w:sz w:val="20"/>
          <w:szCs w:val="20"/>
          <w:color w:val="auto"/>
        </w:rPr>
      </w:pPr>
      <w:r>
        <w:rPr>
          <w:rFonts w:ascii="Arial" w:cs="Arial" w:eastAsia="Arial" w:hAnsi="Arial"/>
          <w:sz w:val="20"/>
          <w:szCs w:val="20"/>
          <w:b w:val="1"/>
          <w:bCs w:val="1"/>
          <w:color w:val="0071CE"/>
        </w:rPr>
        <w:t xml:space="preserve">Avoid Excessive Risk-Taking </w:t>
      </w:r>
      <w:r>
        <w:rPr>
          <w:rFonts w:ascii="Arial" w:cs="Arial" w:eastAsia="Arial" w:hAnsi="Arial"/>
          <w:sz w:val="20"/>
          <w:szCs w:val="20"/>
          <w:color w:val="3E3935"/>
        </w:rPr>
        <w:t>– Compensation structure</w:t>
      </w:r>
      <w:r>
        <w:rPr>
          <w:rFonts w:ascii="Arial" w:cs="Arial" w:eastAsia="Arial" w:hAnsi="Arial"/>
          <w:sz w:val="20"/>
          <w:szCs w:val="20"/>
          <w:b w:val="1"/>
          <w:bCs w:val="1"/>
          <w:color w:val="0071CE"/>
        </w:rPr>
        <w:t xml:space="preserve"> </w:t>
      </w:r>
      <w:r>
        <w:rPr>
          <w:rFonts w:ascii="Arial" w:cs="Arial" w:eastAsia="Arial" w:hAnsi="Arial"/>
          <w:sz w:val="20"/>
          <w:szCs w:val="20"/>
          <w:color w:val="3E3935"/>
        </w:rPr>
        <w:t>should avoid incentivizing unnecessary and excessive risk-taking.</w:t>
      </w:r>
    </w:p>
    <w:p>
      <w:pPr>
        <w:spacing w:after="0" w:line="101" w:lineRule="exact"/>
        <w:rPr>
          <w:sz w:val="20"/>
          <w:szCs w:val="20"/>
          <w:color w:val="auto"/>
        </w:rPr>
      </w:pPr>
    </w:p>
    <w:p>
      <w:pPr>
        <w:jc w:val="both"/>
        <w:ind w:right="20"/>
        <w:spacing w:after="0" w:line="242" w:lineRule="auto"/>
        <w:rPr>
          <w:sz w:val="20"/>
          <w:szCs w:val="20"/>
          <w:color w:val="auto"/>
        </w:rPr>
      </w:pPr>
      <w:r>
        <w:rPr>
          <w:rFonts w:ascii="Arial" w:cs="Arial" w:eastAsia="Arial" w:hAnsi="Arial"/>
          <w:sz w:val="20"/>
          <w:szCs w:val="20"/>
          <w:b w:val="1"/>
          <w:bCs w:val="1"/>
          <w:color w:val="0071CE"/>
        </w:rPr>
        <w:t xml:space="preserve">Simple Design </w:t>
      </w:r>
      <w:r>
        <w:rPr>
          <w:rFonts w:ascii="Arial" w:cs="Arial" w:eastAsia="Arial" w:hAnsi="Arial"/>
          <w:sz w:val="20"/>
          <w:szCs w:val="20"/>
          <w:color w:val="3E3935"/>
        </w:rPr>
        <w:t>– Compensation plans should be easy to</w:t>
      </w:r>
      <w:r>
        <w:rPr>
          <w:rFonts w:ascii="Arial" w:cs="Arial" w:eastAsia="Arial" w:hAnsi="Arial"/>
          <w:sz w:val="20"/>
          <w:szCs w:val="20"/>
          <w:b w:val="1"/>
          <w:bCs w:val="1"/>
          <w:color w:val="0071CE"/>
        </w:rPr>
        <w:t xml:space="preserve"> </w:t>
      </w:r>
      <w:r>
        <w:rPr>
          <w:rFonts w:ascii="Arial" w:cs="Arial" w:eastAsia="Arial" w:hAnsi="Arial"/>
          <w:sz w:val="20"/>
          <w:szCs w:val="20"/>
          <w:color w:val="3E3935"/>
        </w:rPr>
        <w:t>understand and communicate, and minimize unintended consequences.</w:t>
      </w:r>
    </w:p>
    <w:p>
      <w:pPr>
        <w:spacing w:after="0" w:line="200" w:lineRule="exact"/>
        <w:rPr>
          <w:sz w:val="20"/>
          <w:szCs w:val="20"/>
          <w:color w:val="auto"/>
        </w:rPr>
      </w:pPr>
    </w:p>
    <w:p>
      <w:pPr>
        <w:sectPr>
          <w:pgSz w:w="11900" w:h="16838" w:orient="portrait"/>
          <w:cols w:equalWidth="0" w:num="2">
            <w:col w:w="5400" w:space="340"/>
            <w:col w:w="5400"/>
          </w:cols>
          <w:pgMar w:left="320" w:top="482" w:right="439" w:bottom="1440" w:gutter="0" w:footer="0" w:header="0"/>
        </w:sectPr>
      </w:pPr>
    </w:p>
    <w:p>
      <w:pPr>
        <w:spacing w:after="0" w:line="216" w:lineRule="exact"/>
        <w:rPr>
          <w:sz w:val="20"/>
          <w:szCs w:val="20"/>
          <w:color w:val="auto"/>
        </w:rPr>
      </w:pPr>
    </w:p>
    <w:p>
      <w:pPr>
        <w:ind w:left="120"/>
        <w:spacing w:after="0"/>
        <w:rPr>
          <w:sz w:val="20"/>
          <w:szCs w:val="20"/>
          <w:color w:val="auto"/>
        </w:rPr>
      </w:pPr>
      <w:r>
        <w:rPr>
          <w:rFonts w:ascii="Arial" w:cs="Arial" w:eastAsia="Arial" w:hAnsi="Arial"/>
          <w:sz w:val="29"/>
          <w:szCs w:val="29"/>
          <w:color w:val="3E3935"/>
        </w:rPr>
        <w:t>Compensation Elements</w:t>
      </w:r>
    </w:p>
    <w:p>
      <w:pPr>
        <w:spacing w:after="0" w:line="257" w:lineRule="exact"/>
        <w:rPr>
          <w:sz w:val="20"/>
          <w:szCs w:val="20"/>
          <w:color w:val="auto"/>
        </w:rPr>
      </w:pPr>
    </w:p>
    <w:p>
      <w:pPr>
        <w:ind w:left="660" w:hanging="544"/>
        <w:spacing w:after="0"/>
        <w:tabs>
          <w:tab w:leader="none" w:pos="660" w:val="left"/>
        </w:tabs>
        <w:numPr>
          <w:ilvl w:val="0"/>
          <w:numId w:val="85"/>
        </w:numPr>
        <w:rPr>
          <w:rFonts w:ascii="Times New Roman" w:cs="Times New Roman" w:eastAsia="Times New Roman" w:hAnsi="Times New Roman"/>
          <w:sz w:val="19"/>
          <w:szCs w:val="19"/>
          <w:color w:val="0071CE"/>
        </w:rPr>
      </w:pPr>
      <w:r>
        <w:rPr>
          <w:rFonts w:ascii="Arial" w:cs="Arial" w:eastAsia="Arial" w:hAnsi="Arial"/>
          <w:sz w:val="25"/>
          <w:szCs w:val="25"/>
          <w:color w:val="3E3935"/>
        </w:rPr>
        <w:t>Compensation Structure</w:t>
      </w:r>
    </w:p>
    <w:p>
      <w:pPr>
        <w:spacing w:after="0" w:line="159" w:lineRule="exact"/>
        <w:rPr>
          <w:sz w:val="20"/>
          <w:szCs w:val="20"/>
          <w:color w:val="auto"/>
        </w:rPr>
      </w:pPr>
    </w:p>
    <w:p>
      <w:pPr>
        <w:ind w:left="120"/>
        <w:spacing w:after="0"/>
        <w:rPr>
          <w:sz w:val="20"/>
          <w:szCs w:val="20"/>
          <w:color w:val="auto"/>
        </w:rPr>
      </w:pPr>
      <w:r>
        <w:rPr>
          <w:rFonts w:ascii="Arial" w:cs="Arial" w:eastAsia="Arial" w:hAnsi="Arial"/>
          <w:sz w:val="20"/>
          <w:szCs w:val="20"/>
          <w:color w:val="3E3935"/>
        </w:rPr>
        <w:t>The 2022 compensation structure is market-competitive and includes the following pay elements: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613410</wp:posOffset>
            </wp:positionH>
            <wp:positionV relativeFrom="paragraph">
              <wp:posOffset>159385</wp:posOffset>
            </wp:positionV>
            <wp:extent cx="5915025" cy="281178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5915025" cy="2811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540" w:hanging="424"/>
        <w:spacing w:after="0"/>
        <w:tabs>
          <w:tab w:leader="none" w:pos="540" w:val="left"/>
        </w:tabs>
        <w:numPr>
          <w:ilvl w:val="0"/>
          <w:numId w:val="86"/>
        </w:numPr>
        <w:rPr>
          <w:rFonts w:ascii="Arial" w:cs="Arial" w:eastAsia="Arial" w:hAnsi="Arial"/>
          <w:sz w:val="18"/>
          <w:szCs w:val="18"/>
          <w:i w:val="1"/>
          <w:iCs w:val="1"/>
          <w:color w:val="3E3935"/>
        </w:rPr>
      </w:pPr>
      <w:r>
        <w:rPr>
          <w:rFonts w:ascii="Arial" w:cs="Arial" w:eastAsia="Arial" w:hAnsi="Arial"/>
          <w:sz w:val="18"/>
          <w:szCs w:val="18"/>
          <w:i w:val="1"/>
          <w:iCs w:val="1"/>
          <w:color w:val="3E3935"/>
        </w:rPr>
        <w:t>EV Measures are comprised of GMNA EV Volume, GMNA EV Launch Timing, and GMNA EV Launch Quality (modifier).</w:t>
      </w:r>
    </w:p>
    <w:p>
      <w:pPr>
        <w:spacing w:after="0" w:line="76" w:lineRule="exact"/>
        <w:rPr>
          <w:rFonts w:ascii="Arial" w:cs="Arial" w:eastAsia="Arial" w:hAnsi="Arial"/>
          <w:sz w:val="18"/>
          <w:szCs w:val="18"/>
          <w:i w:val="1"/>
          <w:iCs w:val="1"/>
          <w:color w:val="3E3935"/>
        </w:rPr>
      </w:pPr>
    </w:p>
    <w:p>
      <w:pPr>
        <w:ind w:left="540" w:hanging="424"/>
        <w:spacing w:after="0"/>
        <w:tabs>
          <w:tab w:leader="none" w:pos="540" w:val="left"/>
        </w:tabs>
        <w:numPr>
          <w:ilvl w:val="0"/>
          <w:numId w:val="86"/>
        </w:numPr>
        <w:rPr>
          <w:rFonts w:ascii="Arial" w:cs="Arial" w:eastAsia="Arial" w:hAnsi="Arial"/>
          <w:sz w:val="18"/>
          <w:szCs w:val="18"/>
          <w:i w:val="1"/>
          <w:iCs w:val="1"/>
          <w:color w:val="3E3935"/>
        </w:rPr>
      </w:pPr>
      <w:r>
        <w:rPr>
          <w:rFonts w:ascii="Arial" w:cs="Arial" w:eastAsia="Arial" w:hAnsi="Arial"/>
          <w:sz w:val="18"/>
          <w:szCs w:val="18"/>
          <w:i w:val="1"/>
          <w:iCs w:val="1"/>
          <w:color w:val="3E3935"/>
        </w:rPr>
        <w:t>Relative TSR is capped at target if GM’s TSR is negative over the performance period.</w:t>
      </w:r>
    </w:p>
    <w:p>
      <w:pPr>
        <w:spacing w:after="0" w:line="152" w:lineRule="exact"/>
        <w:rPr>
          <w:sz w:val="20"/>
          <w:szCs w:val="20"/>
          <w:color w:val="auto"/>
        </w:rPr>
      </w:pPr>
    </w:p>
    <w:p>
      <w:pPr>
        <w:jc w:val="right"/>
        <w:ind w:right="320"/>
        <w:spacing w:after="0"/>
        <w:rPr>
          <w:sz w:val="20"/>
          <w:szCs w:val="20"/>
          <w:color w:val="auto"/>
        </w:rPr>
      </w:pPr>
      <w:r>
        <w:rPr>
          <w:rFonts w:ascii="Arial" w:cs="Arial" w:eastAsia="Arial" w:hAnsi="Arial"/>
          <w:sz w:val="14"/>
          <w:szCs w:val="14"/>
          <w:color w:val="0071CE"/>
        </w:rPr>
        <w:t>59</w:t>
      </w:r>
    </w:p>
    <w:p>
      <w:pPr>
        <w:sectPr>
          <w:pgSz w:w="11900" w:h="16838" w:orient="portrait"/>
          <w:cols w:equalWidth="0" w:num="1">
            <w:col w:w="11140"/>
          </w:cols>
          <w:pgMar w:left="320" w:top="482" w:right="439" w:bottom="1440" w:gutter="0" w:footer="0" w:header="0"/>
          <w:type w:val="continuous"/>
        </w:sectPr>
      </w:pPr>
    </w:p>
    <w:bookmarkStart w:id="65" w:name="page66"/>
    <w:bookmarkEnd w:id="6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ind w:left="660" w:hanging="544"/>
        <w:spacing w:after="0"/>
        <w:tabs>
          <w:tab w:leader="none" w:pos="660" w:val="left"/>
        </w:tabs>
        <w:numPr>
          <w:ilvl w:val="0"/>
          <w:numId w:val="87"/>
        </w:numPr>
        <w:rPr>
          <w:rFonts w:ascii="Times New Roman" w:cs="Times New Roman" w:eastAsia="Times New Roman" w:hAnsi="Times New Roman"/>
          <w:sz w:val="19"/>
          <w:szCs w:val="19"/>
          <w:color w:val="0071CE"/>
        </w:rPr>
      </w:pPr>
      <w:r>
        <w:rPr>
          <w:rFonts w:ascii="Arial" w:cs="Arial" w:eastAsia="Arial" w:hAnsi="Arial"/>
          <w:sz w:val="25"/>
          <w:szCs w:val="25"/>
          <w:color w:val="3E3935"/>
        </w:rPr>
        <w:t>Perquisites and Other Compensation</w:t>
      </w:r>
    </w:p>
    <w:p>
      <w:pPr>
        <w:spacing w:after="0" w:line="159" w:lineRule="exact"/>
        <w:rPr>
          <w:sz w:val="20"/>
          <w:szCs w:val="20"/>
          <w:color w:val="auto"/>
        </w:rPr>
      </w:pPr>
    </w:p>
    <w:p>
      <w:pPr>
        <w:jc w:val="both"/>
        <w:ind w:left="120" w:right="20"/>
        <w:spacing w:after="0" w:line="257" w:lineRule="auto"/>
        <w:rPr>
          <w:sz w:val="20"/>
          <w:szCs w:val="20"/>
          <w:color w:val="auto"/>
        </w:rPr>
      </w:pPr>
      <w:r>
        <w:rPr>
          <w:rFonts w:ascii="Arial" w:cs="Arial" w:eastAsia="Arial" w:hAnsi="Arial"/>
          <w:sz w:val="20"/>
          <w:szCs w:val="20"/>
          <w:color w:val="3E3935"/>
        </w:rPr>
        <w:t>We provide perquisites and other compensation to our NEOs consistent with market practices. The following perquisites and other compensation were provided in 2022:</w:t>
      </w:r>
    </w:p>
    <w:p>
      <w:pPr>
        <w:spacing w:after="0" w:line="86" w:lineRule="exact"/>
        <w:rPr>
          <w:sz w:val="20"/>
          <w:szCs w:val="20"/>
          <w:color w:val="auto"/>
        </w:rPr>
      </w:pPr>
    </w:p>
    <w:p>
      <w:pPr>
        <w:jc w:val="both"/>
        <w:ind w:left="120" w:right="20"/>
        <w:spacing w:after="0" w:line="230" w:lineRule="auto"/>
        <w:rPr>
          <w:sz w:val="20"/>
          <w:szCs w:val="20"/>
          <w:color w:val="auto"/>
        </w:rPr>
      </w:pPr>
      <w:r>
        <w:rPr>
          <w:rFonts w:ascii="Arial" w:cs="Arial" w:eastAsia="Arial" w:hAnsi="Arial"/>
          <w:sz w:val="20"/>
          <w:szCs w:val="20"/>
          <w:b w:val="1"/>
          <w:bCs w:val="1"/>
          <w:color w:val="0071CE"/>
        </w:rPr>
        <w:t xml:space="preserve">Personal Air Travel </w:t>
      </w:r>
      <w:r>
        <w:rPr>
          <w:rFonts w:ascii="Arial" w:cs="Arial" w:eastAsia="Arial" w:hAnsi="Arial"/>
          <w:sz w:val="20"/>
          <w:szCs w:val="20"/>
          <w:color w:val="3E3935"/>
        </w:rPr>
        <w:t>– Due to security reasons identified by an independent third-party security consultant, Company policy</w:t>
      </w:r>
      <w:r>
        <w:rPr>
          <w:rFonts w:ascii="Arial" w:cs="Arial" w:eastAsia="Arial" w:hAnsi="Arial"/>
          <w:sz w:val="20"/>
          <w:szCs w:val="20"/>
          <w:b w:val="1"/>
          <w:bCs w:val="1"/>
          <w:color w:val="0071CE"/>
        </w:rPr>
        <w:t xml:space="preserve"> </w:t>
      </w:r>
      <w:r>
        <w:rPr>
          <w:rFonts w:ascii="Arial" w:cs="Arial" w:eastAsia="Arial" w:hAnsi="Arial"/>
          <w:sz w:val="20"/>
          <w:szCs w:val="20"/>
          <w:color w:val="3E3935"/>
        </w:rPr>
        <w:t>prohibits Ms. Barra from using commercial air travel for business and personal use. As a result, the Company pays the costs associated with both business and personal use of aircraft. Other NEOs may travel on company aircraft in certain circumstances with prior approval from the CEO or the Senior Vice President and Chief People Officer. All NEOs, including our CEO, incur imputed income when aircraft is used for personal travel and do not receive any tax gross-up payments. Aircraft travel by NEOs for an annual executive physical through the Executive Physical Program is included under Personal Travel in the “Perquisites and Other Personal Benefits” table. NEOs may be eligible to reimburse for personal travel pursuant to time-sharing agreements that the Company may enter into from time-to-time, subject to Federal Aviation Administration regulations.</w:t>
      </w:r>
    </w:p>
    <w:p>
      <w:pPr>
        <w:spacing w:after="0" w:line="95" w:lineRule="exact"/>
        <w:rPr>
          <w:sz w:val="20"/>
          <w:szCs w:val="20"/>
          <w:color w:val="auto"/>
        </w:rPr>
      </w:pPr>
    </w:p>
    <w:p>
      <w:pPr>
        <w:jc w:val="both"/>
        <w:ind w:left="120"/>
        <w:spacing w:after="0" w:line="242" w:lineRule="auto"/>
        <w:rPr>
          <w:sz w:val="20"/>
          <w:szCs w:val="20"/>
          <w:color w:val="auto"/>
        </w:rPr>
      </w:pPr>
      <w:r>
        <w:rPr>
          <w:rFonts w:ascii="Arial" w:cs="Arial" w:eastAsia="Arial" w:hAnsi="Arial"/>
          <w:sz w:val="20"/>
          <w:szCs w:val="20"/>
          <w:b w:val="1"/>
          <w:bCs w:val="1"/>
          <w:color w:val="0071CE"/>
        </w:rPr>
        <w:t xml:space="preserve">Security </w:t>
      </w:r>
      <w:r>
        <w:rPr>
          <w:rFonts w:ascii="Arial" w:cs="Arial" w:eastAsia="Arial" w:hAnsi="Arial"/>
          <w:sz w:val="20"/>
          <w:szCs w:val="20"/>
          <w:color w:val="3E3935"/>
        </w:rPr>
        <w:t>– NEOs may receive security services, including home security systems and monitoring, for specific security-related</w:t>
      </w:r>
      <w:r>
        <w:rPr>
          <w:rFonts w:ascii="Arial" w:cs="Arial" w:eastAsia="Arial" w:hAnsi="Arial"/>
          <w:sz w:val="20"/>
          <w:szCs w:val="20"/>
          <w:b w:val="1"/>
          <w:bCs w:val="1"/>
          <w:color w:val="0071CE"/>
        </w:rPr>
        <w:t xml:space="preserve"> </w:t>
      </w:r>
      <w:r>
        <w:rPr>
          <w:rFonts w:ascii="Arial" w:cs="Arial" w:eastAsia="Arial" w:hAnsi="Arial"/>
          <w:sz w:val="20"/>
          <w:szCs w:val="20"/>
          <w:color w:val="3E3935"/>
        </w:rPr>
        <w:t>reasons identified by independent third-party security consultants. We maintain security staff to provide all employees with a safe and secure environment, which aligns to and reinforces our safety culture.</w:t>
      </w:r>
    </w:p>
    <w:p>
      <w:pPr>
        <w:spacing w:after="0" w:line="101" w:lineRule="exact"/>
        <w:rPr>
          <w:sz w:val="20"/>
          <w:szCs w:val="20"/>
          <w:color w:val="auto"/>
        </w:rPr>
      </w:pPr>
    </w:p>
    <w:p>
      <w:pPr>
        <w:jc w:val="both"/>
        <w:ind w:left="120" w:right="20"/>
        <w:spacing w:after="0" w:line="242" w:lineRule="auto"/>
        <w:rPr>
          <w:sz w:val="20"/>
          <w:szCs w:val="20"/>
          <w:color w:val="auto"/>
        </w:rPr>
      </w:pPr>
      <w:r>
        <w:rPr>
          <w:rFonts w:ascii="Arial" w:cs="Arial" w:eastAsia="Arial" w:hAnsi="Arial"/>
          <w:sz w:val="20"/>
          <w:szCs w:val="20"/>
          <w:b w:val="1"/>
          <w:bCs w:val="1"/>
          <w:color w:val="0071CE"/>
        </w:rPr>
        <w:t xml:space="preserve">Company Vehicle Programs </w:t>
      </w:r>
      <w:r>
        <w:rPr>
          <w:rFonts w:ascii="Arial" w:cs="Arial" w:eastAsia="Arial" w:hAnsi="Arial"/>
          <w:sz w:val="20"/>
          <w:szCs w:val="20"/>
          <w:color w:val="3E3935"/>
        </w:rPr>
        <w:t>– NEOs are eligible to participate in the Executive Company Vehicle Program and may use</w:t>
      </w:r>
      <w:r>
        <w:rPr>
          <w:rFonts w:ascii="Arial" w:cs="Arial" w:eastAsia="Arial" w:hAnsi="Arial"/>
          <w:sz w:val="20"/>
          <w:szCs w:val="20"/>
          <w:b w:val="1"/>
          <w:bCs w:val="1"/>
          <w:color w:val="0071CE"/>
        </w:rPr>
        <w:t xml:space="preserve"> </w:t>
      </w:r>
      <w:r>
        <w:rPr>
          <w:rFonts w:ascii="Arial" w:cs="Arial" w:eastAsia="Arial" w:hAnsi="Arial"/>
          <w:sz w:val="20"/>
          <w:szCs w:val="20"/>
          <w:color w:val="3E3935"/>
        </w:rPr>
        <w:t>evaluation vehicles for the purpose of providing feedback on Company products. In addition, NEOs are eligible to use driver services provided by the Company in accordance with Company policies.</w:t>
      </w:r>
    </w:p>
    <w:p>
      <w:pPr>
        <w:spacing w:after="0" w:line="101" w:lineRule="exact"/>
        <w:rPr>
          <w:sz w:val="20"/>
          <w:szCs w:val="20"/>
          <w:color w:val="auto"/>
        </w:rPr>
      </w:pPr>
    </w:p>
    <w:p>
      <w:pPr>
        <w:jc w:val="both"/>
        <w:ind w:left="120" w:right="20"/>
        <w:spacing w:after="0" w:line="233" w:lineRule="auto"/>
        <w:rPr>
          <w:sz w:val="20"/>
          <w:szCs w:val="20"/>
          <w:color w:val="auto"/>
        </w:rPr>
      </w:pPr>
      <w:r>
        <w:rPr>
          <w:rFonts w:ascii="Arial" w:cs="Arial" w:eastAsia="Arial" w:hAnsi="Arial"/>
          <w:sz w:val="20"/>
          <w:szCs w:val="20"/>
          <w:b w:val="1"/>
          <w:bCs w:val="1"/>
          <w:color w:val="0071CE"/>
        </w:rPr>
        <w:t xml:space="preserve">Executive Physicals </w:t>
      </w:r>
      <w:r>
        <w:rPr>
          <w:rFonts w:ascii="Arial" w:cs="Arial" w:eastAsia="Arial" w:hAnsi="Arial"/>
          <w:sz w:val="20"/>
          <w:szCs w:val="20"/>
          <w:color w:val="3E3935"/>
        </w:rPr>
        <w:t>– The health and wellness of our workforce is a priority, and all employees are encouraged to complete</w:t>
      </w:r>
      <w:r>
        <w:rPr>
          <w:rFonts w:ascii="Arial" w:cs="Arial" w:eastAsia="Arial" w:hAnsi="Arial"/>
          <w:sz w:val="20"/>
          <w:szCs w:val="20"/>
          <w:b w:val="1"/>
          <w:bCs w:val="1"/>
          <w:color w:val="0071CE"/>
        </w:rPr>
        <w:t xml:space="preserve"> </w:t>
      </w:r>
      <w:r>
        <w:rPr>
          <w:rFonts w:ascii="Arial" w:cs="Arial" w:eastAsia="Arial" w:hAnsi="Arial"/>
          <w:sz w:val="20"/>
          <w:szCs w:val="20"/>
          <w:color w:val="3E3935"/>
        </w:rPr>
        <w:t>an annual physical. NEOs are eligible to receive a comprehensive wellness examination with an approved provider. The cost of meals, lodging, and ground transportation for NEOs who traveled for an annual executive physical through the Executive Physical Program is included under Executive Physicals in the “Perquisites and Other Personal Benefits” table. These wellness visits promote employee well-being and enable employees to take appropriate steps in the event of illness or a medical condition that may impact their ability to perform their duties.</w:t>
      </w:r>
    </w:p>
    <w:p>
      <w:pPr>
        <w:spacing w:after="0" w:line="91" w:lineRule="exact"/>
        <w:rPr>
          <w:sz w:val="20"/>
          <w:szCs w:val="20"/>
          <w:color w:val="auto"/>
        </w:rPr>
      </w:pPr>
    </w:p>
    <w:p>
      <w:pPr>
        <w:jc w:val="both"/>
        <w:ind w:left="120" w:right="20"/>
        <w:spacing w:after="0" w:line="242" w:lineRule="auto"/>
        <w:rPr>
          <w:sz w:val="20"/>
          <w:szCs w:val="20"/>
          <w:color w:val="auto"/>
        </w:rPr>
      </w:pPr>
      <w:r>
        <w:rPr>
          <w:rFonts w:ascii="Arial" w:cs="Arial" w:eastAsia="Arial" w:hAnsi="Arial"/>
          <w:sz w:val="20"/>
          <w:szCs w:val="20"/>
          <w:b w:val="1"/>
          <w:bCs w:val="1"/>
          <w:color w:val="0071CE"/>
        </w:rPr>
        <w:t xml:space="preserve">Financial Counseling </w:t>
      </w:r>
      <w:r>
        <w:rPr>
          <w:rFonts w:ascii="Arial" w:cs="Arial" w:eastAsia="Arial" w:hAnsi="Arial"/>
          <w:sz w:val="20"/>
          <w:szCs w:val="20"/>
          <w:color w:val="3E3935"/>
        </w:rPr>
        <w:t>– NEOs are eligible to receive financial counseling, estate planning, and tax preparation services</w:t>
      </w:r>
      <w:r>
        <w:rPr>
          <w:rFonts w:ascii="Arial" w:cs="Arial" w:eastAsia="Arial" w:hAnsi="Arial"/>
          <w:sz w:val="20"/>
          <w:szCs w:val="20"/>
          <w:b w:val="1"/>
          <w:bCs w:val="1"/>
          <w:color w:val="0071CE"/>
        </w:rPr>
        <w:t xml:space="preserve"> </w:t>
      </w:r>
      <w:r>
        <w:rPr>
          <w:rFonts w:ascii="Arial" w:cs="Arial" w:eastAsia="Arial" w:hAnsi="Arial"/>
          <w:sz w:val="20"/>
          <w:szCs w:val="20"/>
          <w:color w:val="3E3935"/>
        </w:rPr>
        <w:t>through an approved provider. These services allow our NEOs to focus on Company business and ensure accurate personal tax reporting.</w:t>
      </w:r>
    </w:p>
    <w:p>
      <w:pPr>
        <w:spacing w:after="0" w:line="291" w:lineRule="exact"/>
        <w:rPr>
          <w:sz w:val="20"/>
          <w:szCs w:val="20"/>
          <w:color w:val="auto"/>
        </w:rPr>
      </w:pPr>
    </w:p>
    <w:p>
      <w:pPr>
        <w:ind w:left="660" w:hanging="544"/>
        <w:spacing w:after="0"/>
        <w:tabs>
          <w:tab w:leader="none" w:pos="660" w:val="left"/>
        </w:tabs>
        <w:numPr>
          <w:ilvl w:val="0"/>
          <w:numId w:val="88"/>
        </w:numPr>
        <w:rPr>
          <w:rFonts w:ascii="Times New Roman" w:cs="Times New Roman" w:eastAsia="Times New Roman" w:hAnsi="Times New Roman"/>
          <w:sz w:val="19"/>
          <w:szCs w:val="19"/>
          <w:color w:val="0071CE"/>
        </w:rPr>
      </w:pPr>
      <w:r>
        <w:rPr>
          <w:rFonts w:ascii="Arial" w:cs="Arial" w:eastAsia="Arial" w:hAnsi="Arial"/>
          <w:sz w:val="25"/>
          <w:szCs w:val="25"/>
          <w:color w:val="3E3935"/>
        </w:rPr>
        <w:t>2022 Target Compensation</w:t>
      </w:r>
    </w:p>
    <w:p>
      <w:pPr>
        <w:spacing w:after="0" w:line="159" w:lineRule="exact"/>
        <w:rPr>
          <w:sz w:val="20"/>
          <w:szCs w:val="20"/>
          <w:color w:val="auto"/>
        </w:rPr>
      </w:pPr>
    </w:p>
    <w:p>
      <w:pPr>
        <w:ind w:left="120"/>
        <w:spacing w:after="0"/>
        <w:rPr>
          <w:sz w:val="20"/>
          <w:szCs w:val="20"/>
          <w:color w:val="auto"/>
        </w:rPr>
      </w:pPr>
      <w:r>
        <w:rPr>
          <w:rFonts w:ascii="Arial" w:cs="Arial" w:eastAsia="Arial" w:hAnsi="Arial"/>
          <w:sz w:val="20"/>
          <w:szCs w:val="20"/>
          <w:color w:val="3E3935"/>
        </w:rPr>
        <w:t>Our total target direct compensation for each NEO in 2022 was as follows:</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248"/>
        </w:trPr>
        <w:tc>
          <w:tcPr>
            <w:tcW w:w="2200" w:type="dxa"/>
            <w:vAlign w:val="bottom"/>
            <w:tcBorders>
              <w:top w:val="single" w:sz="8" w:color="00C1DE"/>
            </w:tcBorders>
          </w:tcPr>
          <w:p>
            <w:pPr>
              <w:spacing w:after="0"/>
              <w:rPr>
                <w:sz w:val="21"/>
                <w:szCs w:val="21"/>
                <w:color w:val="auto"/>
              </w:rPr>
            </w:pPr>
          </w:p>
        </w:tc>
        <w:tc>
          <w:tcPr>
            <w:tcW w:w="1600" w:type="dxa"/>
            <w:vAlign w:val="bottom"/>
            <w:tcBorders>
              <w:top w:val="single" w:sz="8" w:color="00C1DE"/>
            </w:tcBorders>
          </w:tcPr>
          <w:p>
            <w:pPr>
              <w:spacing w:after="0"/>
              <w:rPr>
                <w:sz w:val="21"/>
                <w:szCs w:val="21"/>
                <w:color w:val="auto"/>
              </w:rPr>
            </w:pPr>
          </w:p>
        </w:tc>
        <w:tc>
          <w:tcPr>
            <w:tcW w:w="700" w:type="dxa"/>
            <w:vAlign w:val="bottom"/>
            <w:tcBorders>
              <w:top w:val="single" w:sz="8" w:color="00C1DE"/>
            </w:tcBorders>
          </w:tcPr>
          <w:p>
            <w:pPr>
              <w:spacing w:after="0"/>
              <w:rPr>
                <w:sz w:val="21"/>
                <w:szCs w:val="21"/>
                <w:color w:val="auto"/>
              </w:rPr>
            </w:pPr>
          </w:p>
        </w:tc>
        <w:tc>
          <w:tcPr>
            <w:tcW w:w="1000" w:type="dxa"/>
            <w:vAlign w:val="bottom"/>
            <w:tcBorders>
              <w:top w:val="single" w:sz="8" w:color="00C1DE"/>
            </w:tcBorders>
          </w:tcPr>
          <w:p>
            <w:pPr>
              <w:spacing w:after="0"/>
              <w:rPr>
                <w:sz w:val="21"/>
                <w:szCs w:val="21"/>
                <w:color w:val="auto"/>
              </w:rPr>
            </w:pPr>
          </w:p>
        </w:tc>
        <w:tc>
          <w:tcPr>
            <w:tcW w:w="1800" w:type="dxa"/>
            <w:vAlign w:val="bottom"/>
            <w:tcBorders>
              <w:top w:val="single" w:sz="8" w:color="00C1DE"/>
            </w:tcBorders>
          </w:tcPr>
          <w:p>
            <w:pPr>
              <w:spacing w:after="0"/>
              <w:rPr>
                <w:sz w:val="21"/>
                <w:szCs w:val="21"/>
                <w:color w:val="auto"/>
              </w:rPr>
            </w:pPr>
          </w:p>
        </w:tc>
        <w:tc>
          <w:tcPr>
            <w:tcW w:w="1260" w:type="dxa"/>
            <w:vAlign w:val="bottom"/>
            <w:tcBorders>
              <w:top w:val="single" w:sz="8" w:color="00C1DE"/>
            </w:tcBorders>
          </w:tcPr>
          <w:p>
            <w:pPr>
              <w:jc w:val="right"/>
              <w:spacing w:after="0"/>
              <w:rPr>
                <w:sz w:val="20"/>
                <w:szCs w:val="20"/>
                <w:color w:val="auto"/>
              </w:rPr>
            </w:pPr>
            <w:r>
              <w:rPr>
                <w:rFonts w:ascii="Arial" w:cs="Arial" w:eastAsia="Arial" w:hAnsi="Arial"/>
                <w:sz w:val="17"/>
                <w:szCs w:val="17"/>
                <w:b w:val="1"/>
                <w:bCs w:val="1"/>
                <w:color w:val="00C1DE"/>
              </w:rPr>
              <w:t>LTIP</w:t>
            </w:r>
          </w:p>
        </w:tc>
        <w:tc>
          <w:tcPr>
            <w:tcW w:w="860" w:type="dxa"/>
            <w:vAlign w:val="bottom"/>
            <w:tcBorders>
              <w:top w:val="single" w:sz="8" w:color="00C1DE"/>
            </w:tcBorders>
          </w:tcPr>
          <w:p>
            <w:pPr>
              <w:spacing w:after="0"/>
              <w:rPr>
                <w:sz w:val="21"/>
                <w:szCs w:val="21"/>
                <w:color w:val="auto"/>
              </w:rPr>
            </w:pPr>
          </w:p>
        </w:tc>
        <w:tc>
          <w:tcPr>
            <w:tcW w:w="1600" w:type="dxa"/>
            <w:vAlign w:val="bottom"/>
            <w:tcBorders>
              <w:top w:val="single" w:sz="8" w:color="00C1DE"/>
            </w:tcBorders>
          </w:tcPr>
          <w:p>
            <w:pPr>
              <w:spacing w:after="0"/>
              <w:rPr>
                <w:sz w:val="21"/>
                <w:szCs w:val="21"/>
                <w:color w:val="auto"/>
              </w:rPr>
            </w:pPr>
          </w:p>
        </w:tc>
        <w:tc>
          <w:tcPr>
            <w:tcW w:w="0" w:type="dxa"/>
            <w:vAlign w:val="bottom"/>
          </w:tcPr>
          <w:p>
            <w:pPr>
              <w:spacing w:after="0"/>
              <w:rPr>
                <w:sz w:val="1"/>
                <w:szCs w:val="1"/>
                <w:color w:val="auto"/>
              </w:rPr>
            </w:pPr>
          </w:p>
        </w:tc>
      </w:tr>
      <w:tr>
        <w:trPr>
          <w:trHeight w:val="49"/>
        </w:trPr>
        <w:tc>
          <w:tcPr>
            <w:tcW w:w="2200" w:type="dxa"/>
            <w:vAlign w:val="bottom"/>
          </w:tcPr>
          <w:p>
            <w:pPr>
              <w:spacing w:after="0"/>
              <w:rPr>
                <w:sz w:val="4"/>
                <w:szCs w:val="4"/>
                <w:color w:val="auto"/>
              </w:rPr>
            </w:pPr>
          </w:p>
        </w:tc>
        <w:tc>
          <w:tcPr>
            <w:tcW w:w="1600" w:type="dxa"/>
            <w:vAlign w:val="bottom"/>
          </w:tcPr>
          <w:p>
            <w:pPr>
              <w:spacing w:after="0"/>
              <w:rPr>
                <w:sz w:val="4"/>
                <w:szCs w:val="4"/>
                <w:color w:val="auto"/>
              </w:rPr>
            </w:pPr>
          </w:p>
        </w:tc>
        <w:tc>
          <w:tcPr>
            <w:tcW w:w="7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800" w:type="dxa"/>
            <w:vAlign w:val="bottom"/>
          </w:tcPr>
          <w:p>
            <w:pPr>
              <w:spacing w:after="0"/>
              <w:rPr>
                <w:sz w:val="4"/>
                <w:szCs w:val="4"/>
                <w:color w:val="auto"/>
              </w:rPr>
            </w:pPr>
          </w:p>
        </w:tc>
        <w:tc>
          <w:tcPr>
            <w:tcW w:w="1260" w:type="dxa"/>
            <w:vAlign w:val="bottom"/>
            <w:tcBorders>
              <w:bottom w:val="single" w:sz="8" w:color="00C1DE"/>
            </w:tcBorders>
          </w:tcPr>
          <w:p>
            <w:pPr>
              <w:spacing w:after="0"/>
              <w:rPr>
                <w:sz w:val="4"/>
                <w:szCs w:val="4"/>
                <w:color w:val="auto"/>
              </w:rPr>
            </w:pPr>
          </w:p>
        </w:tc>
        <w:tc>
          <w:tcPr>
            <w:tcW w:w="860" w:type="dxa"/>
            <w:vAlign w:val="bottom"/>
            <w:tcBorders>
              <w:bottom w:val="single" w:sz="8" w:color="00C1DE"/>
            </w:tcBorders>
          </w:tcPr>
          <w:p>
            <w:pPr>
              <w:spacing w:after="0"/>
              <w:rPr>
                <w:sz w:val="4"/>
                <w:szCs w:val="4"/>
                <w:color w:val="auto"/>
              </w:rPr>
            </w:pPr>
          </w:p>
        </w:tc>
        <w:tc>
          <w:tcPr>
            <w:tcW w:w="1600" w:type="dxa"/>
            <w:vAlign w:val="bottom"/>
            <w:vMerge w:val="restart"/>
          </w:tcPr>
          <w:p>
            <w:pPr>
              <w:jc w:val="right"/>
              <w:spacing w:after="0"/>
              <w:rPr>
                <w:sz w:val="20"/>
                <w:szCs w:val="20"/>
                <w:color w:val="auto"/>
              </w:rPr>
            </w:pPr>
            <w:r>
              <w:rPr>
                <w:rFonts w:ascii="Arial" w:cs="Arial" w:eastAsia="Arial" w:hAnsi="Arial"/>
                <w:sz w:val="17"/>
                <w:szCs w:val="17"/>
                <w:b w:val="1"/>
                <w:bCs w:val="1"/>
                <w:color w:val="00C1DE"/>
              </w:rPr>
              <w:t>Total Target</w:t>
            </w:r>
          </w:p>
        </w:tc>
        <w:tc>
          <w:tcPr>
            <w:tcW w:w="0" w:type="dxa"/>
            <w:vAlign w:val="bottom"/>
          </w:tcPr>
          <w:p>
            <w:pPr>
              <w:spacing w:after="0"/>
              <w:rPr>
                <w:sz w:val="1"/>
                <w:szCs w:val="1"/>
                <w:color w:val="auto"/>
              </w:rPr>
            </w:pPr>
          </w:p>
        </w:tc>
      </w:tr>
      <w:tr>
        <w:trPr>
          <w:trHeight w:val="160"/>
        </w:trPr>
        <w:tc>
          <w:tcPr>
            <w:tcW w:w="220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6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220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800" w:type="dxa"/>
            <w:vAlign w:val="bottom"/>
          </w:tcPr>
          <w:p>
            <w:pPr>
              <w:jc w:val="right"/>
              <w:ind w:right="232"/>
              <w:spacing w:after="0" w:line="189" w:lineRule="exact"/>
              <w:rPr>
                <w:sz w:val="20"/>
                <w:szCs w:val="20"/>
                <w:color w:val="auto"/>
              </w:rPr>
            </w:pPr>
            <w:r>
              <w:rPr>
                <w:rFonts w:ascii="Arial" w:cs="Arial" w:eastAsia="Arial" w:hAnsi="Arial"/>
                <w:sz w:val="17"/>
                <w:szCs w:val="17"/>
                <w:b w:val="1"/>
                <w:bCs w:val="1"/>
                <w:color w:val="00C1DE"/>
              </w:rPr>
              <w:t>Total Target Cash</w:t>
            </w:r>
          </w:p>
        </w:tc>
        <w:tc>
          <w:tcPr>
            <w:tcW w:w="1260" w:type="dxa"/>
            <w:vAlign w:val="bottom"/>
          </w:tcPr>
          <w:p>
            <w:pPr>
              <w:spacing w:after="0"/>
              <w:rPr>
                <w:sz w:val="16"/>
                <w:szCs w:val="16"/>
                <w:color w:val="auto"/>
              </w:rPr>
            </w:pPr>
          </w:p>
        </w:tc>
        <w:tc>
          <w:tcPr>
            <w:tcW w:w="860" w:type="dxa"/>
            <w:vAlign w:val="bottom"/>
          </w:tcPr>
          <w:p>
            <w:pPr>
              <w:jc w:val="right"/>
              <w:spacing w:after="0" w:line="189" w:lineRule="exact"/>
              <w:rPr>
                <w:sz w:val="20"/>
                <w:szCs w:val="20"/>
                <w:color w:val="auto"/>
              </w:rPr>
            </w:pPr>
            <w:r>
              <w:rPr>
                <w:rFonts w:ascii="Arial" w:cs="Arial" w:eastAsia="Arial" w:hAnsi="Arial"/>
                <w:sz w:val="17"/>
                <w:szCs w:val="17"/>
                <w:b w:val="1"/>
                <w:bCs w:val="1"/>
                <w:color w:val="00C1DE"/>
              </w:rPr>
              <w:t>Stock</w:t>
            </w:r>
          </w:p>
        </w:tc>
        <w:tc>
          <w:tcPr>
            <w:tcW w:w="1600" w:type="dxa"/>
            <w:vAlign w:val="bottom"/>
          </w:tcPr>
          <w:p>
            <w:pPr>
              <w:jc w:val="right"/>
              <w:spacing w:after="0" w:line="189" w:lineRule="exact"/>
              <w:rPr>
                <w:sz w:val="20"/>
                <w:szCs w:val="20"/>
                <w:color w:val="auto"/>
              </w:rPr>
            </w:pPr>
            <w:r>
              <w:rPr>
                <w:rFonts w:ascii="Arial" w:cs="Arial" w:eastAsia="Arial" w:hAnsi="Arial"/>
                <w:sz w:val="17"/>
                <w:szCs w:val="17"/>
                <w:b w:val="1"/>
                <w:bCs w:val="1"/>
                <w:color w:val="00C1DE"/>
              </w:rPr>
              <w:t>Direct</w:t>
            </w:r>
          </w:p>
        </w:tc>
        <w:tc>
          <w:tcPr>
            <w:tcW w:w="0" w:type="dxa"/>
            <w:vAlign w:val="bottom"/>
          </w:tcPr>
          <w:p>
            <w:pPr>
              <w:spacing w:after="0"/>
              <w:rPr>
                <w:sz w:val="1"/>
                <w:szCs w:val="1"/>
                <w:color w:val="auto"/>
              </w:rPr>
            </w:pPr>
          </w:p>
        </w:tc>
      </w:tr>
      <w:tr>
        <w:trPr>
          <w:trHeight w:val="189"/>
        </w:trPr>
        <w:tc>
          <w:tcPr>
            <w:tcW w:w="2200" w:type="dxa"/>
            <w:vAlign w:val="bottom"/>
          </w:tcPr>
          <w:p>
            <w:pPr>
              <w:spacing w:after="0"/>
              <w:rPr>
                <w:sz w:val="16"/>
                <w:szCs w:val="16"/>
                <w:color w:val="auto"/>
              </w:rPr>
            </w:pPr>
          </w:p>
        </w:tc>
        <w:tc>
          <w:tcPr>
            <w:tcW w:w="1600" w:type="dxa"/>
            <w:vAlign w:val="bottom"/>
          </w:tcPr>
          <w:p>
            <w:pPr>
              <w:jc w:val="right"/>
              <w:spacing w:after="0" w:line="189" w:lineRule="exact"/>
              <w:rPr>
                <w:sz w:val="20"/>
                <w:szCs w:val="20"/>
                <w:color w:val="auto"/>
              </w:rPr>
            </w:pPr>
            <w:r>
              <w:rPr>
                <w:rFonts w:ascii="Arial" w:cs="Arial" w:eastAsia="Arial" w:hAnsi="Arial"/>
                <w:sz w:val="17"/>
                <w:szCs w:val="17"/>
                <w:b w:val="1"/>
                <w:bCs w:val="1"/>
                <w:color w:val="00C1DE"/>
              </w:rPr>
              <w:t>Base Salary</w:t>
            </w:r>
          </w:p>
        </w:tc>
        <w:tc>
          <w:tcPr>
            <w:tcW w:w="700" w:type="dxa"/>
            <w:vAlign w:val="bottom"/>
          </w:tcPr>
          <w:p>
            <w:pPr>
              <w:jc w:val="right"/>
              <w:ind w:right="171"/>
              <w:spacing w:after="0" w:line="189" w:lineRule="exact"/>
              <w:rPr>
                <w:sz w:val="20"/>
                <w:szCs w:val="20"/>
                <w:color w:val="auto"/>
              </w:rPr>
            </w:pPr>
            <w:r>
              <w:rPr>
                <w:rFonts w:ascii="Arial" w:cs="Arial" w:eastAsia="Arial" w:hAnsi="Arial"/>
                <w:sz w:val="17"/>
                <w:szCs w:val="17"/>
                <w:b w:val="1"/>
                <w:bCs w:val="1"/>
                <w:color w:val="00C1DE"/>
              </w:rPr>
              <w:t>STIP</w:t>
            </w:r>
          </w:p>
        </w:tc>
        <w:tc>
          <w:tcPr>
            <w:tcW w:w="1000" w:type="dxa"/>
            <w:vAlign w:val="bottom"/>
          </w:tcPr>
          <w:p>
            <w:pPr>
              <w:jc w:val="right"/>
              <w:ind w:right="11"/>
              <w:spacing w:after="0" w:line="189" w:lineRule="exact"/>
              <w:rPr>
                <w:sz w:val="20"/>
                <w:szCs w:val="20"/>
                <w:color w:val="auto"/>
              </w:rPr>
            </w:pPr>
            <w:r>
              <w:rPr>
                <w:rFonts w:ascii="Arial" w:cs="Arial" w:eastAsia="Arial" w:hAnsi="Arial"/>
                <w:sz w:val="17"/>
                <w:szCs w:val="17"/>
                <w:b w:val="1"/>
                <w:bCs w:val="1"/>
                <w:color w:val="00C1DE"/>
              </w:rPr>
              <w:t>STIP</w:t>
            </w:r>
          </w:p>
        </w:tc>
        <w:tc>
          <w:tcPr>
            <w:tcW w:w="1800" w:type="dxa"/>
            <w:vAlign w:val="bottom"/>
          </w:tcPr>
          <w:p>
            <w:pPr>
              <w:jc w:val="right"/>
              <w:ind w:right="232"/>
              <w:spacing w:after="0" w:line="189" w:lineRule="exact"/>
              <w:rPr>
                <w:sz w:val="20"/>
                <w:szCs w:val="20"/>
                <w:color w:val="auto"/>
              </w:rPr>
            </w:pPr>
            <w:r>
              <w:rPr>
                <w:rFonts w:ascii="Arial" w:cs="Arial" w:eastAsia="Arial" w:hAnsi="Arial"/>
                <w:sz w:val="17"/>
                <w:szCs w:val="17"/>
                <w:b w:val="1"/>
                <w:bCs w:val="1"/>
                <w:color w:val="00C1DE"/>
              </w:rPr>
              <w:t>Compensation</w:t>
            </w:r>
          </w:p>
        </w:tc>
        <w:tc>
          <w:tcPr>
            <w:tcW w:w="1260" w:type="dxa"/>
            <w:vAlign w:val="bottom"/>
          </w:tcPr>
          <w:p>
            <w:pPr>
              <w:jc w:val="right"/>
              <w:ind w:right="112"/>
              <w:spacing w:after="0" w:line="189" w:lineRule="exact"/>
              <w:rPr>
                <w:sz w:val="20"/>
                <w:szCs w:val="20"/>
                <w:color w:val="auto"/>
              </w:rPr>
            </w:pPr>
            <w:r>
              <w:rPr>
                <w:rFonts w:ascii="Arial" w:cs="Arial" w:eastAsia="Arial" w:hAnsi="Arial"/>
                <w:sz w:val="17"/>
                <w:szCs w:val="17"/>
                <w:b w:val="1"/>
                <w:bCs w:val="1"/>
                <w:color w:val="00C1DE"/>
              </w:rPr>
              <w:t>PSUs</w:t>
            </w:r>
            <w:r>
              <w:rPr>
                <w:rFonts w:ascii="Arial" w:cs="Arial" w:eastAsia="Arial" w:hAnsi="Arial"/>
                <w:sz w:val="12"/>
                <w:szCs w:val="12"/>
                <w:b w:val="1"/>
                <w:bCs w:val="1"/>
                <w:color w:val="00C1DE"/>
              </w:rPr>
              <w:t>(1)</w:t>
            </w:r>
          </w:p>
        </w:tc>
        <w:tc>
          <w:tcPr>
            <w:tcW w:w="860" w:type="dxa"/>
            <w:vAlign w:val="bottom"/>
          </w:tcPr>
          <w:p>
            <w:pPr>
              <w:jc w:val="right"/>
              <w:spacing w:after="0" w:line="189" w:lineRule="exact"/>
              <w:rPr>
                <w:sz w:val="20"/>
                <w:szCs w:val="20"/>
                <w:color w:val="auto"/>
              </w:rPr>
            </w:pPr>
            <w:r>
              <w:rPr>
                <w:rFonts w:ascii="Arial" w:cs="Arial" w:eastAsia="Arial" w:hAnsi="Arial"/>
                <w:sz w:val="17"/>
                <w:szCs w:val="17"/>
                <w:b w:val="1"/>
                <w:bCs w:val="1"/>
                <w:color w:val="00C1DE"/>
              </w:rPr>
              <w:t>Options</w:t>
            </w:r>
          </w:p>
        </w:tc>
        <w:tc>
          <w:tcPr>
            <w:tcW w:w="1600" w:type="dxa"/>
            <w:vAlign w:val="bottom"/>
          </w:tcPr>
          <w:p>
            <w:pPr>
              <w:jc w:val="right"/>
              <w:spacing w:after="0" w:line="189" w:lineRule="exact"/>
              <w:rPr>
                <w:sz w:val="20"/>
                <w:szCs w:val="20"/>
                <w:color w:val="auto"/>
              </w:rPr>
            </w:pPr>
            <w:r>
              <w:rPr>
                <w:rFonts w:ascii="Arial" w:cs="Arial" w:eastAsia="Arial" w:hAnsi="Arial"/>
                <w:sz w:val="17"/>
                <w:szCs w:val="17"/>
                <w:b w:val="1"/>
                <w:bCs w:val="1"/>
                <w:color w:val="00C1DE"/>
              </w:rPr>
              <w:t>Compensation</w:t>
            </w:r>
          </w:p>
        </w:tc>
        <w:tc>
          <w:tcPr>
            <w:tcW w:w="0" w:type="dxa"/>
            <w:vAlign w:val="bottom"/>
          </w:tcPr>
          <w:p>
            <w:pPr>
              <w:spacing w:after="0"/>
              <w:rPr>
                <w:sz w:val="1"/>
                <w:szCs w:val="1"/>
                <w:color w:val="auto"/>
              </w:rPr>
            </w:pPr>
          </w:p>
        </w:tc>
      </w:tr>
      <w:tr>
        <w:trPr>
          <w:trHeight w:val="235"/>
        </w:trPr>
        <w:tc>
          <w:tcPr>
            <w:tcW w:w="2200" w:type="dxa"/>
            <w:vAlign w:val="bottom"/>
          </w:tcPr>
          <w:p>
            <w:pPr>
              <w:ind w:left="60"/>
              <w:spacing w:after="0"/>
              <w:rPr>
                <w:sz w:val="20"/>
                <w:szCs w:val="20"/>
                <w:color w:val="auto"/>
              </w:rPr>
            </w:pPr>
            <w:r>
              <w:rPr>
                <w:rFonts w:ascii="Arial" w:cs="Arial" w:eastAsia="Arial" w:hAnsi="Arial"/>
                <w:sz w:val="17"/>
                <w:szCs w:val="17"/>
                <w:b w:val="1"/>
                <w:bCs w:val="1"/>
                <w:color w:val="00C1DE"/>
              </w:rPr>
              <w:t>Name</w:t>
            </w:r>
          </w:p>
        </w:tc>
        <w:tc>
          <w:tcPr>
            <w:tcW w:w="1600" w:type="dxa"/>
            <w:vAlign w:val="bottom"/>
          </w:tcPr>
          <w:p>
            <w:pPr>
              <w:jc w:val="right"/>
              <w:spacing w:after="0"/>
              <w:rPr>
                <w:sz w:val="20"/>
                <w:szCs w:val="20"/>
                <w:color w:val="auto"/>
              </w:rPr>
            </w:pPr>
            <w:r>
              <w:rPr>
                <w:rFonts w:ascii="Arial" w:cs="Arial" w:eastAsia="Arial" w:hAnsi="Arial"/>
                <w:sz w:val="17"/>
                <w:szCs w:val="17"/>
                <w:b w:val="1"/>
                <w:bCs w:val="1"/>
                <w:color w:val="00C1DE"/>
              </w:rPr>
              <w:t>($)</w:t>
            </w:r>
          </w:p>
        </w:tc>
        <w:tc>
          <w:tcPr>
            <w:tcW w:w="700" w:type="dxa"/>
            <w:vAlign w:val="bottom"/>
          </w:tcPr>
          <w:p>
            <w:pPr>
              <w:jc w:val="right"/>
              <w:ind w:right="171"/>
              <w:spacing w:after="0"/>
              <w:rPr>
                <w:sz w:val="20"/>
                <w:szCs w:val="20"/>
                <w:color w:val="auto"/>
              </w:rPr>
            </w:pPr>
            <w:r>
              <w:rPr>
                <w:rFonts w:ascii="Arial" w:cs="Arial" w:eastAsia="Arial" w:hAnsi="Arial"/>
                <w:sz w:val="17"/>
                <w:szCs w:val="17"/>
                <w:b w:val="1"/>
                <w:bCs w:val="1"/>
                <w:color w:val="00C1DE"/>
              </w:rPr>
              <w:t>(%)</w:t>
            </w:r>
          </w:p>
        </w:tc>
        <w:tc>
          <w:tcPr>
            <w:tcW w:w="1000" w:type="dxa"/>
            <w:vAlign w:val="bottom"/>
          </w:tcPr>
          <w:p>
            <w:pPr>
              <w:jc w:val="right"/>
              <w:ind w:right="11"/>
              <w:spacing w:after="0"/>
              <w:rPr>
                <w:sz w:val="20"/>
                <w:szCs w:val="20"/>
                <w:color w:val="auto"/>
              </w:rPr>
            </w:pPr>
            <w:r>
              <w:rPr>
                <w:rFonts w:ascii="Arial" w:cs="Arial" w:eastAsia="Arial" w:hAnsi="Arial"/>
                <w:sz w:val="17"/>
                <w:szCs w:val="17"/>
                <w:b w:val="1"/>
                <w:bCs w:val="1"/>
                <w:color w:val="00C1DE"/>
              </w:rPr>
              <w:t>($)</w:t>
            </w:r>
          </w:p>
        </w:tc>
        <w:tc>
          <w:tcPr>
            <w:tcW w:w="1800" w:type="dxa"/>
            <w:vAlign w:val="bottom"/>
          </w:tcPr>
          <w:p>
            <w:pPr>
              <w:jc w:val="right"/>
              <w:ind w:right="232"/>
              <w:spacing w:after="0"/>
              <w:rPr>
                <w:sz w:val="20"/>
                <w:szCs w:val="20"/>
                <w:color w:val="auto"/>
              </w:rPr>
            </w:pPr>
            <w:r>
              <w:rPr>
                <w:rFonts w:ascii="Arial" w:cs="Arial" w:eastAsia="Arial" w:hAnsi="Arial"/>
                <w:sz w:val="17"/>
                <w:szCs w:val="17"/>
                <w:b w:val="1"/>
                <w:bCs w:val="1"/>
                <w:color w:val="00C1DE"/>
              </w:rPr>
              <w:t>($)</w:t>
            </w:r>
          </w:p>
        </w:tc>
        <w:tc>
          <w:tcPr>
            <w:tcW w:w="1260" w:type="dxa"/>
            <w:vAlign w:val="bottom"/>
          </w:tcPr>
          <w:p>
            <w:pPr>
              <w:jc w:val="right"/>
              <w:ind w:right="112"/>
              <w:spacing w:after="0"/>
              <w:rPr>
                <w:sz w:val="20"/>
                <w:szCs w:val="20"/>
                <w:color w:val="auto"/>
              </w:rPr>
            </w:pPr>
            <w:r>
              <w:rPr>
                <w:rFonts w:ascii="Arial" w:cs="Arial" w:eastAsia="Arial" w:hAnsi="Arial"/>
                <w:sz w:val="17"/>
                <w:szCs w:val="17"/>
                <w:b w:val="1"/>
                <w:bCs w:val="1"/>
                <w:color w:val="00C1DE"/>
              </w:rPr>
              <w:t>($)</w:t>
            </w:r>
          </w:p>
        </w:tc>
        <w:tc>
          <w:tcPr>
            <w:tcW w:w="860" w:type="dxa"/>
            <w:vAlign w:val="bottom"/>
          </w:tcPr>
          <w:p>
            <w:pPr>
              <w:jc w:val="right"/>
              <w:spacing w:after="0"/>
              <w:rPr>
                <w:sz w:val="20"/>
                <w:szCs w:val="20"/>
                <w:color w:val="auto"/>
              </w:rPr>
            </w:pPr>
            <w:r>
              <w:rPr>
                <w:rFonts w:ascii="Arial" w:cs="Arial" w:eastAsia="Arial" w:hAnsi="Arial"/>
                <w:sz w:val="17"/>
                <w:szCs w:val="17"/>
                <w:b w:val="1"/>
                <w:bCs w:val="1"/>
                <w:color w:val="00C1DE"/>
              </w:rPr>
              <w:t>($)</w:t>
            </w:r>
          </w:p>
        </w:tc>
        <w:tc>
          <w:tcPr>
            <w:tcW w:w="1600" w:type="dxa"/>
            <w:vAlign w:val="bottom"/>
          </w:tcPr>
          <w:p>
            <w:pPr>
              <w:jc w:val="right"/>
              <w:spacing w:after="0"/>
              <w:rPr>
                <w:sz w:val="20"/>
                <w:szCs w:val="20"/>
                <w:color w:val="auto"/>
              </w:rPr>
            </w:pPr>
            <w:r>
              <w:rPr>
                <w:rFonts w:ascii="Arial" w:cs="Arial" w:eastAsia="Arial" w:hAnsi="Arial"/>
                <w:sz w:val="17"/>
                <w:szCs w:val="17"/>
                <w:b w:val="1"/>
                <w:bCs w:val="1"/>
                <w:color w:val="00C1DE"/>
              </w:rPr>
              <w:t>($)</w:t>
            </w:r>
          </w:p>
        </w:tc>
        <w:tc>
          <w:tcPr>
            <w:tcW w:w="0" w:type="dxa"/>
            <w:vAlign w:val="bottom"/>
          </w:tcPr>
          <w:p>
            <w:pPr>
              <w:spacing w:after="0"/>
              <w:rPr>
                <w:sz w:val="1"/>
                <w:szCs w:val="1"/>
                <w:color w:val="auto"/>
              </w:rPr>
            </w:pPr>
          </w:p>
        </w:tc>
      </w:tr>
      <w:tr>
        <w:trPr>
          <w:trHeight w:val="58"/>
        </w:trPr>
        <w:tc>
          <w:tcPr>
            <w:tcW w:w="2200" w:type="dxa"/>
            <w:vAlign w:val="bottom"/>
            <w:tcBorders>
              <w:bottom w:val="single" w:sz="8" w:color="00C1DE"/>
            </w:tcBorders>
          </w:tcPr>
          <w:p>
            <w:pPr>
              <w:spacing w:after="0"/>
              <w:rPr>
                <w:sz w:val="5"/>
                <w:szCs w:val="5"/>
                <w:color w:val="auto"/>
              </w:rPr>
            </w:pPr>
          </w:p>
        </w:tc>
        <w:tc>
          <w:tcPr>
            <w:tcW w:w="1600" w:type="dxa"/>
            <w:vAlign w:val="bottom"/>
            <w:tcBorders>
              <w:bottom w:val="single" w:sz="8" w:color="00C1DE"/>
            </w:tcBorders>
          </w:tcPr>
          <w:p>
            <w:pPr>
              <w:spacing w:after="0"/>
              <w:rPr>
                <w:sz w:val="5"/>
                <w:szCs w:val="5"/>
                <w:color w:val="auto"/>
              </w:rPr>
            </w:pPr>
          </w:p>
        </w:tc>
        <w:tc>
          <w:tcPr>
            <w:tcW w:w="700" w:type="dxa"/>
            <w:vAlign w:val="bottom"/>
            <w:tcBorders>
              <w:bottom w:val="single" w:sz="8" w:color="00C1DE"/>
            </w:tcBorders>
          </w:tcPr>
          <w:p>
            <w:pPr>
              <w:spacing w:after="0"/>
              <w:rPr>
                <w:sz w:val="5"/>
                <w:szCs w:val="5"/>
                <w:color w:val="auto"/>
              </w:rPr>
            </w:pPr>
          </w:p>
        </w:tc>
        <w:tc>
          <w:tcPr>
            <w:tcW w:w="1000" w:type="dxa"/>
            <w:vAlign w:val="bottom"/>
            <w:tcBorders>
              <w:bottom w:val="single" w:sz="8" w:color="00C1DE"/>
            </w:tcBorders>
          </w:tcPr>
          <w:p>
            <w:pPr>
              <w:spacing w:after="0"/>
              <w:rPr>
                <w:sz w:val="5"/>
                <w:szCs w:val="5"/>
                <w:color w:val="auto"/>
              </w:rPr>
            </w:pPr>
          </w:p>
        </w:tc>
        <w:tc>
          <w:tcPr>
            <w:tcW w:w="1800" w:type="dxa"/>
            <w:vAlign w:val="bottom"/>
            <w:tcBorders>
              <w:bottom w:val="single" w:sz="8" w:color="00C1DE"/>
            </w:tcBorders>
          </w:tcPr>
          <w:p>
            <w:pPr>
              <w:spacing w:after="0"/>
              <w:rPr>
                <w:sz w:val="5"/>
                <w:szCs w:val="5"/>
                <w:color w:val="auto"/>
              </w:rPr>
            </w:pPr>
          </w:p>
        </w:tc>
        <w:tc>
          <w:tcPr>
            <w:tcW w:w="1260" w:type="dxa"/>
            <w:vAlign w:val="bottom"/>
            <w:tcBorders>
              <w:bottom w:val="single" w:sz="8" w:color="00C1DE"/>
            </w:tcBorders>
          </w:tcPr>
          <w:p>
            <w:pPr>
              <w:spacing w:after="0"/>
              <w:rPr>
                <w:sz w:val="5"/>
                <w:szCs w:val="5"/>
                <w:color w:val="auto"/>
              </w:rPr>
            </w:pPr>
          </w:p>
        </w:tc>
        <w:tc>
          <w:tcPr>
            <w:tcW w:w="860" w:type="dxa"/>
            <w:vAlign w:val="bottom"/>
            <w:tcBorders>
              <w:bottom w:val="single" w:sz="8" w:color="00C1DE"/>
            </w:tcBorders>
          </w:tcPr>
          <w:p>
            <w:pPr>
              <w:spacing w:after="0"/>
              <w:rPr>
                <w:sz w:val="5"/>
                <w:szCs w:val="5"/>
                <w:color w:val="auto"/>
              </w:rPr>
            </w:pPr>
          </w:p>
        </w:tc>
        <w:tc>
          <w:tcPr>
            <w:tcW w:w="1600" w:type="dxa"/>
            <w:vAlign w:val="bottom"/>
            <w:tcBorders>
              <w:bottom w:val="single" w:sz="8" w:color="00C1DE"/>
            </w:tcBorders>
          </w:tcPr>
          <w:p>
            <w:pPr>
              <w:spacing w:after="0"/>
              <w:rPr>
                <w:sz w:val="5"/>
                <w:szCs w:val="5"/>
                <w:color w:val="auto"/>
              </w:rPr>
            </w:pPr>
          </w:p>
        </w:tc>
        <w:tc>
          <w:tcPr>
            <w:tcW w:w="0" w:type="dxa"/>
            <w:vAlign w:val="bottom"/>
          </w:tcPr>
          <w:p>
            <w:pPr>
              <w:spacing w:after="0"/>
              <w:rPr>
                <w:sz w:val="1"/>
                <w:szCs w:val="1"/>
                <w:color w:val="auto"/>
              </w:rPr>
            </w:pPr>
          </w:p>
        </w:tc>
      </w:tr>
      <w:tr>
        <w:trPr>
          <w:trHeight w:val="289"/>
        </w:trPr>
        <w:tc>
          <w:tcPr>
            <w:tcW w:w="2200" w:type="dxa"/>
            <w:vAlign w:val="bottom"/>
          </w:tcPr>
          <w:p>
            <w:pPr>
              <w:ind w:left="80"/>
              <w:spacing w:after="0"/>
              <w:rPr>
                <w:sz w:val="20"/>
                <w:szCs w:val="20"/>
                <w:color w:val="auto"/>
              </w:rPr>
            </w:pPr>
            <w:r>
              <w:rPr>
                <w:rFonts w:ascii="Arial" w:cs="Arial" w:eastAsia="Arial" w:hAnsi="Arial"/>
                <w:sz w:val="18"/>
                <w:szCs w:val="18"/>
                <w:color w:val="3E3935"/>
              </w:rPr>
              <w:t>Mary T. Barra</w:t>
            </w:r>
          </w:p>
        </w:tc>
        <w:tc>
          <w:tcPr>
            <w:tcW w:w="1600" w:type="dxa"/>
            <w:vAlign w:val="bottom"/>
          </w:tcPr>
          <w:p>
            <w:pPr>
              <w:jc w:val="right"/>
              <w:spacing w:after="0"/>
              <w:rPr>
                <w:sz w:val="20"/>
                <w:szCs w:val="20"/>
                <w:color w:val="auto"/>
              </w:rPr>
            </w:pPr>
            <w:r>
              <w:rPr>
                <w:rFonts w:ascii="Arial" w:cs="Arial" w:eastAsia="Arial" w:hAnsi="Arial"/>
                <w:sz w:val="18"/>
                <w:szCs w:val="18"/>
                <w:color w:val="3E3935"/>
              </w:rPr>
              <w:t>2,100,000</w:t>
            </w:r>
          </w:p>
        </w:tc>
        <w:tc>
          <w:tcPr>
            <w:tcW w:w="700" w:type="dxa"/>
            <w:vAlign w:val="bottom"/>
          </w:tcPr>
          <w:p>
            <w:pPr>
              <w:jc w:val="right"/>
              <w:ind w:right="11"/>
              <w:spacing w:after="0"/>
              <w:rPr>
                <w:sz w:val="20"/>
                <w:szCs w:val="20"/>
                <w:color w:val="auto"/>
              </w:rPr>
            </w:pPr>
            <w:r>
              <w:rPr>
                <w:rFonts w:ascii="Arial" w:cs="Arial" w:eastAsia="Arial" w:hAnsi="Arial"/>
                <w:sz w:val="18"/>
                <w:szCs w:val="18"/>
                <w:color w:val="3E3935"/>
              </w:rPr>
              <w:t>200%</w:t>
            </w:r>
          </w:p>
        </w:tc>
        <w:tc>
          <w:tcPr>
            <w:tcW w:w="1000" w:type="dxa"/>
            <w:vAlign w:val="bottom"/>
          </w:tcPr>
          <w:p>
            <w:pPr>
              <w:jc w:val="right"/>
              <w:ind w:right="11"/>
              <w:spacing w:after="0"/>
              <w:rPr>
                <w:sz w:val="20"/>
                <w:szCs w:val="20"/>
                <w:color w:val="auto"/>
              </w:rPr>
            </w:pPr>
            <w:r>
              <w:rPr>
                <w:rFonts w:ascii="Arial" w:cs="Arial" w:eastAsia="Arial" w:hAnsi="Arial"/>
                <w:sz w:val="18"/>
                <w:szCs w:val="18"/>
                <w:color w:val="3E3935"/>
              </w:rPr>
              <w:t>4,200,000</w:t>
            </w:r>
          </w:p>
        </w:tc>
        <w:tc>
          <w:tcPr>
            <w:tcW w:w="1800" w:type="dxa"/>
            <w:vAlign w:val="bottom"/>
          </w:tcPr>
          <w:p>
            <w:pPr>
              <w:jc w:val="right"/>
              <w:ind w:right="232"/>
              <w:spacing w:after="0"/>
              <w:rPr>
                <w:sz w:val="20"/>
                <w:szCs w:val="20"/>
                <w:color w:val="auto"/>
              </w:rPr>
            </w:pPr>
            <w:r>
              <w:rPr>
                <w:rFonts w:ascii="Arial" w:cs="Arial" w:eastAsia="Arial" w:hAnsi="Arial"/>
                <w:sz w:val="18"/>
                <w:szCs w:val="18"/>
                <w:b w:val="1"/>
                <w:bCs w:val="1"/>
                <w:color w:val="3E3935"/>
              </w:rPr>
              <w:t>6,300,000</w:t>
            </w:r>
          </w:p>
        </w:tc>
        <w:tc>
          <w:tcPr>
            <w:tcW w:w="1260" w:type="dxa"/>
            <w:vAlign w:val="bottom"/>
          </w:tcPr>
          <w:p>
            <w:pPr>
              <w:jc w:val="right"/>
              <w:ind w:right="112"/>
              <w:spacing w:after="0"/>
              <w:rPr>
                <w:sz w:val="20"/>
                <w:szCs w:val="20"/>
                <w:color w:val="auto"/>
              </w:rPr>
            </w:pPr>
            <w:r>
              <w:rPr>
                <w:rFonts w:ascii="Arial" w:cs="Arial" w:eastAsia="Arial" w:hAnsi="Arial"/>
                <w:sz w:val="18"/>
                <w:szCs w:val="18"/>
                <w:color w:val="3E3935"/>
              </w:rPr>
              <w:t>14,625,000</w:t>
            </w:r>
          </w:p>
        </w:tc>
        <w:tc>
          <w:tcPr>
            <w:tcW w:w="860" w:type="dxa"/>
            <w:vAlign w:val="bottom"/>
          </w:tcPr>
          <w:p>
            <w:pPr>
              <w:jc w:val="right"/>
              <w:spacing w:after="0"/>
              <w:rPr>
                <w:sz w:val="20"/>
                <w:szCs w:val="20"/>
                <w:color w:val="auto"/>
              </w:rPr>
            </w:pPr>
            <w:r>
              <w:rPr>
                <w:rFonts w:ascii="Arial" w:cs="Arial" w:eastAsia="Arial" w:hAnsi="Arial"/>
                <w:sz w:val="18"/>
                <w:szCs w:val="18"/>
                <w:color w:val="3E3935"/>
                <w:w w:val="97"/>
              </w:rPr>
              <w:t>4,875,000</w:t>
            </w:r>
          </w:p>
        </w:tc>
        <w:tc>
          <w:tcPr>
            <w:tcW w:w="1600" w:type="dxa"/>
            <w:vAlign w:val="bottom"/>
          </w:tcPr>
          <w:p>
            <w:pPr>
              <w:jc w:val="right"/>
              <w:spacing w:after="0"/>
              <w:rPr>
                <w:sz w:val="20"/>
                <w:szCs w:val="20"/>
                <w:color w:val="auto"/>
              </w:rPr>
            </w:pPr>
            <w:r>
              <w:rPr>
                <w:rFonts w:ascii="Arial" w:cs="Arial" w:eastAsia="Arial" w:hAnsi="Arial"/>
                <w:sz w:val="18"/>
                <w:szCs w:val="18"/>
                <w:b w:val="1"/>
                <w:bCs w:val="1"/>
                <w:color w:val="3E3935"/>
              </w:rPr>
              <w:t>25,800,000</w:t>
            </w:r>
          </w:p>
        </w:tc>
        <w:tc>
          <w:tcPr>
            <w:tcW w:w="0" w:type="dxa"/>
            <w:vAlign w:val="bottom"/>
          </w:tcPr>
          <w:p>
            <w:pPr>
              <w:spacing w:after="0"/>
              <w:rPr>
                <w:sz w:val="1"/>
                <w:szCs w:val="1"/>
                <w:color w:val="auto"/>
              </w:rPr>
            </w:pPr>
          </w:p>
        </w:tc>
      </w:tr>
      <w:tr>
        <w:trPr>
          <w:trHeight w:val="56"/>
        </w:trPr>
        <w:tc>
          <w:tcPr>
            <w:tcW w:w="2200" w:type="dxa"/>
            <w:vAlign w:val="bottom"/>
            <w:tcBorders>
              <w:bottom w:val="single" w:sz="8" w:color="3E3935"/>
            </w:tcBorders>
          </w:tcPr>
          <w:p>
            <w:pPr>
              <w:spacing w:after="0"/>
              <w:rPr>
                <w:sz w:val="4"/>
                <w:szCs w:val="4"/>
                <w:color w:val="auto"/>
              </w:rPr>
            </w:pPr>
          </w:p>
        </w:tc>
        <w:tc>
          <w:tcPr>
            <w:tcW w:w="1600" w:type="dxa"/>
            <w:vAlign w:val="bottom"/>
            <w:tcBorders>
              <w:bottom w:val="single" w:sz="8" w:color="3E3935"/>
            </w:tcBorders>
          </w:tcPr>
          <w:p>
            <w:pPr>
              <w:spacing w:after="0"/>
              <w:rPr>
                <w:sz w:val="4"/>
                <w:szCs w:val="4"/>
                <w:color w:val="auto"/>
              </w:rPr>
            </w:pPr>
          </w:p>
        </w:tc>
        <w:tc>
          <w:tcPr>
            <w:tcW w:w="700" w:type="dxa"/>
            <w:vAlign w:val="bottom"/>
            <w:tcBorders>
              <w:bottom w:val="single" w:sz="8" w:color="3E3935"/>
            </w:tcBorders>
          </w:tcPr>
          <w:p>
            <w:pPr>
              <w:spacing w:after="0"/>
              <w:rPr>
                <w:sz w:val="4"/>
                <w:szCs w:val="4"/>
                <w:color w:val="auto"/>
              </w:rPr>
            </w:pPr>
          </w:p>
        </w:tc>
        <w:tc>
          <w:tcPr>
            <w:tcW w:w="1000" w:type="dxa"/>
            <w:vAlign w:val="bottom"/>
            <w:tcBorders>
              <w:bottom w:val="single" w:sz="8" w:color="3E3935"/>
            </w:tcBorders>
          </w:tcPr>
          <w:p>
            <w:pPr>
              <w:spacing w:after="0"/>
              <w:rPr>
                <w:sz w:val="4"/>
                <w:szCs w:val="4"/>
                <w:color w:val="auto"/>
              </w:rPr>
            </w:pPr>
          </w:p>
        </w:tc>
        <w:tc>
          <w:tcPr>
            <w:tcW w:w="1800" w:type="dxa"/>
            <w:vAlign w:val="bottom"/>
            <w:tcBorders>
              <w:bottom w:val="single" w:sz="8" w:color="3E3935"/>
            </w:tcBorders>
          </w:tcPr>
          <w:p>
            <w:pPr>
              <w:spacing w:after="0"/>
              <w:rPr>
                <w:sz w:val="4"/>
                <w:szCs w:val="4"/>
                <w:color w:val="auto"/>
              </w:rPr>
            </w:pPr>
          </w:p>
        </w:tc>
        <w:tc>
          <w:tcPr>
            <w:tcW w:w="1260" w:type="dxa"/>
            <w:vAlign w:val="bottom"/>
            <w:tcBorders>
              <w:bottom w:val="single" w:sz="8" w:color="3E3935"/>
            </w:tcBorders>
          </w:tcPr>
          <w:p>
            <w:pPr>
              <w:spacing w:after="0"/>
              <w:rPr>
                <w:sz w:val="4"/>
                <w:szCs w:val="4"/>
                <w:color w:val="auto"/>
              </w:rPr>
            </w:pPr>
          </w:p>
        </w:tc>
        <w:tc>
          <w:tcPr>
            <w:tcW w:w="860" w:type="dxa"/>
            <w:vAlign w:val="bottom"/>
            <w:tcBorders>
              <w:bottom w:val="single" w:sz="8" w:color="3E3935"/>
            </w:tcBorders>
          </w:tcPr>
          <w:p>
            <w:pPr>
              <w:spacing w:after="0"/>
              <w:rPr>
                <w:sz w:val="4"/>
                <w:szCs w:val="4"/>
                <w:color w:val="auto"/>
              </w:rPr>
            </w:pPr>
          </w:p>
        </w:tc>
        <w:tc>
          <w:tcPr>
            <w:tcW w:w="1600" w:type="dxa"/>
            <w:vAlign w:val="bottom"/>
            <w:tcBorders>
              <w:bottom w:val="single" w:sz="8" w:color="3E3935"/>
            </w:tcBorders>
          </w:tcPr>
          <w:p>
            <w:pPr>
              <w:spacing w:after="0"/>
              <w:rPr>
                <w:sz w:val="4"/>
                <w:szCs w:val="4"/>
                <w:color w:val="auto"/>
              </w:rPr>
            </w:pPr>
          </w:p>
        </w:tc>
        <w:tc>
          <w:tcPr>
            <w:tcW w:w="0" w:type="dxa"/>
            <w:vAlign w:val="bottom"/>
          </w:tcPr>
          <w:p>
            <w:pPr>
              <w:spacing w:after="0"/>
              <w:rPr>
                <w:sz w:val="1"/>
                <w:szCs w:val="1"/>
                <w:color w:val="auto"/>
              </w:rPr>
            </w:pPr>
          </w:p>
        </w:tc>
      </w:tr>
      <w:tr>
        <w:trPr>
          <w:trHeight w:val="289"/>
        </w:trPr>
        <w:tc>
          <w:tcPr>
            <w:tcW w:w="2200" w:type="dxa"/>
            <w:vAlign w:val="bottom"/>
          </w:tcPr>
          <w:p>
            <w:pPr>
              <w:ind w:left="80"/>
              <w:spacing w:after="0"/>
              <w:rPr>
                <w:sz w:val="20"/>
                <w:szCs w:val="20"/>
                <w:color w:val="auto"/>
              </w:rPr>
            </w:pPr>
            <w:r>
              <w:rPr>
                <w:rFonts w:ascii="Arial" w:cs="Arial" w:eastAsia="Arial" w:hAnsi="Arial"/>
                <w:sz w:val="18"/>
                <w:szCs w:val="18"/>
                <w:color w:val="3E3935"/>
              </w:rPr>
              <w:t>Paul A. Jacobson</w:t>
            </w:r>
          </w:p>
        </w:tc>
        <w:tc>
          <w:tcPr>
            <w:tcW w:w="1600" w:type="dxa"/>
            <w:vAlign w:val="bottom"/>
          </w:tcPr>
          <w:p>
            <w:pPr>
              <w:jc w:val="right"/>
              <w:spacing w:after="0"/>
              <w:rPr>
                <w:sz w:val="20"/>
                <w:szCs w:val="20"/>
                <w:color w:val="auto"/>
              </w:rPr>
            </w:pPr>
            <w:r>
              <w:rPr>
                <w:rFonts w:ascii="Arial" w:cs="Arial" w:eastAsia="Arial" w:hAnsi="Arial"/>
                <w:sz w:val="18"/>
                <w:szCs w:val="18"/>
                <w:color w:val="3E3935"/>
              </w:rPr>
              <w:t>1,000,000</w:t>
            </w:r>
          </w:p>
        </w:tc>
        <w:tc>
          <w:tcPr>
            <w:tcW w:w="700" w:type="dxa"/>
            <w:vAlign w:val="bottom"/>
          </w:tcPr>
          <w:p>
            <w:pPr>
              <w:jc w:val="right"/>
              <w:ind w:right="11"/>
              <w:spacing w:after="0"/>
              <w:rPr>
                <w:sz w:val="20"/>
                <w:szCs w:val="20"/>
                <w:color w:val="auto"/>
              </w:rPr>
            </w:pPr>
            <w:r>
              <w:rPr>
                <w:rFonts w:ascii="Arial" w:cs="Arial" w:eastAsia="Arial" w:hAnsi="Arial"/>
                <w:sz w:val="18"/>
                <w:szCs w:val="18"/>
                <w:color w:val="3E3935"/>
              </w:rPr>
              <w:t>125%</w:t>
            </w:r>
          </w:p>
        </w:tc>
        <w:tc>
          <w:tcPr>
            <w:tcW w:w="1000" w:type="dxa"/>
            <w:vAlign w:val="bottom"/>
          </w:tcPr>
          <w:p>
            <w:pPr>
              <w:jc w:val="right"/>
              <w:ind w:right="11"/>
              <w:spacing w:after="0"/>
              <w:rPr>
                <w:sz w:val="20"/>
                <w:szCs w:val="20"/>
                <w:color w:val="auto"/>
              </w:rPr>
            </w:pPr>
            <w:r>
              <w:rPr>
                <w:rFonts w:ascii="Arial" w:cs="Arial" w:eastAsia="Arial" w:hAnsi="Arial"/>
                <w:sz w:val="18"/>
                <w:szCs w:val="18"/>
                <w:color w:val="3E3935"/>
              </w:rPr>
              <w:t>1,250,000</w:t>
            </w:r>
          </w:p>
        </w:tc>
        <w:tc>
          <w:tcPr>
            <w:tcW w:w="1800" w:type="dxa"/>
            <w:vAlign w:val="bottom"/>
          </w:tcPr>
          <w:p>
            <w:pPr>
              <w:jc w:val="right"/>
              <w:ind w:right="232"/>
              <w:spacing w:after="0"/>
              <w:rPr>
                <w:sz w:val="20"/>
                <w:szCs w:val="20"/>
                <w:color w:val="auto"/>
              </w:rPr>
            </w:pPr>
            <w:r>
              <w:rPr>
                <w:rFonts w:ascii="Arial" w:cs="Arial" w:eastAsia="Arial" w:hAnsi="Arial"/>
                <w:sz w:val="18"/>
                <w:szCs w:val="18"/>
                <w:b w:val="1"/>
                <w:bCs w:val="1"/>
                <w:color w:val="3E3935"/>
              </w:rPr>
              <w:t>2,250,000</w:t>
            </w:r>
          </w:p>
        </w:tc>
        <w:tc>
          <w:tcPr>
            <w:tcW w:w="1260" w:type="dxa"/>
            <w:vAlign w:val="bottom"/>
          </w:tcPr>
          <w:p>
            <w:pPr>
              <w:jc w:val="right"/>
              <w:ind w:right="112"/>
              <w:spacing w:after="0"/>
              <w:rPr>
                <w:sz w:val="20"/>
                <w:szCs w:val="20"/>
                <w:color w:val="auto"/>
              </w:rPr>
            </w:pPr>
            <w:r>
              <w:rPr>
                <w:rFonts w:ascii="Arial" w:cs="Arial" w:eastAsia="Arial" w:hAnsi="Arial"/>
                <w:sz w:val="18"/>
                <w:szCs w:val="18"/>
                <w:color w:val="3E3935"/>
              </w:rPr>
              <w:t>5,362,500</w:t>
            </w:r>
          </w:p>
        </w:tc>
        <w:tc>
          <w:tcPr>
            <w:tcW w:w="860" w:type="dxa"/>
            <w:vAlign w:val="bottom"/>
          </w:tcPr>
          <w:p>
            <w:pPr>
              <w:jc w:val="right"/>
              <w:spacing w:after="0"/>
              <w:rPr>
                <w:sz w:val="20"/>
                <w:szCs w:val="20"/>
                <w:color w:val="auto"/>
              </w:rPr>
            </w:pPr>
            <w:r>
              <w:rPr>
                <w:rFonts w:ascii="Arial" w:cs="Arial" w:eastAsia="Arial" w:hAnsi="Arial"/>
                <w:sz w:val="18"/>
                <w:szCs w:val="18"/>
                <w:color w:val="3E3935"/>
                <w:w w:val="97"/>
              </w:rPr>
              <w:t>1,787,500</w:t>
            </w:r>
          </w:p>
        </w:tc>
        <w:tc>
          <w:tcPr>
            <w:tcW w:w="1600" w:type="dxa"/>
            <w:vAlign w:val="bottom"/>
          </w:tcPr>
          <w:p>
            <w:pPr>
              <w:jc w:val="right"/>
              <w:spacing w:after="0"/>
              <w:rPr>
                <w:sz w:val="20"/>
                <w:szCs w:val="20"/>
                <w:color w:val="auto"/>
              </w:rPr>
            </w:pPr>
            <w:r>
              <w:rPr>
                <w:rFonts w:ascii="Arial" w:cs="Arial" w:eastAsia="Arial" w:hAnsi="Arial"/>
                <w:sz w:val="18"/>
                <w:szCs w:val="18"/>
                <w:b w:val="1"/>
                <w:bCs w:val="1"/>
                <w:color w:val="3E3935"/>
              </w:rPr>
              <w:t>9,400,000</w:t>
            </w:r>
          </w:p>
        </w:tc>
        <w:tc>
          <w:tcPr>
            <w:tcW w:w="0" w:type="dxa"/>
            <w:vAlign w:val="bottom"/>
          </w:tcPr>
          <w:p>
            <w:pPr>
              <w:spacing w:after="0"/>
              <w:rPr>
                <w:sz w:val="1"/>
                <w:szCs w:val="1"/>
                <w:color w:val="auto"/>
              </w:rPr>
            </w:pPr>
          </w:p>
        </w:tc>
      </w:tr>
      <w:tr>
        <w:trPr>
          <w:trHeight w:val="55"/>
        </w:trPr>
        <w:tc>
          <w:tcPr>
            <w:tcW w:w="2200" w:type="dxa"/>
            <w:vAlign w:val="bottom"/>
            <w:tcBorders>
              <w:bottom w:val="single" w:sz="8" w:color="3E3935"/>
            </w:tcBorders>
          </w:tcPr>
          <w:p>
            <w:pPr>
              <w:spacing w:after="0"/>
              <w:rPr>
                <w:sz w:val="4"/>
                <w:szCs w:val="4"/>
                <w:color w:val="auto"/>
              </w:rPr>
            </w:pPr>
          </w:p>
        </w:tc>
        <w:tc>
          <w:tcPr>
            <w:tcW w:w="1600" w:type="dxa"/>
            <w:vAlign w:val="bottom"/>
            <w:tcBorders>
              <w:bottom w:val="single" w:sz="8" w:color="3E3935"/>
            </w:tcBorders>
          </w:tcPr>
          <w:p>
            <w:pPr>
              <w:spacing w:after="0"/>
              <w:rPr>
                <w:sz w:val="4"/>
                <w:szCs w:val="4"/>
                <w:color w:val="auto"/>
              </w:rPr>
            </w:pPr>
          </w:p>
        </w:tc>
        <w:tc>
          <w:tcPr>
            <w:tcW w:w="700" w:type="dxa"/>
            <w:vAlign w:val="bottom"/>
            <w:tcBorders>
              <w:bottom w:val="single" w:sz="8" w:color="3E3935"/>
            </w:tcBorders>
          </w:tcPr>
          <w:p>
            <w:pPr>
              <w:spacing w:after="0"/>
              <w:rPr>
                <w:sz w:val="4"/>
                <w:szCs w:val="4"/>
                <w:color w:val="auto"/>
              </w:rPr>
            </w:pPr>
          </w:p>
        </w:tc>
        <w:tc>
          <w:tcPr>
            <w:tcW w:w="1000" w:type="dxa"/>
            <w:vAlign w:val="bottom"/>
            <w:tcBorders>
              <w:bottom w:val="single" w:sz="8" w:color="3E3935"/>
            </w:tcBorders>
          </w:tcPr>
          <w:p>
            <w:pPr>
              <w:spacing w:after="0"/>
              <w:rPr>
                <w:sz w:val="4"/>
                <w:szCs w:val="4"/>
                <w:color w:val="auto"/>
              </w:rPr>
            </w:pPr>
          </w:p>
        </w:tc>
        <w:tc>
          <w:tcPr>
            <w:tcW w:w="1800" w:type="dxa"/>
            <w:vAlign w:val="bottom"/>
            <w:tcBorders>
              <w:bottom w:val="single" w:sz="8" w:color="3E3935"/>
            </w:tcBorders>
          </w:tcPr>
          <w:p>
            <w:pPr>
              <w:spacing w:after="0"/>
              <w:rPr>
                <w:sz w:val="4"/>
                <w:szCs w:val="4"/>
                <w:color w:val="auto"/>
              </w:rPr>
            </w:pPr>
          </w:p>
        </w:tc>
        <w:tc>
          <w:tcPr>
            <w:tcW w:w="1260" w:type="dxa"/>
            <w:vAlign w:val="bottom"/>
            <w:tcBorders>
              <w:bottom w:val="single" w:sz="8" w:color="3E3935"/>
            </w:tcBorders>
          </w:tcPr>
          <w:p>
            <w:pPr>
              <w:spacing w:after="0"/>
              <w:rPr>
                <w:sz w:val="4"/>
                <w:szCs w:val="4"/>
                <w:color w:val="auto"/>
              </w:rPr>
            </w:pPr>
          </w:p>
        </w:tc>
        <w:tc>
          <w:tcPr>
            <w:tcW w:w="860" w:type="dxa"/>
            <w:vAlign w:val="bottom"/>
            <w:tcBorders>
              <w:bottom w:val="single" w:sz="8" w:color="3E3935"/>
            </w:tcBorders>
          </w:tcPr>
          <w:p>
            <w:pPr>
              <w:spacing w:after="0"/>
              <w:rPr>
                <w:sz w:val="4"/>
                <w:szCs w:val="4"/>
                <w:color w:val="auto"/>
              </w:rPr>
            </w:pPr>
          </w:p>
        </w:tc>
        <w:tc>
          <w:tcPr>
            <w:tcW w:w="1600" w:type="dxa"/>
            <w:vAlign w:val="bottom"/>
            <w:tcBorders>
              <w:bottom w:val="single" w:sz="8" w:color="3E3935"/>
            </w:tcBorders>
          </w:tcPr>
          <w:p>
            <w:pPr>
              <w:spacing w:after="0"/>
              <w:rPr>
                <w:sz w:val="4"/>
                <w:szCs w:val="4"/>
                <w:color w:val="auto"/>
              </w:rPr>
            </w:pPr>
          </w:p>
        </w:tc>
        <w:tc>
          <w:tcPr>
            <w:tcW w:w="0" w:type="dxa"/>
            <w:vAlign w:val="bottom"/>
          </w:tcPr>
          <w:p>
            <w:pPr>
              <w:spacing w:after="0"/>
              <w:rPr>
                <w:sz w:val="1"/>
                <w:szCs w:val="1"/>
                <w:color w:val="auto"/>
              </w:rPr>
            </w:pPr>
          </w:p>
        </w:tc>
      </w:tr>
      <w:tr>
        <w:trPr>
          <w:trHeight w:val="289"/>
        </w:trPr>
        <w:tc>
          <w:tcPr>
            <w:tcW w:w="2200" w:type="dxa"/>
            <w:vAlign w:val="bottom"/>
          </w:tcPr>
          <w:p>
            <w:pPr>
              <w:ind w:left="80"/>
              <w:spacing w:after="0"/>
              <w:rPr>
                <w:sz w:val="20"/>
                <w:szCs w:val="20"/>
                <w:color w:val="auto"/>
              </w:rPr>
            </w:pPr>
            <w:r>
              <w:rPr>
                <w:rFonts w:ascii="Arial" w:cs="Arial" w:eastAsia="Arial" w:hAnsi="Arial"/>
                <w:sz w:val="18"/>
                <w:szCs w:val="18"/>
                <w:color w:val="3E3935"/>
              </w:rPr>
              <w:t>Mark L. Reuss</w:t>
            </w:r>
          </w:p>
        </w:tc>
        <w:tc>
          <w:tcPr>
            <w:tcW w:w="1600" w:type="dxa"/>
            <w:vAlign w:val="bottom"/>
          </w:tcPr>
          <w:p>
            <w:pPr>
              <w:jc w:val="right"/>
              <w:spacing w:after="0"/>
              <w:rPr>
                <w:sz w:val="20"/>
                <w:szCs w:val="20"/>
                <w:color w:val="auto"/>
              </w:rPr>
            </w:pPr>
            <w:r>
              <w:rPr>
                <w:rFonts w:ascii="Arial" w:cs="Arial" w:eastAsia="Arial" w:hAnsi="Arial"/>
                <w:sz w:val="18"/>
                <w:szCs w:val="18"/>
                <w:color w:val="3E3935"/>
              </w:rPr>
              <w:t>1,350,000</w:t>
            </w:r>
          </w:p>
        </w:tc>
        <w:tc>
          <w:tcPr>
            <w:tcW w:w="700" w:type="dxa"/>
            <w:vAlign w:val="bottom"/>
          </w:tcPr>
          <w:p>
            <w:pPr>
              <w:jc w:val="right"/>
              <w:ind w:right="11"/>
              <w:spacing w:after="0"/>
              <w:rPr>
                <w:sz w:val="20"/>
                <w:szCs w:val="20"/>
                <w:color w:val="auto"/>
              </w:rPr>
            </w:pPr>
            <w:r>
              <w:rPr>
                <w:rFonts w:ascii="Arial" w:cs="Arial" w:eastAsia="Arial" w:hAnsi="Arial"/>
                <w:sz w:val="18"/>
                <w:szCs w:val="18"/>
                <w:color w:val="3E3935"/>
              </w:rPr>
              <w:t>125%</w:t>
            </w:r>
          </w:p>
        </w:tc>
        <w:tc>
          <w:tcPr>
            <w:tcW w:w="1000" w:type="dxa"/>
            <w:vAlign w:val="bottom"/>
          </w:tcPr>
          <w:p>
            <w:pPr>
              <w:jc w:val="right"/>
              <w:ind w:right="11"/>
              <w:spacing w:after="0"/>
              <w:rPr>
                <w:sz w:val="20"/>
                <w:szCs w:val="20"/>
                <w:color w:val="auto"/>
              </w:rPr>
            </w:pPr>
            <w:r>
              <w:rPr>
                <w:rFonts w:ascii="Arial" w:cs="Arial" w:eastAsia="Arial" w:hAnsi="Arial"/>
                <w:sz w:val="18"/>
                <w:szCs w:val="18"/>
                <w:color w:val="3E3935"/>
              </w:rPr>
              <w:t>1,687,500</w:t>
            </w:r>
          </w:p>
        </w:tc>
        <w:tc>
          <w:tcPr>
            <w:tcW w:w="1800" w:type="dxa"/>
            <w:vAlign w:val="bottom"/>
          </w:tcPr>
          <w:p>
            <w:pPr>
              <w:jc w:val="right"/>
              <w:ind w:right="232"/>
              <w:spacing w:after="0"/>
              <w:rPr>
                <w:sz w:val="20"/>
                <w:szCs w:val="20"/>
                <w:color w:val="auto"/>
              </w:rPr>
            </w:pPr>
            <w:r>
              <w:rPr>
                <w:rFonts w:ascii="Arial" w:cs="Arial" w:eastAsia="Arial" w:hAnsi="Arial"/>
                <w:sz w:val="18"/>
                <w:szCs w:val="18"/>
                <w:b w:val="1"/>
                <w:bCs w:val="1"/>
                <w:color w:val="3E3935"/>
              </w:rPr>
              <w:t>3,037,500</w:t>
            </w:r>
          </w:p>
        </w:tc>
        <w:tc>
          <w:tcPr>
            <w:tcW w:w="1260" w:type="dxa"/>
            <w:vAlign w:val="bottom"/>
          </w:tcPr>
          <w:p>
            <w:pPr>
              <w:jc w:val="right"/>
              <w:ind w:right="112"/>
              <w:spacing w:after="0"/>
              <w:rPr>
                <w:sz w:val="20"/>
                <w:szCs w:val="20"/>
                <w:color w:val="auto"/>
              </w:rPr>
            </w:pPr>
            <w:r>
              <w:rPr>
                <w:rFonts w:ascii="Arial" w:cs="Arial" w:eastAsia="Arial" w:hAnsi="Arial"/>
                <w:sz w:val="18"/>
                <w:szCs w:val="18"/>
                <w:color w:val="3E3935"/>
              </w:rPr>
              <w:t>7,471,875</w:t>
            </w:r>
          </w:p>
        </w:tc>
        <w:tc>
          <w:tcPr>
            <w:tcW w:w="860" w:type="dxa"/>
            <w:vAlign w:val="bottom"/>
          </w:tcPr>
          <w:p>
            <w:pPr>
              <w:jc w:val="right"/>
              <w:spacing w:after="0"/>
              <w:rPr>
                <w:sz w:val="20"/>
                <w:szCs w:val="20"/>
                <w:color w:val="auto"/>
              </w:rPr>
            </w:pPr>
            <w:r>
              <w:rPr>
                <w:rFonts w:ascii="Arial" w:cs="Arial" w:eastAsia="Arial" w:hAnsi="Arial"/>
                <w:sz w:val="18"/>
                <w:szCs w:val="18"/>
                <w:color w:val="3E3935"/>
                <w:w w:val="97"/>
              </w:rPr>
              <w:t>2,490,625</w:t>
            </w:r>
          </w:p>
        </w:tc>
        <w:tc>
          <w:tcPr>
            <w:tcW w:w="1600" w:type="dxa"/>
            <w:vAlign w:val="bottom"/>
          </w:tcPr>
          <w:p>
            <w:pPr>
              <w:jc w:val="right"/>
              <w:spacing w:after="0"/>
              <w:rPr>
                <w:sz w:val="20"/>
                <w:szCs w:val="20"/>
                <w:color w:val="auto"/>
              </w:rPr>
            </w:pPr>
            <w:r>
              <w:rPr>
                <w:rFonts w:ascii="Arial" w:cs="Arial" w:eastAsia="Arial" w:hAnsi="Arial"/>
                <w:sz w:val="18"/>
                <w:szCs w:val="18"/>
                <w:b w:val="1"/>
                <w:bCs w:val="1"/>
                <w:color w:val="3E3935"/>
              </w:rPr>
              <w:t>13,000,000</w:t>
            </w:r>
          </w:p>
        </w:tc>
        <w:tc>
          <w:tcPr>
            <w:tcW w:w="0" w:type="dxa"/>
            <w:vAlign w:val="bottom"/>
          </w:tcPr>
          <w:p>
            <w:pPr>
              <w:spacing w:after="0"/>
              <w:rPr>
                <w:sz w:val="1"/>
                <w:szCs w:val="1"/>
                <w:color w:val="auto"/>
              </w:rPr>
            </w:pPr>
          </w:p>
        </w:tc>
      </w:tr>
      <w:tr>
        <w:trPr>
          <w:trHeight w:val="56"/>
        </w:trPr>
        <w:tc>
          <w:tcPr>
            <w:tcW w:w="2200" w:type="dxa"/>
            <w:vAlign w:val="bottom"/>
            <w:tcBorders>
              <w:bottom w:val="single" w:sz="8" w:color="3E3935"/>
            </w:tcBorders>
          </w:tcPr>
          <w:p>
            <w:pPr>
              <w:spacing w:after="0"/>
              <w:rPr>
                <w:sz w:val="4"/>
                <w:szCs w:val="4"/>
                <w:color w:val="auto"/>
              </w:rPr>
            </w:pPr>
          </w:p>
        </w:tc>
        <w:tc>
          <w:tcPr>
            <w:tcW w:w="1600" w:type="dxa"/>
            <w:vAlign w:val="bottom"/>
            <w:tcBorders>
              <w:bottom w:val="single" w:sz="8" w:color="3E3935"/>
            </w:tcBorders>
          </w:tcPr>
          <w:p>
            <w:pPr>
              <w:spacing w:after="0"/>
              <w:rPr>
                <w:sz w:val="4"/>
                <w:szCs w:val="4"/>
                <w:color w:val="auto"/>
              </w:rPr>
            </w:pPr>
          </w:p>
        </w:tc>
        <w:tc>
          <w:tcPr>
            <w:tcW w:w="700" w:type="dxa"/>
            <w:vAlign w:val="bottom"/>
            <w:tcBorders>
              <w:bottom w:val="single" w:sz="8" w:color="3E3935"/>
            </w:tcBorders>
          </w:tcPr>
          <w:p>
            <w:pPr>
              <w:spacing w:after="0"/>
              <w:rPr>
                <w:sz w:val="4"/>
                <w:szCs w:val="4"/>
                <w:color w:val="auto"/>
              </w:rPr>
            </w:pPr>
          </w:p>
        </w:tc>
        <w:tc>
          <w:tcPr>
            <w:tcW w:w="1000" w:type="dxa"/>
            <w:vAlign w:val="bottom"/>
            <w:tcBorders>
              <w:bottom w:val="single" w:sz="8" w:color="3E3935"/>
            </w:tcBorders>
          </w:tcPr>
          <w:p>
            <w:pPr>
              <w:spacing w:after="0"/>
              <w:rPr>
                <w:sz w:val="4"/>
                <w:szCs w:val="4"/>
                <w:color w:val="auto"/>
              </w:rPr>
            </w:pPr>
          </w:p>
        </w:tc>
        <w:tc>
          <w:tcPr>
            <w:tcW w:w="1800" w:type="dxa"/>
            <w:vAlign w:val="bottom"/>
            <w:tcBorders>
              <w:bottom w:val="single" w:sz="8" w:color="3E3935"/>
            </w:tcBorders>
          </w:tcPr>
          <w:p>
            <w:pPr>
              <w:spacing w:after="0"/>
              <w:rPr>
                <w:sz w:val="4"/>
                <w:szCs w:val="4"/>
                <w:color w:val="auto"/>
              </w:rPr>
            </w:pPr>
          </w:p>
        </w:tc>
        <w:tc>
          <w:tcPr>
            <w:tcW w:w="1260" w:type="dxa"/>
            <w:vAlign w:val="bottom"/>
            <w:tcBorders>
              <w:bottom w:val="single" w:sz="8" w:color="3E3935"/>
            </w:tcBorders>
          </w:tcPr>
          <w:p>
            <w:pPr>
              <w:spacing w:after="0"/>
              <w:rPr>
                <w:sz w:val="4"/>
                <w:szCs w:val="4"/>
                <w:color w:val="auto"/>
              </w:rPr>
            </w:pPr>
          </w:p>
        </w:tc>
        <w:tc>
          <w:tcPr>
            <w:tcW w:w="860" w:type="dxa"/>
            <w:vAlign w:val="bottom"/>
            <w:tcBorders>
              <w:bottom w:val="single" w:sz="8" w:color="3E3935"/>
            </w:tcBorders>
          </w:tcPr>
          <w:p>
            <w:pPr>
              <w:spacing w:after="0"/>
              <w:rPr>
                <w:sz w:val="4"/>
                <w:szCs w:val="4"/>
                <w:color w:val="auto"/>
              </w:rPr>
            </w:pPr>
          </w:p>
        </w:tc>
        <w:tc>
          <w:tcPr>
            <w:tcW w:w="1600" w:type="dxa"/>
            <w:vAlign w:val="bottom"/>
            <w:tcBorders>
              <w:bottom w:val="single" w:sz="8" w:color="3E3935"/>
            </w:tcBorders>
          </w:tcPr>
          <w:p>
            <w:pPr>
              <w:spacing w:after="0"/>
              <w:rPr>
                <w:sz w:val="4"/>
                <w:szCs w:val="4"/>
                <w:color w:val="auto"/>
              </w:rPr>
            </w:pPr>
          </w:p>
        </w:tc>
        <w:tc>
          <w:tcPr>
            <w:tcW w:w="0" w:type="dxa"/>
            <w:vAlign w:val="bottom"/>
          </w:tcPr>
          <w:p>
            <w:pPr>
              <w:spacing w:after="0"/>
              <w:rPr>
                <w:sz w:val="1"/>
                <w:szCs w:val="1"/>
                <w:color w:val="auto"/>
              </w:rPr>
            </w:pPr>
          </w:p>
        </w:tc>
      </w:tr>
      <w:tr>
        <w:trPr>
          <w:trHeight w:val="289"/>
        </w:trPr>
        <w:tc>
          <w:tcPr>
            <w:tcW w:w="2200" w:type="dxa"/>
            <w:vAlign w:val="bottom"/>
          </w:tcPr>
          <w:p>
            <w:pPr>
              <w:ind w:left="80"/>
              <w:spacing w:after="0"/>
              <w:rPr>
                <w:sz w:val="20"/>
                <w:szCs w:val="20"/>
                <w:color w:val="auto"/>
              </w:rPr>
            </w:pPr>
            <w:r>
              <w:rPr>
                <w:rFonts w:ascii="Arial" w:cs="Arial" w:eastAsia="Arial" w:hAnsi="Arial"/>
                <w:sz w:val="18"/>
                <w:szCs w:val="18"/>
                <w:color w:val="3E3935"/>
              </w:rPr>
              <w:t>Douglas L. Parks</w:t>
            </w:r>
          </w:p>
        </w:tc>
        <w:tc>
          <w:tcPr>
            <w:tcW w:w="1600" w:type="dxa"/>
            <w:vAlign w:val="bottom"/>
          </w:tcPr>
          <w:p>
            <w:pPr>
              <w:jc w:val="right"/>
              <w:spacing w:after="0"/>
              <w:rPr>
                <w:sz w:val="20"/>
                <w:szCs w:val="20"/>
                <w:color w:val="auto"/>
              </w:rPr>
            </w:pPr>
            <w:r>
              <w:rPr>
                <w:rFonts w:ascii="Arial" w:cs="Arial" w:eastAsia="Arial" w:hAnsi="Arial"/>
                <w:sz w:val="18"/>
                <w:szCs w:val="18"/>
                <w:color w:val="3E3935"/>
              </w:rPr>
              <w:t>875,000</w:t>
            </w:r>
          </w:p>
        </w:tc>
        <w:tc>
          <w:tcPr>
            <w:tcW w:w="700" w:type="dxa"/>
            <w:vAlign w:val="bottom"/>
          </w:tcPr>
          <w:p>
            <w:pPr>
              <w:jc w:val="right"/>
              <w:ind w:right="11"/>
              <w:spacing w:after="0"/>
              <w:rPr>
                <w:sz w:val="20"/>
                <w:szCs w:val="20"/>
                <w:color w:val="auto"/>
              </w:rPr>
            </w:pPr>
            <w:r>
              <w:rPr>
                <w:rFonts w:ascii="Arial" w:cs="Arial" w:eastAsia="Arial" w:hAnsi="Arial"/>
                <w:sz w:val="18"/>
                <w:szCs w:val="18"/>
                <w:color w:val="3E3935"/>
              </w:rPr>
              <w:t>125%</w:t>
            </w:r>
          </w:p>
        </w:tc>
        <w:tc>
          <w:tcPr>
            <w:tcW w:w="1000" w:type="dxa"/>
            <w:vAlign w:val="bottom"/>
          </w:tcPr>
          <w:p>
            <w:pPr>
              <w:jc w:val="right"/>
              <w:ind w:right="11"/>
              <w:spacing w:after="0"/>
              <w:rPr>
                <w:sz w:val="20"/>
                <w:szCs w:val="20"/>
                <w:color w:val="auto"/>
              </w:rPr>
            </w:pPr>
            <w:r>
              <w:rPr>
                <w:rFonts w:ascii="Arial" w:cs="Arial" w:eastAsia="Arial" w:hAnsi="Arial"/>
                <w:sz w:val="18"/>
                <w:szCs w:val="18"/>
                <w:color w:val="3E3935"/>
              </w:rPr>
              <w:t>1,093,800</w:t>
            </w:r>
          </w:p>
        </w:tc>
        <w:tc>
          <w:tcPr>
            <w:tcW w:w="1800" w:type="dxa"/>
            <w:vAlign w:val="bottom"/>
          </w:tcPr>
          <w:p>
            <w:pPr>
              <w:jc w:val="right"/>
              <w:ind w:right="232"/>
              <w:spacing w:after="0"/>
              <w:rPr>
                <w:sz w:val="20"/>
                <w:szCs w:val="20"/>
                <w:color w:val="auto"/>
              </w:rPr>
            </w:pPr>
            <w:r>
              <w:rPr>
                <w:rFonts w:ascii="Arial" w:cs="Arial" w:eastAsia="Arial" w:hAnsi="Arial"/>
                <w:sz w:val="18"/>
                <w:szCs w:val="18"/>
                <w:b w:val="1"/>
                <w:bCs w:val="1"/>
                <w:color w:val="3E3935"/>
              </w:rPr>
              <w:t>1,968,800</w:t>
            </w:r>
          </w:p>
        </w:tc>
        <w:tc>
          <w:tcPr>
            <w:tcW w:w="1260" w:type="dxa"/>
            <w:vAlign w:val="bottom"/>
          </w:tcPr>
          <w:p>
            <w:pPr>
              <w:jc w:val="right"/>
              <w:ind w:right="112"/>
              <w:spacing w:after="0"/>
              <w:rPr>
                <w:sz w:val="20"/>
                <w:szCs w:val="20"/>
                <w:color w:val="auto"/>
              </w:rPr>
            </w:pPr>
            <w:r>
              <w:rPr>
                <w:rFonts w:ascii="Arial" w:cs="Arial" w:eastAsia="Arial" w:hAnsi="Arial"/>
                <w:sz w:val="18"/>
                <w:szCs w:val="18"/>
                <w:color w:val="3E3935"/>
              </w:rPr>
              <w:t>4,523,400</w:t>
            </w:r>
          </w:p>
        </w:tc>
        <w:tc>
          <w:tcPr>
            <w:tcW w:w="860" w:type="dxa"/>
            <w:vAlign w:val="bottom"/>
          </w:tcPr>
          <w:p>
            <w:pPr>
              <w:jc w:val="right"/>
              <w:spacing w:after="0"/>
              <w:rPr>
                <w:sz w:val="20"/>
                <w:szCs w:val="20"/>
                <w:color w:val="auto"/>
              </w:rPr>
            </w:pPr>
            <w:r>
              <w:rPr>
                <w:rFonts w:ascii="Arial" w:cs="Arial" w:eastAsia="Arial" w:hAnsi="Arial"/>
                <w:sz w:val="18"/>
                <w:szCs w:val="18"/>
                <w:color w:val="3E3935"/>
                <w:w w:val="97"/>
              </w:rPr>
              <w:t>1,507,800</w:t>
            </w:r>
          </w:p>
        </w:tc>
        <w:tc>
          <w:tcPr>
            <w:tcW w:w="1600" w:type="dxa"/>
            <w:vAlign w:val="bottom"/>
          </w:tcPr>
          <w:p>
            <w:pPr>
              <w:jc w:val="right"/>
              <w:spacing w:after="0"/>
              <w:rPr>
                <w:sz w:val="20"/>
                <w:szCs w:val="20"/>
                <w:color w:val="auto"/>
              </w:rPr>
            </w:pPr>
            <w:r>
              <w:rPr>
                <w:rFonts w:ascii="Arial" w:cs="Arial" w:eastAsia="Arial" w:hAnsi="Arial"/>
                <w:sz w:val="18"/>
                <w:szCs w:val="18"/>
                <w:b w:val="1"/>
                <w:bCs w:val="1"/>
                <w:color w:val="3E3935"/>
              </w:rPr>
              <w:t>8,000,000</w:t>
            </w:r>
          </w:p>
        </w:tc>
        <w:tc>
          <w:tcPr>
            <w:tcW w:w="0" w:type="dxa"/>
            <w:vAlign w:val="bottom"/>
          </w:tcPr>
          <w:p>
            <w:pPr>
              <w:spacing w:after="0"/>
              <w:rPr>
                <w:sz w:val="1"/>
                <w:szCs w:val="1"/>
                <w:color w:val="auto"/>
              </w:rPr>
            </w:pPr>
          </w:p>
        </w:tc>
      </w:tr>
      <w:tr>
        <w:trPr>
          <w:trHeight w:val="56"/>
        </w:trPr>
        <w:tc>
          <w:tcPr>
            <w:tcW w:w="2200" w:type="dxa"/>
            <w:vAlign w:val="bottom"/>
            <w:tcBorders>
              <w:bottom w:val="single" w:sz="8" w:color="3E3935"/>
            </w:tcBorders>
          </w:tcPr>
          <w:p>
            <w:pPr>
              <w:spacing w:after="0"/>
              <w:rPr>
                <w:sz w:val="4"/>
                <w:szCs w:val="4"/>
                <w:color w:val="auto"/>
              </w:rPr>
            </w:pPr>
          </w:p>
        </w:tc>
        <w:tc>
          <w:tcPr>
            <w:tcW w:w="1600" w:type="dxa"/>
            <w:vAlign w:val="bottom"/>
            <w:tcBorders>
              <w:bottom w:val="single" w:sz="8" w:color="3E3935"/>
            </w:tcBorders>
          </w:tcPr>
          <w:p>
            <w:pPr>
              <w:spacing w:after="0"/>
              <w:rPr>
                <w:sz w:val="4"/>
                <w:szCs w:val="4"/>
                <w:color w:val="auto"/>
              </w:rPr>
            </w:pPr>
          </w:p>
        </w:tc>
        <w:tc>
          <w:tcPr>
            <w:tcW w:w="700" w:type="dxa"/>
            <w:vAlign w:val="bottom"/>
            <w:tcBorders>
              <w:bottom w:val="single" w:sz="8" w:color="3E3935"/>
            </w:tcBorders>
          </w:tcPr>
          <w:p>
            <w:pPr>
              <w:spacing w:after="0"/>
              <w:rPr>
                <w:sz w:val="4"/>
                <w:szCs w:val="4"/>
                <w:color w:val="auto"/>
              </w:rPr>
            </w:pPr>
          </w:p>
        </w:tc>
        <w:tc>
          <w:tcPr>
            <w:tcW w:w="1000" w:type="dxa"/>
            <w:vAlign w:val="bottom"/>
            <w:tcBorders>
              <w:bottom w:val="single" w:sz="8" w:color="3E3935"/>
            </w:tcBorders>
          </w:tcPr>
          <w:p>
            <w:pPr>
              <w:spacing w:after="0"/>
              <w:rPr>
                <w:sz w:val="4"/>
                <w:szCs w:val="4"/>
                <w:color w:val="auto"/>
              </w:rPr>
            </w:pPr>
          </w:p>
        </w:tc>
        <w:tc>
          <w:tcPr>
            <w:tcW w:w="1800" w:type="dxa"/>
            <w:vAlign w:val="bottom"/>
            <w:tcBorders>
              <w:bottom w:val="single" w:sz="8" w:color="3E3935"/>
            </w:tcBorders>
          </w:tcPr>
          <w:p>
            <w:pPr>
              <w:spacing w:after="0"/>
              <w:rPr>
                <w:sz w:val="4"/>
                <w:szCs w:val="4"/>
                <w:color w:val="auto"/>
              </w:rPr>
            </w:pPr>
          </w:p>
        </w:tc>
        <w:tc>
          <w:tcPr>
            <w:tcW w:w="1260" w:type="dxa"/>
            <w:vAlign w:val="bottom"/>
            <w:tcBorders>
              <w:bottom w:val="single" w:sz="8" w:color="3E3935"/>
            </w:tcBorders>
          </w:tcPr>
          <w:p>
            <w:pPr>
              <w:spacing w:after="0"/>
              <w:rPr>
                <w:sz w:val="4"/>
                <w:szCs w:val="4"/>
                <w:color w:val="auto"/>
              </w:rPr>
            </w:pPr>
          </w:p>
        </w:tc>
        <w:tc>
          <w:tcPr>
            <w:tcW w:w="860" w:type="dxa"/>
            <w:vAlign w:val="bottom"/>
            <w:tcBorders>
              <w:bottom w:val="single" w:sz="8" w:color="3E3935"/>
            </w:tcBorders>
          </w:tcPr>
          <w:p>
            <w:pPr>
              <w:spacing w:after="0"/>
              <w:rPr>
                <w:sz w:val="4"/>
                <w:szCs w:val="4"/>
                <w:color w:val="auto"/>
              </w:rPr>
            </w:pPr>
          </w:p>
        </w:tc>
        <w:tc>
          <w:tcPr>
            <w:tcW w:w="1600" w:type="dxa"/>
            <w:vAlign w:val="bottom"/>
            <w:tcBorders>
              <w:bottom w:val="single" w:sz="8" w:color="3E3935"/>
            </w:tcBorders>
          </w:tcPr>
          <w:p>
            <w:pPr>
              <w:spacing w:after="0"/>
              <w:rPr>
                <w:sz w:val="4"/>
                <w:szCs w:val="4"/>
                <w:color w:val="auto"/>
              </w:rPr>
            </w:pPr>
          </w:p>
        </w:tc>
        <w:tc>
          <w:tcPr>
            <w:tcW w:w="0" w:type="dxa"/>
            <w:vAlign w:val="bottom"/>
          </w:tcPr>
          <w:p>
            <w:pPr>
              <w:spacing w:after="0"/>
              <w:rPr>
                <w:sz w:val="1"/>
                <w:szCs w:val="1"/>
                <w:color w:val="auto"/>
              </w:rPr>
            </w:pPr>
          </w:p>
        </w:tc>
      </w:tr>
      <w:tr>
        <w:trPr>
          <w:trHeight w:val="289"/>
        </w:trPr>
        <w:tc>
          <w:tcPr>
            <w:tcW w:w="2200" w:type="dxa"/>
            <w:vAlign w:val="bottom"/>
          </w:tcPr>
          <w:p>
            <w:pPr>
              <w:ind w:left="80"/>
              <w:spacing w:after="0"/>
              <w:rPr>
                <w:sz w:val="20"/>
                <w:szCs w:val="20"/>
                <w:color w:val="auto"/>
              </w:rPr>
            </w:pPr>
            <w:r>
              <w:rPr>
                <w:rFonts w:ascii="Arial" w:cs="Arial" w:eastAsia="Arial" w:hAnsi="Arial"/>
                <w:sz w:val="18"/>
                <w:szCs w:val="18"/>
                <w:color w:val="3E3935"/>
              </w:rPr>
              <w:t>Stephen K. Carlisle</w:t>
            </w:r>
          </w:p>
        </w:tc>
        <w:tc>
          <w:tcPr>
            <w:tcW w:w="1600" w:type="dxa"/>
            <w:vAlign w:val="bottom"/>
          </w:tcPr>
          <w:p>
            <w:pPr>
              <w:jc w:val="right"/>
              <w:spacing w:after="0"/>
              <w:rPr>
                <w:sz w:val="20"/>
                <w:szCs w:val="20"/>
                <w:color w:val="auto"/>
              </w:rPr>
            </w:pPr>
            <w:r>
              <w:rPr>
                <w:rFonts w:ascii="Arial" w:cs="Arial" w:eastAsia="Arial" w:hAnsi="Arial"/>
                <w:sz w:val="18"/>
                <w:szCs w:val="18"/>
                <w:color w:val="3E3935"/>
              </w:rPr>
              <w:t>875,000</w:t>
            </w:r>
          </w:p>
        </w:tc>
        <w:tc>
          <w:tcPr>
            <w:tcW w:w="700" w:type="dxa"/>
            <w:vAlign w:val="bottom"/>
          </w:tcPr>
          <w:p>
            <w:pPr>
              <w:jc w:val="right"/>
              <w:ind w:right="11"/>
              <w:spacing w:after="0"/>
              <w:rPr>
                <w:sz w:val="20"/>
                <w:szCs w:val="20"/>
                <w:color w:val="auto"/>
              </w:rPr>
            </w:pPr>
            <w:r>
              <w:rPr>
                <w:rFonts w:ascii="Arial" w:cs="Arial" w:eastAsia="Arial" w:hAnsi="Arial"/>
                <w:sz w:val="18"/>
                <w:szCs w:val="18"/>
                <w:color w:val="3E3935"/>
              </w:rPr>
              <w:t>125%</w:t>
            </w:r>
          </w:p>
        </w:tc>
        <w:tc>
          <w:tcPr>
            <w:tcW w:w="1000" w:type="dxa"/>
            <w:vAlign w:val="bottom"/>
          </w:tcPr>
          <w:p>
            <w:pPr>
              <w:jc w:val="right"/>
              <w:ind w:right="11"/>
              <w:spacing w:after="0"/>
              <w:rPr>
                <w:sz w:val="20"/>
                <w:szCs w:val="20"/>
                <w:color w:val="auto"/>
              </w:rPr>
            </w:pPr>
            <w:r>
              <w:rPr>
                <w:rFonts w:ascii="Arial" w:cs="Arial" w:eastAsia="Arial" w:hAnsi="Arial"/>
                <w:sz w:val="18"/>
                <w:szCs w:val="18"/>
                <w:color w:val="3E3935"/>
              </w:rPr>
              <w:t>1,093,800</w:t>
            </w:r>
          </w:p>
        </w:tc>
        <w:tc>
          <w:tcPr>
            <w:tcW w:w="1800" w:type="dxa"/>
            <w:vAlign w:val="bottom"/>
          </w:tcPr>
          <w:p>
            <w:pPr>
              <w:jc w:val="right"/>
              <w:ind w:right="232"/>
              <w:spacing w:after="0"/>
              <w:rPr>
                <w:sz w:val="20"/>
                <w:szCs w:val="20"/>
                <w:color w:val="auto"/>
              </w:rPr>
            </w:pPr>
            <w:r>
              <w:rPr>
                <w:rFonts w:ascii="Arial" w:cs="Arial" w:eastAsia="Arial" w:hAnsi="Arial"/>
                <w:sz w:val="18"/>
                <w:szCs w:val="18"/>
                <w:b w:val="1"/>
                <w:bCs w:val="1"/>
                <w:color w:val="3E3935"/>
              </w:rPr>
              <w:t>1,968,800</w:t>
            </w:r>
          </w:p>
        </w:tc>
        <w:tc>
          <w:tcPr>
            <w:tcW w:w="1260" w:type="dxa"/>
            <w:vAlign w:val="bottom"/>
          </w:tcPr>
          <w:p>
            <w:pPr>
              <w:jc w:val="right"/>
              <w:ind w:right="112"/>
              <w:spacing w:after="0"/>
              <w:rPr>
                <w:sz w:val="20"/>
                <w:szCs w:val="20"/>
                <w:color w:val="auto"/>
              </w:rPr>
            </w:pPr>
            <w:r>
              <w:rPr>
                <w:rFonts w:ascii="Arial" w:cs="Arial" w:eastAsia="Arial" w:hAnsi="Arial"/>
                <w:sz w:val="18"/>
                <w:szCs w:val="18"/>
                <w:color w:val="3E3935"/>
              </w:rPr>
              <w:t>4,523,400</w:t>
            </w:r>
          </w:p>
        </w:tc>
        <w:tc>
          <w:tcPr>
            <w:tcW w:w="860" w:type="dxa"/>
            <w:vAlign w:val="bottom"/>
          </w:tcPr>
          <w:p>
            <w:pPr>
              <w:jc w:val="right"/>
              <w:spacing w:after="0"/>
              <w:rPr>
                <w:sz w:val="20"/>
                <w:szCs w:val="20"/>
                <w:color w:val="auto"/>
              </w:rPr>
            </w:pPr>
            <w:r>
              <w:rPr>
                <w:rFonts w:ascii="Arial" w:cs="Arial" w:eastAsia="Arial" w:hAnsi="Arial"/>
                <w:sz w:val="18"/>
                <w:szCs w:val="18"/>
                <w:color w:val="3E3935"/>
                <w:w w:val="97"/>
              </w:rPr>
              <w:t>1,507,800</w:t>
            </w:r>
          </w:p>
        </w:tc>
        <w:tc>
          <w:tcPr>
            <w:tcW w:w="1600" w:type="dxa"/>
            <w:vAlign w:val="bottom"/>
          </w:tcPr>
          <w:p>
            <w:pPr>
              <w:jc w:val="right"/>
              <w:spacing w:after="0"/>
              <w:rPr>
                <w:sz w:val="20"/>
                <w:szCs w:val="20"/>
                <w:color w:val="auto"/>
              </w:rPr>
            </w:pPr>
            <w:r>
              <w:rPr>
                <w:rFonts w:ascii="Arial" w:cs="Arial" w:eastAsia="Arial" w:hAnsi="Arial"/>
                <w:sz w:val="18"/>
                <w:szCs w:val="18"/>
                <w:b w:val="1"/>
                <w:bCs w:val="1"/>
                <w:color w:val="3E3935"/>
              </w:rPr>
              <w:t>8,000,000</w:t>
            </w:r>
          </w:p>
        </w:tc>
        <w:tc>
          <w:tcPr>
            <w:tcW w:w="0" w:type="dxa"/>
            <w:vAlign w:val="bottom"/>
          </w:tcPr>
          <w:p>
            <w:pPr>
              <w:spacing w:after="0"/>
              <w:rPr>
                <w:sz w:val="1"/>
                <w:szCs w:val="1"/>
                <w:color w:val="auto"/>
              </w:rPr>
            </w:pPr>
          </w:p>
        </w:tc>
      </w:tr>
      <w:tr>
        <w:trPr>
          <w:trHeight w:val="55"/>
        </w:trPr>
        <w:tc>
          <w:tcPr>
            <w:tcW w:w="2200" w:type="dxa"/>
            <w:vAlign w:val="bottom"/>
            <w:tcBorders>
              <w:bottom w:val="single" w:sz="8" w:color="0071CE"/>
            </w:tcBorders>
          </w:tcPr>
          <w:p>
            <w:pPr>
              <w:spacing w:after="0"/>
              <w:rPr>
                <w:sz w:val="4"/>
                <w:szCs w:val="4"/>
                <w:color w:val="auto"/>
              </w:rPr>
            </w:pPr>
          </w:p>
        </w:tc>
        <w:tc>
          <w:tcPr>
            <w:tcW w:w="1600" w:type="dxa"/>
            <w:vAlign w:val="bottom"/>
            <w:tcBorders>
              <w:bottom w:val="single" w:sz="8" w:color="0071CE"/>
            </w:tcBorders>
          </w:tcPr>
          <w:p>
            <w:pPr>
              <w:spacing w:after="0"/>
              <w:rPr>
                <w:sz w:val="4"/>
                <w:szCs w:val="4"/>
                <w:color w:val="auto"/>
              </w:rPr>
            </w:pPr>
          </w:p>
        </w:tc>
        <w:tc>
          <w:tcPr>
            <w:tcW w:w="700" w:type="dxa"/>
            <w:vAlign w:val="bottom"/>
            <w:tcBorders>
              <w:bottom w:val="single" w:sz="8" w:color="0071CE"/>
            </w:tcBorders>
          </w:tcPr>
          <w:p>
            <w:pPr>
              <w:spacing w:after="0"/>
              <w:rPr>
                <w:sz w:val="4"/>
                <w:szCs w:val="4"/>
                <w:color w:val="auto"/>
              </w:rPr>
            </w:pPr>
          </w:p>
        </w:tc>
        <w:tc>
          <w:tcPr>
            <w:tcW w:w="1000" w:type="dxa"/>
            <w:vAlign w:val="bottom"/>
            <w:tcBorders>
              <w:bottom w:val="single" w:sz="8" w:color="0071CE"/>
            </w:tcBorders>
          </w:tcPr>
          <w:p>
            <w:pPr>
              <w:spacing w:after="0"/>
              <w:rPr>
                <w:sz w:val="4"/>
                <w:szCs w:val="4"/>
                <w:color w:val="auto"/>
              </w:rPr>
            </w:pPr>
          </w:p>
        </w:tc>
        <w:tc>
          <w:tcPr>
            <w:tcW w:w="1800" w:type="dxa"/>
            <w:vAlign w:val="bottom"/>
            <w:tcBorders>
              <w:bottom w:val="single" w:sz="8" w:color="0071CE"/>
            </w:tcBorders>
          </w:tcPr>
          <w:p>
            <w:pPr>
              <w:spacing w:after="0"/>
              <w:rPr>
                <w:sz w:val="4"/>
                <w:szCs w:val="4"/>
                <w:color w:val="auto"/>
              </w:rPr>
            </w:pPr>
          </w:p>
        </w:tc>
        <w:tc>
          <w:tcPr>
            <w:tcW w:w="1260" w:type="dxa"/>
            <w:vAlign w:val="bottom"/>
            <w:tcBorders>
              <w:bottom w:val="single" w:sz="8" w:color="0071CE"/>
            </w:tcBorders>
          </w:tcPr>
          <w:p>
            <w:pPr>
              <w:spacing w:after="0"/>
              <w:rPr>
                <w:sz w:val="4"/>
                <w:szCs w:val="4"/>
                <w:color w:val="auto"/>
              </w:rPr>
            </w:pPr>
          </w:p>
        </w:tc>
        <w:tc>
          <w:tcPr>
            <w:tcW w:w="860" w:type="dxa"/>
            <w:vAlign w:val="bottom"/>
            <w:tcBorders>
              <w:bottom w:val="single" w:sz="8" w:color="0071CE"/>
            </w:tcBorders>
          </w:tcPr>
          <w:p>
            <w:pPr>
              <w:spacing w:after="0"/>
              <w:rPr>
                <w:sz w:val="4"/>
                <w:szCs w:val="4"/>
                <w:color w:val="auto"/>
              </w:rPr>
            </w:pPr>
          </w:p>
        </w:tc>
        <w:tc>
          <w:tcPr>
            <w:tcW w:w="1600" w:type="dxa"/>
            <w:vAlign w:val="bottom"/>
            <w:tcBorders>
              <w:bottom w:val="single" w:sz="8" w:color="0071CE"/>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105" w:lineRule="exact"/>
        <w:rPr>
          <w:sz w:val="20"/>
          <w:szCs w:val="20"/>
          <w:color w:val="auto"/>
        </w:rPr>
      </w:pPr>
    </w:p>
    <w:p>
      <w:pPr>
        <w:jc w:val="both"/>
        <w:ind w:left="540" w:right="20" w:hanging="424"/>
        <w:spacing w:after="0" w:line="252" w:lineRule="auto"/>
        <w:tabs>
          <w:tab w:leader="none" w:pos="540" w:val="left"/>
        </w:tabs>
        <w:numPr>
          <w:ilvl w:val="0"/>
          <w:numId w:val="89"/>
        </w:numPr>
        <w:rPr>
          <w:rFonts w:ascii="Arial" w:cs="Arial" w:eastAsia="Arial" w:hAnsi="Arial"/>
          <w:sz w:val="18"/>
          <w:szCs w:val="18"/>
          <w:i w:val="1"/>
          <w:iCs w:val="1"/>
          <w:color w:val="3E3935"/>
        </w:rPr>
      </w:pPr>
      <w:r>
        <w:rPr>
          <w:rFonts w:ascii="Arial" w:cs="Arial" w:eastAsia="Arial" w:hAnsi="Arial"/>
          <w:sz w:val="18"/>
          <w:szCs w:val="18"/>
          <w:i w:val="1"/>
          <w:iCs w:val="1"/>
          <w:color w:val="3E3935"/>
        </w:rPr>
        <w:t>The number of PSUs awarded is determined by using the target PSU value divided by the closing stock price on the date of grant for the EBIT-adjusted Margin and EV Measures portions of the award, and the results of the Monte Carlo analysis for the Relative TSR portion of the award.</w:t>
      </w:r>
    </w:p>
    <w:p>
      <w:pPr>
        <w:spacing w:after="0" w:line="112" w:lineRule="exact"/>
        <w:rPr>
          <w:sz w:val="20"/>
          <w:szCs w:val="20"/>
          <w:color w:val="auto"/>
        </w:rPr>
      </w:pPr>
    </w:p>
    <w:p>
      <w:pPr>
        <w:ind w:left="120"/>
        <w:spacing w:after="0"/>
        <w:rPr>
          <w:sz w:val="20"/>
          <w:szCs w:val="20"/>
          <w:color w:val="auto"/>
        </w:rPr>
      </w:pPr>
      <w:r>
        <w:rPr>
          <w:rFonts w:ascii="Arial" w:cs="Arial" w:eastAsia="Arial" w:hAnsi="Arial"/>
          <w:sz w:val="14"/>
          <w:szCs w:val="14"/>
          <w:color w:val="0071CE"/>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wp:posOffset>
            </wp:positionH>
            <wp:positionV relativeFrom="paragraph">
              <wp:posOffset>-95885</wp:posOffset>
            </wp:positionV>
            <wp:extent cx="5983605" cy="10287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5983605" cy="102870"/>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29"/>
          <w:szCs w:val="29"/>
          <w:color w:val="3E3935"/>
        </w:rPr>
        <w:t>Performance Measures</w:t>
      </w:r>
    </w:p>
    <w:p>
      <w:pPr>
        <w:spacing w:after="0" w:line="162" w:lineRule="exact"/>
        <w:rPr>
          <w:sz w:val="20"/>
          <w:szCs w:val="20"/>
          <w:color w:val="auto"/>
        </w:rPr>
      </w:pPr>
    </w:p>
    <w:p>
      <w:pPr>
        <w:ind w:left="660" w:hanging="544"/>
        <w:spacing w:after="0"/>
        <w:tabs>
          <w:tab w:leader="none" w:pos="660" w:val="left"/>
        </w:tabs>
        <w:numPr>
          <w:ilvl w:val="0"/>
          <w:numId w:val="90"/>
        </w:numPr>
        <w:rPr>
          <w:rFonts w:ascii="Times New Roman" w:cs="Times New Roman" w:eastAsia="Times New Roman" w:hAnsi="Times New Roman"/>
          <w:sz w:val="19"/>
          <w:szCs w:val="19"/>
          <w:color w:val="0071CE"/>
        </w:rPr>
      </w:pPr>
      <w:r>
        <w:rPr>
          <w:rFonts w:ascii="Arial" w:cs="Arial" w:eastAsia="Arial" w:hAnsi="Arial"/>
          <w:sz w:val="25"/>
          <w:szCs w:val="25"/>
          <w:color w:val="3E3935"/>
        </w:rPr>
        <w:t>How We Set Performance Targets</w:t>
      </w:r>
    </w:p>
    <w:p>
      <w:pPr>
        <w:spacing w:after="0" w:line="118" w:lineRule="exact"/>
        <w:rPr>
          <w:sz w:val="20"/>
          <w:szCs w:val="20"/>
          <w:color w:val="auto"/>
        </w:rPr>
      </w:pPr>
    </w:p>
    <w:p>
      <w:pPr>
        <w:jc w:val="both"/>
        <w:ind w:left="120"/>
        <w:spacing w:after="0" w:line="237" w:lineRule="auto"/>
        <w:rPr>
          <w:sz w:val="20"/>
          <w:szCs w:val="20"/>
          <w:color w:val="auto"/>
        </w:rPr>
      </w:pPr>
      <w:r>
        <w:rPr>
          <w:rFonts w:ascii="Arial" w:cs="Arial" w:eastAsia="Arial" w:hAnsi="Arial"/>
          <w:sz w:val="20"/>
          <w:szCs w:val="20"/>
          <w:color w:val="3E3935"/>
        </w:rPr>
        <w:t>The Compensation Committee approves the performance measures for the STIP and LTIP annually. The Compensation Committee reviews recommendations from management, receives input from its independent compensation consultant, evaluates the annual budget and long-term business plan, and reviews prior year performance to approve value-creating goals tied to long-term shareholder value.</w:t>
      </w:r>
    </w:p>
    <w:p>
      <w:pPr>
        <w:spacing w:after="0" w:line="292" w:lineRule="exact"/>
        <w:rPr>
          <w:sz w:val="20"/>
          <w:szCs w:val="20"/>
          <w:color w:val="auto"/>
        </w:rPr>
      </w:pPr>
    </w:p>
    <w:p>
      <w:pPr>
        <w:ind w:left="660" w:hanging="544"/>
        <w:spacing w:after="0"/>
        <w:tabs>
          <w:tab w:leader="none" w:pos="660" w:val="left"/>
        </w:tabs>
        <w:numPr>
          <w:ilvl w:val="0"/>
          <w:numId w:val="91"/>
        </w:numPr>
        <w:rPr>
          <w:rFonts w:ascii="Times New Roman" w:cs="Times New Roman" w:eastAsia="Times New Roman" w:hAnsi="Times New Roman"/>
          <w:sz w:val="19"/>
          <w:szCs w:val="19"/>
          <w:color w:val="0071CE"/>
        </w:rPr>
      </w:pPr>
      <w:r>
        <w:rPr>
          <w:rFonts w:ascii="Arial" w:cs="Arial" w:eastAsia="Arial" w:hAnsi="Arial"/>
          <w:sz w:val="25"/>
          <w:szCs w:val="25"/>
          <w:color w:val="3E3935"/>
        </w:rPr>
        <w:t>2022 STIP Performance Measures</w:t>
      </w:r>
    </w:p>
    <w:p>
      <w:pPr>
        <w:spacing w:after="0" w:line="118" w:lineRule="exact"/>
        <w:rPr>
          <w:sz w:val="20"/>
          <w:szCs w:val="20"/>
          <w:color w:val="auto"/>
        </w:rPr>
      </w:pPr>
    </w:p>
    <w:p>
      <w:pPr>
        <w:jc w:val="both"/>
        <w:ind w:left="120" w:right="20"/>
        <w:spacing w:after="0" w:line="241" w:lineRule="auto"/>
        <w:rPr>
          <w:sz w:val="20"/>
          <w:szCs w:val="20"/>
          <w:color w:val="auto"/>
        </w:rPr>
      </w:pPr>
      <w:r>
        <w:rPr>
          <w:rFonts w:ascii="Arial" w:cs="Arial" w:eastAsia="Arial" w:hAnsi="Arial"/>
          <w:sz w:val="20"/>
          <w:szCs w:val="20"/>
          <w:color w:val="3E3935"/>
        </w:rPr>
        <w:t>STIP performance measures are linked to the Company’s annual financial goals and strategic goals that drive our long-term strategy. The Compensation Committee annually reviews and approves STIP performance measures that align with shareholders’ interests.</w:t>
      </w:r>
    </w:p>
    <w:p>
      <w:pPr>
        <w:spacing w:after="0" w:line="104" w:lineRule="exact"/>
        <w:rPr>
          <w:sz w:val="20"/>
          <w:szCs w:val="20"/>
          <w:color w:val="auto"/>
        </w:rPr>
      </w:pPr>
    </w:p>
    <w:p>
      <w:pPr>
        <w:jc w:val="both"/>
        <w:ind w:left="120" w:right="20"/>
        <w:spacing w:after="0" w:line="257" w:lineRule="auto"/>
        <w:rPr>
          <w:sz w:val="20"/>
          <w:szCs w:val="20"/>
          <w:color w:val="auto"/>
        </w:rPr>
      </w:pPr>
      <w:r>
        <w:rPr>
          <w:rFonts w:ascii="Arial" w:cs="Arial" w:eastAsia="Arial" w:hAnsi="Arial"/>
          <w:sz w:val="20"/>
          <w:szCs w:val="20"/>
          <w:color w:val="3E3935"/>
        </w:rPr>
        <w:t>The Compensation Committee approves strategic goals that align to delivering on our long-term Company strategy and objectives. Strategic goals cover the following five areas:</w:t>
      </w:r>
    </w:p>
    <w:p>
      <w:pPr>
        <w:spacing w:after="0" w:line="45" w:lineRule="exact"/>
        <w:rPr>
          <w:sz w:val="20"/>
          <w:szCs w:val="20"/>
          <w:color w:val="auto"/>
        </w:rPr>
      </w:pPr>
    </w:p>
    <w:p>
      <w:pPr>
        <w:jc w:val="both"/>
        <w:ind w:left="660" w:right="20"/>
        <w:spacing w:after="0" w:line="259" w:lineRule="auto"/>
        <w:rPr>
          <w:sz w:val="20"/>
          <w:szCs w:val="20"/>
          <w:color w:val="auto"/>
        </w:rPr>
      </w:pPr>
      <w:r>
        <w:rPr>
          <w:rFonts w:ascii="Arial" w:cs="Arial" w:eastAsia="Arial" w:hAnsi="Arial"/>
          <w:sz w:val="20"/>
          <w:szCs w:val="20"/>
          <w:b w:val="1"/>
          <w:bCs w:val="1"/>
          <w:color w:val="0071CE"/>
        </w:rPr>
        <w:t xml:space="preserve">Our People </w:t>
      </w:r>
      <w:r>
        <w:rPr>
          <w:rFonts w:ascii="Arial" w:cs="Arial" w:eastAsia="Arial" w:hAnsi="Arial"/>
          <w:sz w:val="20"/>
          <w:szCs w:val="20"/>
          <w:color w:val="3E3935"/>
        </w:rPr>
        <w:t>– Attracting, retaining, and engaging our people by providing the best employee experience that supports</w:t>
      </w:r>
      <w:r>
        <w:rPr>
          <w:rFonts w:ascii="Arial" w:cs="Arial" w:eastAsia="Arial" w:hAnsi="Arial"/>
          <w:sz w:val="20"/>
          <w:szCs w:val="20"/>
          <w:b w:val="1"/>
          <w:bCs w:val="1"/>
          <w:color w:val="0071CE"/>
        </w:rPr>
        <w:t xml:space="preserve"> </w:t>
      </w:r>
      <w:r>
        <w:rPr>
          <w:rFonts w:ascii="Arial" w:cs="Arial" w:eastAsia="Arial" w:hAnsi="Arial"/>
          <w:sz w:val="20"/>
          <w:szCs w:val="20"/>
          <w:color w:val="3E3935"/>
        </w:rPr>
        <w:t>and invests in DE&amp;I, while living values and behaviors that return people home safely every day.</w:t>
      </w:r>
    </w:p>
    <w:p>
      <w:pPr>
        <w:spacing w:after="0" w:line="44" w:lineRule="exact"/>
        <w:rPr>
          <w:sz w:val="20"/>
          <w:szCs w:val="20"/>
          <w:color w:val="auto"/>
        </w:rPr>
      </w:pPr>
    </w:p>
    <w:p>
      <w:pPr>
        <w:jc w:val="both"/>
        <w:ind w:left="660"/>
        <w:spacing w:after="0" w:line="242" w:lineRule="auto"/>
        <w:rPr>
          <w:sz w:val="20"/>
          <w:szCs w:val="20"/>
          <w:color w:val="auto"/>
        </w:rPr>
      </w:pPr>
      <w:r>
        <w:rPr>
          <w:rFonts w:ascii="Arial" w:cs="Arial" w:eastAsia="Arial" w:hAnsi="Arial"/>
          <w:sz w:val="20"/>
          <w:szCs w:val="20"/>
          <w:b w:val="1"/>
          <w:bCs w:val="1"/>
          <w:color w:val="0071CE"/>
        </w:rPr>
        <w:t xml:space="preserve">Products, Software, and Services </w:t>
      </w:r>
      <w:r>
        <w:rPr>
          <w:rFonts w:ascii="Arial" w:cs="Arial" w:eastAsia="Arial" w:hAnsi="Arial"/>
          <w:sz w:val="20"/>
          <w:szCs w:val="20"/>
          <w:color w:val="3E3935"/>
        </w:rPr>
        <w:t>– Creating leading technologies and innovations that deliver customer value, and</w:t>
      </w:r>
      <w:r>
        <w:rPr>
          <w:rFonts w:ascii="Arial" w:cs="Arial" w:eastAsia="Arial" w:hAnsi="Arial"/>
          <w:sz w:val="20"/>
          <w:szCs w:val="20"/>
          <w:b w:val="1"/>
          <w:bCs w:val="1"/>
          <w:color w:val="0071CE"/>
        </w:rPr>
        <w:t xml:space="preserve"> </w:t>
      </w:r>
      <w:r>
        <w:rPr>
          <w:rFonts w:ascii="Arial" w:cs="Arial" w:eastAsia="Arial" w:hAnsi="Arial"/>
          <w:sz w:val="20"/>
          <w:szCs w:val="20"/>
          <w:color w:val="3E3935"/>
        </w:rPr>
        <w:t>executing launch excellence with best-in-class product quality to achieve our vision of a world of zero crashes, zero emissions, and zero congestion.</w:t>
      </w:r>
    </w:p>
    <w:p>
      <w:pPr>
        <w:spacing w:after="0" w:line="60" w:lineRule="exact"/>
        <w:rPr>
          <w:sz w:val="20"/>
          <w:szCs w:val="20"/>
          <w:color w:val="auto"/>
        </w:rPr>
      </w:pPr>
    </w:p>
    <w:p>
      <w:pPr>
        <w:jc w:val="both"/>
        <w:ind w:left="660" w:right="20"/>
        <w:spacing w:after="0" w:line="242" w:lineRule="auto"/>
        <w:rPr>
          <w:sz w:val="20"/>
          <w:szCs w:val="20"/>
          <w:color w:val="auto"/>
        </w:rPr>
      </w:pPr>
      <w:r>
        <w:rPr>
          <w:rFonts w:ascii="Arial" w:cs="Arial" w:eastAsia="Arial" w:hAnsi="Arial"/>
          <w:sz w:val="20"/>
          <w:szCs w:val="20"/>
          <w:b w:val="1"/>
          <w:bCs w:val="1"/>
          <w:color w:val="0071CE"/>
        </w:rPr>
        <w:t xml:space="preserve">Citizenship </w:t>
      </w:r>
      <w:r>
        <w:rPr>
          <w:rFonts w:ascii="Arial" w:cs="Arial" w:eastAsia="Arial" w:hAnsi="Arial"/>
          <w:sz w:val="20"/>
          <w:szCs w:val="20"/>
          <w:color w:val="3E3935"/>
        </w:rPr>
        <w:t>– Prioritizing actions that are inclusive for the communities in which we live and work, including</w:t>
      </w:r>
      <w:r>
        <w:rPr>
          <w:rFonts w:ascii="Arial" w:cs="Arial" w:eastAsia="Arial" w:hAnsi="Arial"/>
          <w:sz w:val="20"/>
          <w:szCs w:val="20"/>
          <w:b w:val="1"/>
          <w:bCs w:val="1"/>
          <w:color w:val="0071CE"/>
        </w:rPr>
        <w:t xml:space="preserve"> </w:t>
      </w:r>
      <w:r>
        <w:rPr>
          <w:rFonts w:ascii="Arial" w:cs="Arial" w:eastAsia="Arial" w:hAnsi="Arial"/>
          <w:sz w:val="20"/>
          <w:szCs w:val="20"/>
          <w:color w:val="3E3935"/>
        </w:rPr>
        <w:t>implementation of our plan to be carbon neutral in our global products and operations by 2040 and to eliminate tailpipe emissions from new U.S. light-duty vehicles by 2035.</w:t>
      </w:r>
    </w:p>
    <w:p>
      <w:pPr>
        <w:spacing w:after="0" w:line="60" w:lineRule="exact"/>
        <w:rPr>
          <w:sz w:val="20"/>
          <w:szCs w:val="20"/>
          <w:color w:val="auto"/>
        </w:rPr>
      </w:pPr>
    </w:p>
    <w:p>
      <w:pPr>
        <w:jc w:val="both"/>
        <w:ind w:left="660" w:right="20"/>
        <w:spacing w:after="0" w:line="259" w:lineRule="auto"/>
        <w:rPr>
          <w:sz w:val="20"/>
          <w:szCs w:val="20"/>
          <w:color w:val="auto"/>
        </w:rPr>
      </w:pPr>
      <w:r>
        <w:rPr>
          <w:rFonts w:ascii="Arial" w:cs="Arial" w:eastAsia="Arial" w:hAnsi="Arial"/>
          <w:sz w:val="20"/>
          <w:szCs w:val="20"/>
          <w:b w:val="1"/>
          <w:bCs w:val="1"/>
          <w:color w:val="0071CE"/>
        </w:rPr>
        <w:t xml:space="preserve">Enterprise </w:t>
      </w:r>
      <w:r>
        <w:rPr>
          <w:rFonts w:ascii="Arial" w:cs="Arial" w:eastAsia="Arial" w:hAnsi="Arial"/>
          <w:sz w:val="20"/>
          <w:szCs w:val="20"/>
          <w:color w:val="3E3935"/>
        </w:rPr>
        <w:t>– Maximizing our EV opportunity through scale and cost optimization by expanding manufacturing</w:t>
      </w:r>
      <w:r>
        <w:rPr>
          <w:rFonts w:ascii="Arial" w:cs="Arial" w:eastAsia="Arial" w:hAnsi="Arial"/>
          <w:sz w:val="20"/>
          <w:szCs w:val="20"/>
          <w:b w:val="1"/>
          <w:bCs w:val="1"/>
          <w:color w:val="0071CE"/>
        </w:rPr>
        <w:t xml:space="preserve"> </w:t>
      </w:r>
      <w:r>
        <w:rPr>
          <w:rFonts w:ascii="Arial" w:cs="Arial" w:eastAsia="Arial" w:hAnsi="Arial"/>
          <w:sz w:val="20"/>
          <w:szCs w:val="20"/>
          <w:color w:val="3E3935"/>
        </w:rPr>
        <w:t>capabilities and operational excellence, while exceeding our financial and structural cost objectives.</w:t>
      </w:r>
    </w:p>
    <w:p>
      <w:pPr>
        <w:spacing w:after="0" w:line="44" w:lineRule="exact"/>
        <w:rPr>
          <w:sz w:val="20"/>
          <w:szCs w:val="20"/>
          <w:color w:val="auto"/>
        </w:rPr>
      </w:pPr>
    </w:p>
    <w:p>
      <w:pPr>
        <w:jc w:val="both"/>
        <w:ind w:left="660" w:right="20"/>
        <w:spacing w:after="0" w:line="259" w:lineRule="auto"/>
        <w:rPr>
          <w:sz w:val="20"/>
          <w:szCs w:val="20"/>
          <w:color w:val="auto"/>
        </w:rPr>
      </w:pPr>
      <w:r>
        <w:rPr>
          <w:rFonts w:ascii="Arial" w:cs="Arial" w:eastAsia="Arial" w:hAnsi="Arial"/>
          <w:sz w:val="20"/>
          <w:szCs w:val="20"/>
          <w:b w:val="1"/>
          <w:bCs w:val="1"/>
          <w:color w:val="0071CE"/>
        </w:rPr>
        <w:t xml:space="preserve">Customer Experience </w:t>
      </w:r>
      <w:r>
        <w:rPr>
          <w:rFonts w:ascii="Arial" w:cs="Arial" w:eastAsia="Arial" w:hAnsi="Arial"/>
          <w:sz w:val="20"/>
          <w:szCs w:val="20"/>
          <w:color w:val="3E3935"/>
        </w:rPr>
        <w:t>– Reimagining the customer experience, while in pursuit of EV leadership and enhancing</w:t>
      </w:r>
      <w:r>
        <w:rPr>
          <w:rFonts w:ascii="Arial" w:cs="Arial" w:eastAsia="Arial" w:hAnsi="Arial"/>
          <w:sz w:val="20"/>
          <w:szCs w:val="20"/>
          <w:b w:val="1"/>
          <w:bCs w:val="1"/>
          <w:color w:val="0071CE"/>
        </w:rPr>
        <w:t xml:space="preserve"> </w:t>
      </w:r>
      <w:r>
        <w:rPr>
          <w:rFonts w:ascii="Arial" w:cs="Arial" w:eastAsia="Arial" w:hAnsi="Arial"/>
          <w:sz w:val="20"/>
          <w:szCs w:val="20"/>
          <w:color w:val="3E3935"/>
        </w:rPr>
        <w:t>human experiences across the GM ecosystem.</w:t>
      </w:r>
    </w:p>
    <w:p>
      <w:pPr>
        <w:spacing w:after="0" w:line="86" w:lineRule="exact"/>
        <w:rPr>
          <w:sz w:val="20"/>
          <w:szCs w:val="20"/>
          <w:color w:val="auto"/>
        </w:rPr>
      </w:pPr>
    </w:p>
    <w:p>
      <w:pPr>
        <w:jc w:val="both"/>
        <w:ind w:left="120"/>
        <w:spacing w:after="0" w:line="257" w:lineRule="auto"/>
        <w:rPr>
          <w:sz w:val="20"/>
          <w:szCs w:val="20"/>
          <w:color w:val="auto"/>
        </w:rPr>
      </w:pPr>
      <w:r>
        <w:rPr>
          <w:rFonts w:ascii="Arial" w:cs="Arial" w:eastAsia="Arial" w:hAnsi="Arial"/>
          <w:sz w:val="20"/>
          <w:szCs w:val="20"/>
          <w:color w:val="3E3935"/>
        </w:rPr>
        <w:t>Following the performance period, the Compensation Committee uses a scorecard to assess individual performance results to the strategic goals above and makes final compensation decisions as discussed beginning on page 65.</w:t>
      </w:r>
    </w:p>
    <w:p>
      <w:pPr>
        <w:spacing w:after="0" w:line="74" w:lineRule="exact"/>
        <w:rPr>
          <w:sz w:val="20"/>
          <w:szCs w:val="20"/>
          <w:color w:val="auto"/>
        </w:rPr>
      </w:pPr>
    </w:p>
    <w:p>
      <w:pPr>
        <w:jc w:val="both"/>
        <w:ind w:left="120" w:right="20"/>
        <w:spacing w:after="0" w:line="234" w:lineRule="auto"/>
        <w:rPr>
          <w:sz w:val="20"/>
          <w:szCs w:val="20"/>
          <w:color w:val="auto"/>
        </w:rPr>
      </w:pPr>
      <w:r>
        <w:rPr>
          <w:rFonts w:ascii="Arial" w:cs="Arial" w:eastAsia="Arial" w:hAnsi="Arial"/>
          <w:sz w:val="20"/>
          <w:szCs w:val="20"/>
          <w:color w:val="3E3935"/>
        </w:rPr>
        <w:t>STIP awards, if any, are determined based on final Company financial performance and the Compensation Committee’s assessment of performance to strategic goals for each NEO. 2022 STIP targets were aligned to the business plan and to the guidance provided in connection with our earnings release for the year ended December 31, 2021. The targets for EBIT-adjusted and AAFCF were set above the prior year’s results. The table below describes each STIP performance measure – its weight, its target, and the leadership behavior each measure drives.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141605</wp:posOffset>
            </wp:positionV>
            <wp:extent cx="6995160"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33" w:lineRule="exact"/>
        <w:rPr>
          <w:sz w:val="20"/>
          <w:szCs w:val="20"/>
          <w:color w:val="auto"/>
        </w:rPr>
      </w:pPr>
    </w:p>
    <w:tbl>
      <w:tblPr>
        <w:tblLayout w:type="fixed"/>
        <w:tblInd w:w="120" w:type="dxa"/>
        <w:tblCellMar>
          <w:top w:w="0" w:type="dxa"/>
          <w:left w:w="0" w:type="dxa"/>
          <w:bottom w:w="0" w:type="dxa"/>
          <w:right w:w="0" w:type="dxa"/>
        </w:tblCellMar>
      </w:tblPr>
      <w:tr>
        <w:trPr>
          <w:trHeight w:val="230"/>
        </w:trPr>
        <w:tc>
          <w:tcPr>
            <w:tcW w:w="2320" w:type="dxa"/>
            <w:vAlign w:val="bottom"/>
          </w:tcPr>
          <w:p>
            <w:pPr>
              <w:ind w:left="100"/>
              <w:spacing w:after="0"/>
              <w:rPr>
                <w:sz w:val="20"/>
                <w:szCs w:val="20"/>
                <w:color w:val="auto"/>
              </w:rPr>
            </w:pPr>
            <w:r>
              <w:rPr>
                <w:rFonts w:ascii="Arial" w:cs="Arial" w:eastAsia="Arial" w:hAnsi="Arial"/>
                <w:sz w:val="20"/>
                <w:szCs w:val="20"/>
                <w:b w:val="1"/>
                <w:bCs w:val="1"/>
                <w:color w:val="00C1DE"/>
              </w:rPr>
              <w:t>STIP Performance</w:t>
            </w:r>
          </w:p>
        </w:tc>
        <w:tc>
          <w:tcPr>
            <w:tcW w:w="1180" w:type="dxa"/>
            <w:vAlign w:val="bottom"/>
            <w:vMerge w:val="restart"/>
          </w:tcPr>
          <w:p>
            <w:pPr>
              <w:jc w:val="right"/>
              <w:ind w:right="21"/>
              <w:spacing w:after="0"/>
              <w:rPr>
                <w:sz w:val="20"/>
                <w:szCs w:val="20"/>
                <w:color w:val="auto"/>
              </w:rPr>
            </w:pPr>
            <w:r>
              <w:rPr>
                <w:rFonts w:ascii="Arial" w:cs="Arial" w:eastAsia="Arial" w:hAnsi="Arial"/>
                <w:sz w:val="20"/>
                <w:szCs w:val="20"/>
                <w:b w:val="1"/>
                <w:bCs w:val="1"/>
                <w:color w:val="00C1DE"/>
              </w:rPr>
              <w:t>Weight</w:t>
            </w:r>
          </w:p>
        </w:tc>
        <w:tc>
          <w:tcPr>
            <w:tcW w:w="820" w:type="dxa"/>
            <w:vAlign w:val="bottom"/>
            <w:vMerge w:val="restart"/>
          </w:tcPr>
          <w:p>
            <w:pPr>
              <w:jc w:val="right"/>
              <w:ind w:right="1"/>
              <w:spacing w:after="0"/>
              <w:rPr>
                <w:sz w:val="20"/>
                <w:szCs w:val="20"/>
                <w:color w:val="auto"/>
              </w:rPr>
            </w:pPr>
            <w:r>
              <w:rPr>
                <w:rFonts w:ascii="Arial" w:cs="Arial" w:eastAsia="Arial" w:hAnsi="Arial"/>
                <w:sz w:val="20"/>
                <w:szCs w:val="20"/>
                <w:b w:val="1"/>
                <w:bCs w:val="1"/>
                <w:color w:val="00C1DE"/>
              </w:rPr>
              <w:t>Target</w:t>
            </w:r>
          </w:p>
        </w:tc>
        <w:tc>
          <w:tcPr>
            <w:tcW w:w="6700" w:type="dxa"/>
            <w:vAlign w:val="bottom"/>
            <w:vMerge w:val="restart"/>
          </w:tcPr>
          <w:p>
            <w:pPr>
              <w:ind w:left="100"/>
              <w:spacing w:after="0"/>
              <w:rPr>
                <w:sz w:val="20"/>
                <w:szCs w:val="20"/>
                <w:color w:val="auto"/>
              </w:rPr>
            </w:pPr>
            <w:r>
              <w:rPr>
                <w:rFonts w:ascii="Arial" w:cs="Arial" w:eastAsia="Arial" w:hAnsi="Arial"/>
                <w:sz w:val="20"/>
                <w:szCs w:val="20"/>
                <w:b w:val="1"/>
                <w:bCs w:val="1"/>
                <w:color w:val="00C1DE"/>
              </w:rPr>
              <w:t>Leadership Behaviors</w:t>
            </w:r>
          </w:p>
        </w:tc>
        <w:tc>
          <w:tcPr>
            <w:tcW w:w="0" w:type="dxa"/>
            <w:vAlign w:val="bottom"/>
          </w:tcPr>
          <w:p>
            <w:pPr>
              <w:spacing w:after="0"/>
              <w:rPr>
                <w:sz w:val="1"/>
                <w:szCs w:val="1"/>
                <w:color w:val="auto"/>
              </w:rPr>
            </w:pPr>
          </w:p>
        </w:tc>
      </w:tr>
      <w:tr>
        <w:trPr>
          <w:trHeight w:val="273"/>
        </w:trPr>
        <w:tc>
          <w:tcPr>
            <w:tcW w:w="2320" w:type="dxa"/>
            <w:vAlign w:val="bottom"/>
          </w:tcPr>
          <w:p>
            <w:pPr>
              <w:ind w:left="100"/>
              <w:spacing w:after="0"/>
              <w:rPr>
                <w:sz w:val="20"/>
                <w:szCs w:val="20"/>
                <w:color w:val="auto"/>
              </w:rPr>
            </w:pPr>
            <w:r>
              <w:rPr>
                <w:rFonts w:ascii="Arial" w:cs="Arial" w:eastAsia="Arial" w:hAnsi="Arial"/>
                <w:sz w:val="20"/>
                <w:szCs w:val="20"/>
                <w:b w:val="1"/>
                <w:bCs w:val="1"/>
                <w:color w:val="00C1DE"/>
              </w:rPr>
              <w:t>Measure</w:t>
            </w:r>
          </w:p>
        </w:tc>
        <w:tc>
          <w:tcPr>
            <w:tcW w:w="1180" w:type="dxa"/>
            <w:vAlign w:val="bottom"/>
            <w:vMerge w:val="continue"/>
          </w:tcPr>
          <w:p>
            <w:pPr>
              <w:spacing w:after="0"/>
              <w:rPr>
                <w:sz w:val="23"/>
                <w:szCs w:val="23"/>
                <w:color w:val="auto"/>
              </w:rPr>
            </w:pPr>
          </w:p>
        </w:tc>
        <w:tc>
          <w:tcPr>
            <w:tcW w:w="820" w:type="dxa"/>
            <w:vAlign w:val="bottom"/>
            <w:vMerge w:val="continue"/>
          </w:tcPr>
          <w:p>
            <w:pPr>
              <w:spacing w:after="0"/>
              <w:rPr>
                <w:sz w:val="23"/>
                <w:szCs w:val="23"/>
                <w:color w:val="auto"/>
              </w:rPr>
            </w:pPr>
          </w:p>
        </w:tc>
        <w:tc>
          <w:tcPr>
            <w:tcW w:w="670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48"/>
        </w:trPr>
        <w:tc>
          <w:tcPr>
            <w:tcW w:w="2320" w:type="dxa"/>
            <w:vAlign w:val="bottom"/>
            <w:tcBorders>
              <w:bottom w:val="single" w:sz="8" w:color="00C1DE"/>
            </w:tcBorders>
          </w:tcPr>
          <w:p>
            <w:pPr>
              <w:spacing w:after="0"/>
              <w:rPr>
                <w:sz w:val="4"/>
                <w:szCs w:val="4"/>
                <w:color w:val="auto"/>
              </w:rPr>
            </w:pPr>
          </w:p>
        </w:tc>
        <w:tc>
          <w:tcPr>
            <w:tcW w:w="1180" w:type="dxa"/>
            <w:vAlign w:val="bottom"/>
            <w:tcBorders>
              <w:bottom w:val="single" w:sz="8" w:color="00C1DE"/>
            </w:tcBorders>
          </w:tcPr>
          <w:p>
            <w:pPr>
              <w:spacing w:after="0"/>
              <w:rPr>
                <w:sz w:val="4"/>
                <w:szCs w:val="4"/>
                <w:color w:val="auto"/>
              </w:rPr>
            </w:pPr>
          </w:p>
        </w:tc>
        <w:tc>
          <w:tcPr>
            <w:tcW w:w="820" w:type="dxa"/>
            <w:vAlign w:val="bottom"/>
            <w:tcBorders>
              <w:bottom w:val="single" w:sz="8" w:color="00C1DE"/>
            </w:tcBorders>
          </w:tcPr>
          <w:p>
            <w:pPr>
              <w:spacing w:after="0"/>
              <w:rPr>
                <w:sz w:val="4"/>
                <w:szCs w:val="4"/>
                <w:color w:val="auto"/>
              </w:rPr>
            </w:pPr>
          </w:p>
        </w:tc>
        <w:tc>
          <w:tcPr>
            <w:tcW w:w="6700" w:type="dxa"/>
            <w:vAlign w:val="bottom"/>
            <w:tcBorders>
              <w:bottom w:val="single" w:sz="8" w:color="00C1DE"/>
            </w:tcBorders>
          </w:tcPr>
          <w:p>
            <w:pPr>
              <w:spacing w:after="0"/>
              <w:rPr>
                <w:sz w:val="4"/>
                <w:szCs w:val="4"/>
                <w:color w:val="auto"/>
              </w:rPr>
            </w:pPr>
          </w:p>
        </w:tc>
        <w:tc>
          <w:tcPr>
            <w:tcW w:w="0" w:type="dxa"/>
            <w:vAlign w:val="bottom"/>
          </w:tcPr>
          <w:p>
            <w:pPr>
              <w:spacing w:after="0"/>
              <w:rPr>
                <w:sz w:val="1"/>
                <w:szCs w:val="1"/>
                <w:color w:val="auto"/>
              </w:rPr>
            </w:pPr>
          </w:p>
        </w:tc>
      </w:tr>
      <w:tr>
        <w:trPr>
          <w:trHeight w:val="412"/>
        </w:trPr>
        <w:tc>
          <w:tcPr>
            <w:tcW w:w="2320" w:type="dxa"/>
            <w:vAlign w:val="bottom"/>
            <w:tcBorders>
              <w:bottom w:val="single" w:sz="8" w:color="3E3935"/>
            </w:tcBorders>
          </w:tcPr>
          <w:p>
            <w:pPr>
              <w:ind w:left="80"/>
              <w:spacing w:after="0"/>
              <w:rPr>
                <w:sz w:val="20"/>
                <w:szCs w:val="20"/>
                <w:color w:val="auto"/>
              </w:rPr>
            </w:pPr>
            <w:r>
              <w:rPr>
                <w:rFonts w:ascii="Arial" w:cs="Arial" w:eastAsia="Arial" w:hAnsi="Arial"/>
                <w:sz w:val="20"/>
                <w:szCs w:val="20"/>
                <w:color w:val="3E3935"/>
              </w:rPr>
              <w:t>EBIT-adjusted ($B)</w:t>
            </w:r>
            <w:r>
              <w:rPr>
                <w:rFonts w:ascii="Arial" w:cs="Arial" w:eastAsia="Arial" w:hAnsi="Arial"/>
                <w:sz w:val="29"/>
                <w:szCs w:val="29"/>
                <w:color w:val="3E3935"/>
                <w:vertAlign w:val="superscript"/>
              </w:rPr>
              <w:t>(1)</w:t>
            </w:r>
          </w:p>
        </w:tc>
        <w:tc>
          <w:tcPr>
            <w:tcW w:w="1180" w:type="dxa"/>
            <w:vAlign w:val="bottom"/>
            <w:tcBorders>
              <w:bottom w:val="single" w:sz="8" w:color="3E3935"/>
            </w:tcBorders>
          </w:tcPr>
          <w:p>
            <w:pPr>
              <w:jc w:val="right"/>
              <w:ind w:right="21"/>
              <w:spacing w:after="0"/>
              <w:rPr>
                <w:sz w:val="20"/>
                <w:szCs w:val="20"/>
                <w:color w:val="auto"/>
              </w:rPr>
            </w:pPr>
            <w:r>
              <w:rPr>
                <w:rFonts w:ascii="Arial" w:cs="Arial" w:eastAsia="Arial" w:hAnsi="Arial"/>
                <w:sz w:val="20"/>
                <w:szCs w:val="20"/>
                <w:color w:val="3E3935"/>
              </w:rPr>
              <w:t>50%</w:t>
            </w:r>
          </w:p>
        </w:tc>
        <w:tc>
          <w:tcPr>
            <w:tcW w:w="820" w:type="dxa"/>
            <w:vAlign w:val="bottom"/>
            <w:tcBorders>
              <w:bottom w:val="single" w:sz="8" w:color="3E3935"/>
            </w:tcBorders>
          </w:tcPr>
          <w:p>
            <w:pPr>
              <w:jc w:val="right"/>
              <w:ind w:right="1"/>
              <w:spacing w:after="0"/>
              <w:rPr>
                <w:sz w:val="20"/>
                <w:szCs w:val="20"/>
                <w:color w:val="auto"/>
              </w:rPr>
            </w:pPr>
            <w:r>
              <w:rPr>
                <w:rFonts w:ascii="Arial" w:cs="Arial" w:eastAsia="Arial" w:hAnsi="Arial"/>
                <w:sz w:val="20"/>
                <w:szCs w:val="20"/>
                <w:color w:val="3E3935"/>
              </w:rPr>
              <w:t>$15.6</w:t>
            </w:r>
          </w:p>
        </w:tc>
        <w:tc>
          <w:tcPr>
            <w:tcW w:w="6700" w:type="dxa"/>
            <w:vAlign w:val="bottom"/>
            <w:tcBorders>
              <w:bottom w:val="single" w:sz="8" w:color="3E3935"/>
            </w:tcBorders>
          </w:tcPr>
          <w:p>
            <w:pPr>
              <w:ind w:left="100"/>
              <w:spacing w:after="0"/>
              <w:rPr>
                <w:sz w:val="20"/>
                <w:szCs w:val="20"/>
                <w:color w:val="auto"/>
              </w:rPr>
            </w:pPr>
            <w:r>
              <w:rPr>
                <w:rFonts w:ascii="Arial" w:cs="Arial" w:eastAsia="Arial" w:hAnsi="Arial"/>
                <w:sz w:val="20"/>
                <w:szCs w:val="20"/>
                <w:color w:val="3E3935"/>
              </w:rPr>
              <w:t>Focus on operating results and driving strong profitability</w:t>
            </w:r>
          </w:p>
        </w:tc>
        <w:tc>
          <w:tcPr>
            <w:tcW w:w="0" w:type="dxa"/>
            <w:vAlign w:val="bottom"/>
          </w:tcPr>
          <w:p>
            <w:pPr>
              <w:spacing w:after="0"/>
              <w:rPr>
                <w:sz w:val="1"/>
                <w:szCs w:val="1"/>
                <w:color w:val="auto"/>
              </w:rPr>
            </w:pPr>
          </w:p>
        </w:tc>
      </w:tr>
      <w:tr>
        <w:trPr>
          <w:trHeight w:val="255"/>
        </w:trPr>
        <w:tc>
          <w:tcPr>
            <w:tcW w:w="2320" w:type="dxa"/>
            <w:vAlign w:val="bottom"/>
            <w:vMerge w:val="restart"/>
          </w:tcPr>
          <w:p>
            <w:pPr>
              <w:ind w:left="80"/>
              <w:spacing w:after="0"/>
              <w:rPr>
                <w:sz w:val="20"/>
                <w:szCs w:val="20"/>
                <w:color w:val="auto"/>
              </w:rPr>
            </w:pPr>
            <w:r>
              <w:rPr>
                <w:rFonts w:ascii="Arial" w:cs="Arial" w:eastAsia="Arial" w:hAnsi="Arial"/>
                <w:sz w:val="20"/>
                <w:szCs w:val="20"/>
                <w:color w:val="3E3935"/>
              </w:rPr>
              <w:t>AAFCF ($B)</w:t>
            </w:r>
            <w:r>
              <w:rPr>
                <w:rFonts w:ascii="Arial" w:cs="Arial" w:eastAsia="Arial" w:hAnsi="Arial"/>
                <w:sz w:val="29"/>
                <w:szCs w:val="29"/>
                <w:color w:val="3E3935"/>
                <w:vertAlign w:val="superscript"/>
              </w:rPr>
              <w:t>(2)</w:t>
            </w:r>
          </w:p>
        </w:tc>
        <w:tc>
          <w:tcPr>
            <w:tcW w:w="1180" w:type="dxa"/>
            <w:vAlign w:val="bottom"/>
            <w:vMerge w:val="restart"/>
          </w:tcPr>
          <w:p>
            <w:pPr>
              <w:jc w:val="right"/>
              <w:ind w:right="21"/>
              <w:spacing w:after="0"/>
              <w:rPr>
                <w:sz w:val="20"/>
                <w:szCs w:val="20"/>
                <w:color w:val="auto"/>
              </w:rPr>
            </w:pPr>
            <w:r>
              <w:rPr>
                <w:rFonts w:ascii="Arial" w:cs="Arial" w:eastAsia="Arial" w:hAnsi="Arial"/>
                <w:sz w:val="20"/>
                <w:szCs w:val="20"/>
                <w:color w:val="3E3935"/>
              </w:rPr>
              <w:t>25%</w:t>
            </w:r>
          </w:p>
        </w:tc>
        <w:tc>
          <w:tcPr>
            <w:tcW w:w="820" w:type="dxa"/>
            <w:vAlign w:val="bottom"/>
            <w:vMerge w:val="restart"/>
          </w:tcPr>
          <w:p>
            <w:pPr>
              <w:jc w:val="right"/>
              <w:ind w:right="1"/>
              <w:spacing w:after="0"/>
              <w:rPr>
                <w:sz w:val="20"/>
                <w:szCs w:val="20"/>
                <w:color w:val="auto"/>
              </w:rPr>
            </w:pPr>
            <w:r>
              <w:rPr>
                <w:rFonts w:ascii="Arial" w:cs="Arial" w:eastAsia="Arial" w:hAnsi="Arial"/>
                <w:sz w:val="20"/>
                <w:szCs w:val="20"/>
                <w:color w:val="3E3935"/>
              </w:rPr>
              <w:t>$8.6</w:t>
            </w:r>
          </w:p>
        </w:tc>
        <w:tc>
          <w:tcPr>
            <w:tcW w:w="6700" w:type="dxa"/>
            <w:vAlign w:val="bottom"/>
          </w:tcPr>
          <w:p>
            <w:pPr>
              <w:ind w:left="100"/>
              <w:spacing w:after="0"/>
              <w:rPr>
                <w:sz w:val="20"/>
                <w:szCs w:val="20"/>
                <w:color w:val="auto"/>
              </w:rPr>
            </w:pPr>
            <w:r>
              <w:rPr>
                <w:rFonts w:ascii="Arial" w:cs="Arial" w:eastAsia="Arial" w:hAnsi="Arial"/>
                <w:sz w:val="20"/>
                <w:szCs w:val="20"/>
                <w:color w:val="3E3935"/>
              </w:rPr>
              <w:t>Focus on driving strong cash flow to invest in the business and returning</w:t>
            </w:r>
          </w:p>
        </w:tc>
        <w:tc>
          <w:tcPr>
            <w:tcW w:w="0" w:type="dxa"/>
            <w:vAlign w:val="bottom"/>
          </w:tcPr>
          <w:p>
            <w:pPr>
              <w:spacing w:after="0"/>
              <w:rPr>
                <w:sz w:val="1"/>
                <w:szCs w:val="1"/>
                <w:color w:val="auto"/>
              </w:rPr>
            </w:pPr>
          </w:p>
        </w:tc>
      </w:tr>
      <w:tr>
        <w:trPr>
          <w:trHeight w:val="319"/>
        </w:trPr>
        <w:tc>
          <w:tcPr>
            <w:tcW w:w="2320" w:type="dxa"/>
            <w:vAlign w:val="bottom"/>
            <w:tcBorders>
              <w:bottom w:val="single" w:sz="8" w:color="3E3935"/>
            </w:tcBorders>
            <w:vMerge w:val="continue"/>
          </w:tcPr>
          <w:p>
            <w:pPr>
              <w:spacing w:after="0"/>
              <w:rPr>
                <w:sz w:val="24"/>
                <w:szCs w:val="24"/>
                <w:color w:val="auto"/>
              </w:rPr>
            </w:pPr>
          </w:p>
        </w:tc>
        <w:tc>
          <w:tcPr>
            <w:tcW w:w="1180" w:type="dxa"/>
            <w:vAlign w:val="bottom"/>
            <w:tcBorders>
              <w:bottom w:val="single" w:sz="8" w:color="3E3935"/>
            </w:tcBorders>
            <w:vMerge w:val="continue"/>
          </w:tcPr>
          <w:p>
            <w:pPr>
              <w:spacing w:after="0"/>
              <w:rPr>
                <w:sz w:val="24"/>
                <w:szCs w:val="24"/>
                <w:color w:val="auto"/>
              </w:rPr>
            </w:pPr>
          </w:p>
        </w:tc>
        <w:tc>
          <w:tcPr>
            <w:tcW w:w="820" w:type="dxa"/>
            <w:vAlign w:val="bottom"/>
            <w:tcBorders>
              <w:bottom w:val="single" w:sz="8" w:color="3E3935"/>
            </w:tcBorders>
            <w:vMerge w:val="continue"/>
          </w:tcPr>
          <w:p>
            <w:pPr>
              <w:spacing w:after="0"/>
              <w:rPr>
                <w:sz w:val="24"/>
                <w:szCs w:val="24"/>
                <w:color w:val="auto"/>
              </w:rPr>
            </w:pPr>
          </w:p>
        </w:tc>
        <w:tc>
          <w:tcPr>
            <w:tcW w:w="6700" w:type="dxa"/>
            <w:vAlign w:val="bottom"/>
            <w:tcBorders>
              <w:bottom w:val="single" w:sz="8" w:color="3E3935"/>
            </w:tcBorders>
          </w:tcPr>
          <w:p>
            <w:pPr>
              <w:ind w:left="100"/>
              <w:spacing w:after="0"/>
              <w:rPr>
                <w:sz w:val="20"/>
                <w:szCs w:val="20"/>
                <w:color w:val="auto"/>
              </w:rPr>
            </w:pPr>
            <w:r>
              <w:rPr>
                <w:rFonts w:ascii="Arial" w:cs="Arial" w:eastAsia="Arial" w:hAnsi="Arial"/>
                <w:sz w:val="20"/>
                <w:szCs w:val="20"/>
                <w:color w:val="3E3935"/>
              </w:rPr>
              <w:t>capital to shareholders</w:t>
            </w:r>
          </w:p>
        </w:tc>
        <w:tc>
          <w:tcPr>
            <w:tcW w:w="0" w:type="dxa"/>
            <w:vAlign w:val="bottom"/>
          </w:tcPr>
          <w:p>
            <w:pPr>
              <w:spacing w:after="0"/>
              <w:rPr>
                <w:sz w:val="1"/>
                <w:szCs w:val="1"/>
                <w:color w:val="auto"/>
              </w:rPr>
            </w:pPr>
          </w:p>
        </w:tc>
      </w:tr>
      <w:tr>
        <w:trPr>
          <w:trHeight w:val="255"/>
        </w:trPr>
        <w:tc>
          <w:tcPr>
            <w:tcW w:w="2320" w:type="dxa"/>
            <w:vAlign w:val="bottom"/>
            <w:vMerge w:val="restart"/>
          </w:tcPr>
          <w:p>
            <w:pPr>
              <w:ind w:left="80"/>
              <w:spacing w:after="0"/>
              <w:rPr>
                <w:sz w:val="20"/>
                <w:szCs w:val="20"/>
                <w:color w:val="auto"/>
              </w:rPr>
            </w:pPr>
            <w:r>
              <w:rPr>
                <w:rFonts w:ascii="Arial" w:cs="Arial" w:eastAsia="Arial" w:hAnsi="Arial"/>
                <w:sz w:val="20"/>
                <w:szCs w:val="20"/>
                <w:color w:val="3E3935"/>
              </w:rPr>
              <w:t>Strategic Goals</w:t>
            </w:r>
          </w:p>
        </w:tc>
        <w:tc>
          <w:tcPr>
            <w:tcW w:w="1180" w:type="dxa"/>
            <w:vAlign w:val="bottom"/>
            <w:vMerge w:val="restart"/>
          </w:tcPr>
          <w:p>
            <w:pPr>
              <w:jc w:val="right"/>
              <w:ind w:right="21"/>
              <w:spacing w:after="0"/>
              <w:rPr>
                <w:sz w:val="20"/>
                <w:szCs w:val="20"/>
                <w:color w:val="auto"/>
              </w:rPr>
            </w:pPr>
            <w:r>
              <w:rPr>
                <w:rFonts w:ascii="Arial" w:cs="Arial" w:eastAsia="Arial" w:hAnsi="Arial"/>
                <w:sz w:val="20"/>
                <w:szCs w:val="20"/>
                <w:color w:val="3E3935"/>
              </w:rPr>
              <w:t>25%</w:t>
            </w:r>
          </w:p>
        </w:tc>
        <w:tc>
          <w:tcPr>
            <w:tcW w:w="820" w:type="dxa"/>
            <w:vAlign w:val="bottom"/>
            <w:vMerge w:val="restart"/>
          </w:tcPr>
          <w:p>
            <w:pPr>
              <w:jc w:val="right"/>
              <w:ind w:right="1"/>
              <w:spacing w:after="0"/>
              <w:rPr>
                <w:sz w:val="20"/>
                <w:szCs w:val="20"/>
                <w:color w:val="auto"/>
              </w:rPr>
            </w:pPr>
            <w:r>
              <w:rPr>
                <w:rFonts w:ascii="Arial" w:cs="Arial" w:eastAsia="Arial" w:hAnsi="Arial"/>
                <w:sz w:val="20"/>
                <w:szCs w:val="20"/>
                <w:color w:val="3E3935"/>
              </w:rPr>
              <w:t>25 pts.</w:t>
            </w:r>
          </w:p>
        </w:tc>
        <w:tc>
          <w:tcPr>
            <w:tcW w:w="6700" w:type="dxa"/>
            <w:vAlign w:val="bottom"/>
          </w:tcPr>
          <w:p>
            <w:pPr>
              <w:ind w:left="100"/>
              <w:spacing w:after="0"/>
              <w:rPr>
                <w:sz w:val="20"/>
                <w:szCs w:val="20"/>
                <w:color w:val="auto"/>
              </w:rPr>
            </w:pPr>
            <w:r>
              <w:rPr>
                <w:rFonts w:ascii="Arial" w:cs="Arial" w:eastAsia="Arial" w:hAnsi="Arial"/>
                <w:sz w:val="20"/>
                <w:szCs w:val="20"/>
                <w:color w:val="3E3935"/>
              </w:rPr>
              <w:t>Focus on performance that aligns to the Company vision, our broad social</w:t>
            </w:r>
          </w:p>
        </w:tc>
        <w:tc>
          <w:tcPr>
            <w:tcW w:w="0" w:type="dxa"/>
            <w:vAlign w:val="bottom"/>
          </w:tcPr>
          <w:p>
            <w:pPr>
              <w:spacing w:after="0"/>
              <w:rPr>
                <w:sz w:val="1"/>
                <w:szCs w:val="1"/>
                <w:color w:val="auto"/>
              </w:rPr>
            </w:pPr>
          </w:p>
        </w:tc>
      </w:tr>
      <w:tr>
        <w:trPr>
          <w:trHeight w:val="261"/>
        </w:trPr>
        <w:tc>
          <w:tcPr>
            <w:tcW w:w="2320" w:type="dxa"/>
            <w:vAlign w:val="bottom"/>
            <w:vMerge w:val="continue"/>
          </w:tcPr>
          <w:p>
            <w:pPr>
              <w:spacing w:after="0"/>
              <w:rPr>
                <w:sz w:val="22"/>
                <w:szCs w:val="22"/>
                <w:color w:val="auto"/>
              </w:rPr>
            </w:pPr>
          </w:p>
        </w:tc>
        <w:tc>
          <w:tcPr>
            <w:tcW w:w="1180" w:type="dxa"/>
            <w:vAlign w:val="bottom"/>
            <w:vMerge w:val="continue"/>
          </w:tcPr>
          <w:p>
            <w:pPr>
              <w:spacing w:after="0"/>
              <w:rPr>
                <w:sz w:val="22"/>
                <w:szCs w:val="22"/>
                <w:color w:val="auto"/>
              </w:rPr>
            </w:pPr>
          </w:p>
        </w:tc>
        <w:tc>
          <w:tcPr>
            <w:tcW w:w="820" w:type="dxa"/>
            <w:vAlign w:val="bottom"/>
            <w:vMerge w:val="continue"/>
          </w:tcPr>
          <w:p>
            <w:pPr>
              <w:spacing w:after="0"/>
              <w:rPr>
                <w:sz w:val="22"/>
                <w:szCs w:val="22"/>
                <w:color w:val="auto"/>
              </w:rPr>
            </w:pPr>
          </w:p>
        </w:tc>
        <w:tc>
          <w:tcPr>
            <w:tcW w:w="6700" w:type="dxa"/>
            <w:vAlign w:val="bottom"/>
          </w:tcPr>
          <w:p>
            <w:pPr>
              <w:ind w:left="100"/>
              <w:spacing w:after="0"/>
              <w:rPr>
                <w:sz w:val="20"/>
                <w:szCs w:val="20"/>
                <w:color w:val="auto"/>
              </w:rPr>
            </w:pPr>
            <w:r>
              <w:rPr>
                <w:rFonts w:ascii="Arial" w:cs="Arial" w:eastAsia="Arial" w:hAnsi="Arial"/>
                <w:sz w:val="20"/>
                <w:szCs w:val="20"/>
                <w:color w:val="3E3935"/>
              </w:rPr>
              <w:t>responsibilities, and drives business results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36830</wp:posOffset>
            </wp:positionV>
            <wp:extent cx="6995160" cy="88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15" w:lineRule="exact"/>
        <w:rPr>
          <w:sz w:val="20"/>
          <w:szCs w:val="20"/>
          <w:color w:val="auto"/>
        </w:rPr>
      </w:pPr>
    </w:p>
    <w:p>
      <w:pPr>
        <w:ind w:left="540" w:right="20" w:hanging="424"/>
        <w:spacing w:after="0" w:line="269" w:lineRule="auto"/>
        <w:tabs>
          <w:tab w:leader="none" w:pos="540" w:val="left"/>
        </w:tabs>
        <w:numPr>
          <w:ilvl w:val="0"/>
          <w:numId w:val="92"/>
        </w:numPr>
        <w:rPr>
          <w:rFonts w:ascii="Arial" w:cs="Arial" w:eastAsia="Arial" w:hAnsi="Arial"/>
          <w:sz w:val="18"/>
          <w:szCs w:val="18"/>
          <w:i w:val="1"/>
          <w:iCs w:val="1"/>
          <w:color w:val="3E3935"/>
        </w:rPr>
      </w:pPr>
      <w:r>
        <w:rPr>
          <w:rFonts w:ascii="Arial" w:cs="Arial" w:eastAsia="Arial" w:hAnsi="Arial"/>
          <w:sz w:val="18"/>
          <w:szCs w:val="18"/>
          <w:i w:val="1"/>
          <w:iCs w:val="1"/>
          <w:color w:val="3E3935"/>
        </w:rPr>
        <w:t>Measure adjusted for incentive purposes and excludes the impact of Cruise. For a description of how EBIT-adjusted is calculated, see Appendix A.</w:t>
      </w:r>
    </w:p>
    <w:p>
      <w:pPr>
        <w:spacing w:after="0" w:line="22" w:lineRule="exact"/>
        <w:rPr>
          <w:rFonts w:ascii="Arial" w:cs="Arial" w:eastAsia="Arial" w:hAnsi="Arial"/>
          <w:sz w:val="18"/>
          <w:szCs w:val="18"/>
          <w:i w:val="1"/>
          <w:iCs w:val="1"/>
          <w:color w:val="3E3935"/>
        </w:rPr>
      </w:pPr>
    </w:p>
    <w:p>
      <w:pPr>
        <w:ind w:left="540" w:right="20" w:hanging="424"/>
        <w:spacing w:after="0" w:line="269" w:lineRule="auto"/>
        <w:tabs>
          <w:tab w:leader="none" w:pos="540" w:val="left"/>
        </w:tabs>
        <w:numPr>
          <w:ilvl w:val="0"/>
          <w:numId w:val="92"/>
        </w:numPr>
        <w:rPr>
          <w:rFonts w:ascii="Arial" w:cs="Arial" w:eastAsia="Arial" w:hAnsi="Arial"/>
          <w:sz w:val="18"/>
          <w:szCs w:val="18"/>
          <w:i w:val="1"/>
          <w:iCs w:val="1"/>
          <w:color w:val="3E3935"/>
        </w:rPr>
      </w:pPr>
      <w:r>
        <w:rPr>
          <w:rFonts w:ascii="Arial" w:cs="Arial" w:eastAsia="Arial" w:hAnsi="Arial"/>
          <w:sz w:val="18"/>
          <w:szCs w:val="18"/>
          <w:i w:val="1"/>
          <w:iCs w:val="1"/>
          <w:color w:val="3E3935"/>
        </w:rPr>
        <w:t>Measure adjusted for incentive purposes and excludes payments related to certain recall-related expenses attributable to events occurring in 2014. For a description of how AAFCF is calculated, see Appendix A.</w:t>
      </w:r>
    </w:p>
    <w:p>
      <w:pPr>
        <w:spacing w:after="0" w:line="97" w:lineRule="exact"/>
        <w:rPr>
          <w:sz w:val="20"/>
          <w:szCs w:val="20"/>
          <w:color w:val="auto"/>
        </w:rPr>
      </w:pPr>
    </w:p>
    <w:p>
      <w:pPr>
        <w:ind w:left="10660"/>
        <w:spacing w:after="0"/>
        <w:rPr>
          <w:sz w:val="20"/>
          <w:szCs w:val="20"/>
          <w:color w:val="auto"/>
        </w:rPr>
      </w:pPr>
      <w:r>
        <w:rPr>
          <w:rFonts w:ascii="Arial" w:cs="Arial" w:eastAsia="Arial" w:hAnsi="Arial"/>
          <w:sz w:val="14"/>
          <w:szCs w:val="14"/>
          <w:color w:val="0071CE"/>
        </w:rPr>
        <w:t>61</w:t>
      </w:r>
    </w:p>
    <w:p>
      <w:pPr>
        <w:sectPr>
          <w:pgSz w:w="11900" w:h="16838" w:orient="portrait"/>
          <w:cols w:equalWidth="0" w:num="1">
            <w:col w:w="11140"/>
          </w:cols>
          <w:pgMar w:left="320" w:top="482" w:right="4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6" w:lineRule="exact"/>
        <w:rPr>
          <w:sz w:val="20"/>
          <w:szCs w:val="20"/>
          <w:color w:val="auto"/>
        </w:rPr>
      </w:pPr>
    </w:p>
    <w:p>
      <w:pPr>
        <w:jc w:val="both"/>
        <w:ind w:left="120" w:right="20"/>
        <w:spacing w:after="0" w:line="241" w:lineRule="auto"/>
        <w:rPr>
          <w:sz w:val="20"/>
          <w:szCs w:val="20"/>
          <w:color w:val="auto"/>
        </w:rPr>
      </w:pPr>
      <w:r>
        <w:rPr>
          <w:rFonts w:ascii="Arial" w:cs="Arial" w:eastAsia="Arial" w:hAnsi="Arial"/>
          <w:sz w:val="20"/>
          <w:szCs w:val="20"/>
          <w:color w:val="3E3935"/>
        </w:rPr>
        <w:t>The potential payouts for each Company performance measure range from 0 to 200 percent of target based on actual Company performance. The payout for threshold performance is 25 percent for both EBIT-adjusted and AAFCF; performance below threshold results in a 0 percent payout. Final STIP awards are calculated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973455</wp:posOffset>
            </wp:positionH>
            <wp:positionV relativeFrom="paragraph">
              <wp:posOffset>139700</wp:posOffset>
            </wp:positionV>
            <wp:extent cx="5194935" cy="178308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5194935" cy="17830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660" w:hanging="544"/>
        <w:spacing w:after="0"/>
        <w:tabs>
          <w:tab w:leader="none" w:pos="660" w:val="left"/>
        </w:tabs>
        <w:numPr>
          <w:ilvl w:val="0"/>
          <w:numId w:val="93"/>
        </w:numPr>
        <w:rPr>
          <w:rFonts w:ascii="Times New Roman" w:cs="Times New Roman" w:eastAsia="Times New Roman" w:hAnsi="Times New Roman"/>
          <w:sz w:val="19"/>
          <w:szCs w:val="19"/>
          <w:color w:val="0071CE"/>
        </w:rPr>
      </w:pPr>
      <w:r>
        <w:rPr>
          <w:rFonts w:ascii="Arial" w:cs="Arial" w:eastAsia="Arial" w:hAnsi="Arial"/>
          <w:sz w:val="25"/>
          <w:szCs w:val="25"/>
          <w:color w:val="3E3935"/>
        </w:rPr>
        <w:t>2022–2024 LTIP Performance Measures</w:t>
      </w:r>
    </w:p>
    <w:p>
      <w:pPr>
        <w:spacing w:after="0" w:line="118" w:lineRule="exact"/>
        <w:rPr>
          <w:sz w:val="20"/>
          <w:szCs w:val="20"/>
          <w:color w:val="auto"/>
        </w:rPr>
      </w:pPr>
    </w:p>
    <w:p>
      <w:pPr>
        <w:jc w:val="both"/>
        <w:ind w:left="120"/>
        <w:spacing w:after="0" w:line="248" w:lineRule="auto"/>
        <w:rPr>
          <w:sz w:val="20"/>
          <w:szCs w:val="20"/>
          <w:color w:val="auto"/>
        </w:rPr>
      </w:pPr>
      <w:r>
        <w:rPr>
          <w:rFonts w:ascii="Arial" w:cs="Arial" w:eastAsia="Arial" w:hAnsi="Arial"/>
          <w:sz w:val="19"/>
          <w:szCs w:val="19"/>
          <w:color w:val="3E3935"/>
        </w:rPr>
        <w:t>Grants made under the LTIP are intended to link the financial interests of NEOs with the long-term interests of shareholders. When determining grant amounts, the Compensation Committee considers factors such as individual responsibilities, experience, and performance. In addition, the Compensation Committee factors relevant market compensation comparison data and input provided by its independent compensation consultant. The structure includes 75 percent PSUs and 25 percent stock options. PSUs cliff-vest following a three-year performance period and stock options vest ratably over three years.</w:t>
      </w:r>
    </w:p>
    <w:p>
      <w:pPr>
        <w:spacing w:after="0" w:line="100" w:lineRule="exact"/>
        <w:rPr>
          <w:sz w:val="20"/>
          <w:szCs w:val="20"/>
          <w:color w:val="auto"/>
        </w:rPr>
      </w:pPr>
    </w:p>
    <w:p>
      <w:pPr>
        <w:jc w:val="both"/>
        <w:ind w:left="120" w:right="20"/>
        <w:spacing w:after="0" w:line="233" w:lineRule="auto"/>
        <w:rPr>
          <w:sz w:val="20"/>
          <w:szCs w:val="20"/>
          <w:color w:val="auto"/>
        </w:rPr>
      </w:pPr>
      <w:r>
        <w:rPr>
          <w:rFonts w:ascii="Arial" w:cs="Arial" w:eastAsia="Arial" w:hAnsi="Arial"/>
          <w:sz w:val="20"/>
          <w:szCs w:val="20"/>
          <w:color w:val="3E3935"/>
        </w:rPr>
        <w:t>PSUs are based on EBIT-adjusted Margin performance, Relative TSR performance against our OEM peer group shown on page 56, and EV performance measures. Relative TSR performance payout is capped at target if GM’s TSR is negative over the performance period. The PSU performance measures align our executive compensation program with our all-electric future and direct additional focus on Company growth and ESG performance, which will better support our path to EV leadership and expansion into new markets and technologies. The table below describes each PSU performance measure — its weight, its target, and the leadership behavior each measure drives.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140335</wp:posOffset>
            </wp:positionV>
            <wp:extent cx="6995160" cy="88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230"/>
        </w:trPr>
        <w:tc>
          <w:tcPr>
            <w:tcW w:w="2300" w:type="dxa"/>
            <w:vAlign w:val="bottom"/>
          </w:tcPr>
          <w:p>
            <w:pPr>
              <w:ind w:left="100"/>
              <w:spacing w:after="0"/>
              <w:rPr>
                <w:sz w:val="20"/>
                <w:szCs w:val="20"/>
                <w:color w:val="auto"/>
              </w:rPr>
            </w:pPr>
            <w:r>
              <w:rPr>
                <w:rFonts w:ascii="Arial" w:cs="Arial" w:eastAsia="Arial" w:hAnsi="Arial"/>
                <w:sz w:val="20"/>
                <w:szCs w:val="20"/>
                <w:b w:val="1"/>
                <w:bCs w:val="1"/>
                <w:color w:val="00C1DE"/>
              </w:rPr>
              <w:t>PSU Performance</w:t>
            </w:r>
          </w:p>
        </w:tc>
        <w:tc>
          <w:tcPr>
            <w:tcW w:w="1040" w:type="dxa"/>
            <w:vAlign w:val="bottom"/>
            <w:vMerge w:val="restart"/>
          </w:tcPr>
          <w:p>
            <w:pPr>
              <w:jc w:val="right"/>
              <w:ind w:right="1"/>
              <w:spacing w:after="0"/>
              <w:rPr>
                <w:sz w:val="20"/>
                <w:szCs w:val="20"/>
                <w:color w:val="auto"/>
              </w:rPr>
            </w:pPr>
            <w:r>
              <w:rPr>
                <w:rFonts w:ascii="Arial" w:cs="Arial" w:eastAsia="Arial" w:hAnsi="Arial"/>
                <w:sz w:val="20"/>
                <w:szCs w:val="20"/>
                <w:b w:val="1"/>
                <w:bCs w:val="1"/>
                <w:color w:val="00C1DE"/>
              </w:rPr>
              <w:t>Weight</w:t>
            </w:r>
          </w:p>
        </w:tc>
        <w:tc>
          <w:tcPr>
            <w:tcW w:w="1220" w:type="dxa"/>
            <w:vAlign w:val="bottom"/>
            <w:vMerge w:val="restart"/>
          </w:tcPr>
          <w:p>
            <w:pPr>
              <w:jc w:val="right"/>
              <w:spacing w:after="0"/>
              <w:rPr>
                <w:sz w:val="20"/>
                <w:szCs w:val="20"/>
                <w:color w:val="auto"/>
              </w:rPr>
            </w:pPr>
            <w:r>
              <w:rPr>
                <w:rFonts w:ascii="Arial" w:cs="Arial" w:eastAsia="Arial" w:hAnsi="Arial"/>
                <w:sz w:val="20"/>
                <w:szCs w:val="20"/>
                <w:b w:val="1"/>
                <w:bCs w:val="1"/>
                <w:color w:val="00C1DE"/>
              </w:rPr>
              <w:t>Target</w:t>
            </w:r>
            <w:r>
              <w:rPr>
                <w:rFonts w:ascii="Arial" w:cs="Arial" w:eastAsia="Arial" w:hAnsi="Arial"/>
                <w:sz w:val="29"/>
                <w:szCs w:val="29"/>
                <w:b w:val="1"/>
                <w:bCs w:val="1"/>
                <w:color w:val="00C1DE"/>
                <w:vertAlign w:val="superscript"/>
              </w:rPr>
              <w:t>(2)</w:t>
            </w:r>
          </w:p>
        </w:tc>
        <w:tc>
          <w:tcPr>
            <w:tcW w:w="6460" w:type="dxa"/>
            <w:vAlign w:val="bottom"/>
            <w:vMerge w:val="restart"/>
          </w:tcPr>
          <w:p>
            <w:pPr>
              <w:ind w:left="60"/>
              <w:spacing w:after="0"/>
              <w:rPr>
                <w:sz w:val="20"/>
                <w:szCs w:val="20"/>
                <w:color w:val="auto"/>
              </w:rPr>
            </w:pPr>
            <w:r>
              <w:rPr>
                <w:rFonts w:ascii="Arial" w:cs="Arial" w:eastAsia="Arial" w:hAnsi="Arial"/>
                <w:sz w:val="20"/>
                <w:szCs w:val="20"/>
                <w:b w:val="1"/>
                <w:bCs w:val="1"/>
                <w:color w:val="00C1DE"/>
              </w:rPr>
              <w:t>Leadership Behaviors</w:t>
            </w:r>
          </w:p>
        </w:tc>
        <w:tc>
          <w:tcPr>
            <w:tcW w:w="0" w:type="dxa"/>
            <w:vAlign w:val="bottom"/>
          </w:tcPr>
          <w:p>
            <w:pPr>
              <w:spacing w:after="0"/>
              <w:rPr>
                <w:sz w:val="1"/>
                <w:szCs w:val="1"/>
                <w:color w:val="auto"/>
              </w:rPr>
            </w:pPr>
          </w:p>
        </w:tc>
      </w:tr>
      <w:tr>
        <w:trPr>
          <w:trHeight w:val="321"/>
        </w:trPr>
        <w:tc>
          <w:tcPr>
            <w:tcW w:w="2300" w:type="dxa"/>
            <w:vAlign w:val="bottom"/>
            <w:tcBorders>
              <w:bottom w:val="single" w:sz="8" w:color="00C1DE"/>
            </w:tcBorders>
          </w:tcPr>
          <w:p>
            <w:pPr>
              <w:ind w:left="100"/>
              <w:spacing w:after="0"/>
              <w:rPr>
                <w:sz w:val="20"/>
                <w:szCs w:val="20"/>
                <w:color w:val="auto"/>
              </w:rPr>
            </w:pPr>
            <w:r>
              <w:rPr>
                <w:rFonts w:ascii="Arial" w:cs="Arial" w:eastAsia="Arial" w:hAnsi="Arial"/>
                <w:sz w:val="20"/>
                <w:szCs w:val="20"/>
                <w:b w:val="1"/>
                <w:bCs w:val="1"/>
                <w:color w:val="00C1DE"/>
              </w:rPr>
              <w:t>Measure</w:t>
            </w:r>
          </w:p>
        </w:tc>
        <w:tc>
          <w:tcPr>
            <w:tcW w:w="1040" w:type="dxa"/>
            <w:vAlign w:val="bottom"/>
            <w:tcBorders>
              <w:bottom w:val="single" w:sz="8" w:color="00C1DE"/>
            </w:tcBorders>
            <w:vMerge w:val="continue"/>
          </w:tcPr>
          <w:p>
            <w:pPr>
              <w:spacing w:after="0"/>
              <w:rPr>
                <w:sz w:val="24"/>
                <w:szCs w:val="24"/>
                <w:color w:val="auto"/>
              </w:rPr>
            </w:pPr>
          </w:p>
        </w:tc>
        <w:tc>
          <w:tcPr>
            <w:tcW w:w="1220" w:type="dxa"/>
            <w:vAlign w:val="bottom"/>
            <w:tcBorders>
              <w:bottom w:val="single" w:sz="8" w:color="00C1DE"/>
            </w:tcBorders>
            <w:vMerge w:val="continue"/>
          </w:tcPr>
          <w:p>
            <w:pPr>
              <w:spacing w:after="0"/>
              <w:rPr>
                <w:sz w:val="24"/>
                <w:szCs w:val="24"/>
                <w:color w:val="auto"/>
              </w:rPr>
            </w:pPr>
          </w:p>
        </w:tc>
        <w:tc>
          <w:tcPr>
            <w:tcW w:w="6460" w:type="dxa"/>
            <w:vAlign w:val="bottom"/>
            <w:tcBorders>
              <w:bottom w:val="single" w:sz="8" w:color="00C1DE"/>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2300" w:type="dxa"/>
            <w:vAlign w:val="bottom"/>
            <w:vMerge w:val="restart"/>
          </w:tcPr>
          <w:p>
            <w:pPr>
              <w:ind w:left="80"/>
              <w:spacing w:after="0"/>
              <w:rPr>
                <w:sz w:val="20"/>
                <w:szCs w:val="20"/>
                <w:color w:val="auto"/>
              </w:rPr>
            </w:pPr>
            <w:r>
              <w:rPr>
                <w:rFonts w:ascii="Arial" w:cs="Arial" w:eastAsia="Arial" w:hAnsi="Arial"/>
                <w:sz w:val="20"/>
                <w:szCs w:val="20"/>
                <w:color w:val="3E3935"/>
              </w:rPr>
              <w:t>EBIT-adjusted Margin</w:t>
            </w:r>
          </w:p>
        </w:tc>
        <w:tc>
          <w:tcPr>
            <w:tcW w:w="1040" w:type="dxa"/>
            <w:vAlign w:val="bottom"/>
            <w:vMerge w:val="restart"/>
          </w:tcPr>
          <w:p>
            <w:pPr>
              <w:jc w:val="right"/>
              <w:ind w:right="1"/>
              <w:spacing w:after="0"/>
              <w:rPr>
                <w:sz w:val="20"/>
                <w:szCs w:val="20"/>
                <w:color w:val="auto"/>
              </w:rPr>
            </w:pPr>
            <w:r>
              <w:rPr>
                <w:rFonts w:ascii="Arial" w:cs="Arial" w:eastAsia="Arial" w:hAnsi="Arial"/>
                <w:sz w:val="20"/>
                <w:szCs w:val="20"/>
                <w:color w:val="3E3935"/>
              </w:rPr>
              <w:t>40%</w:t>
            </w:r>
          </w:p>
        </w:tc>
        <w:tc>
          <w:tcPr>
            <w:tcW w:w="1220" w:type="dxa"/>
            <w:vAlign w:val="bottom"/>
            <w:vMerge w:val="restart"/>
          </w:tcPr>
          <w:p>
            <w:pPr>
              <w:jc w:val="center"/>
              <w:spacing w:after="0"/>
              <w:rPr>
                <w:sz w:val="20"/>
                <w:szCs w:val="20"/>
                <w:color w:val="auto"/>
              </w:rPr>
            </w:pPr>
            <w:r>
              <w:rPr>
                <w:rFonts w:ascii="Arial" w:cs="Arial" w:eastAsia="Arial" w:hAnsi="Arial"/>
                <w:sz w:val="20"/>
                <w:szCs w:val="20"/>
                <w:color w:val="3E3935"/>
                <w:w w:val="89"/>
              </w:rPr>
              <w:t>–</w:t>
            </w:r>
          </w:p>
        </w:tc>
        <w:tc>
          <w:tcPr>
            <w:tcW w:w="6460" w:type="dxa"/>
            <w:vAlign w:val="bottom"/>
          </w:tcPr>
          <w:p>
            <w:pPr>
              <w:ind w:left="60"/>
              <w:spacing w:after="0"/>
              <w:rPr>
                <w:sz w:val="20"/>
                <w:szCs w:val="20"/>
                <w:color w:val="auto"/>
              </w:rPr>
            </w:pPr>
            <w:r>
              <w:rPr>
                <w:rFonts w:ascii="Arial" w:cs="Arial" w:eastAsia="Arial" w:hAnsi="Arial"/>
                <w:sz w:val="20"/>
                <w:szCs w:val="20"/>
                <w:color w:val="3E3935"/>
              </w:rPr>
              <w:t>Focus on pursuing profitable growth opportunities and driving higher</w:t>
            </w:r>
          </w:p>
        </w:tc>
        <w:tc>
          <w:tcPr>
            <w:tcW w:w="0" w:type="dxa"/>
            <w:vAlign w:val="bottom"/>
          </w:tcPr>
          <w:p>
            <w:pPr>
              <w:spacing w:after="0"/>
              <w:rPr>
                <w:sz w:val="1"/>
                <w:szCs w:val="1"/>
                <w:color w:val="auto"/>
              </w:rPr>
            </w:pPr>
          </w:p>
        </w:tc>
      </w:tr>
      <w:tr>
        <w:trPr>
          <w:trHeight w:val="194"/>
        </w:trPr>
        <w:tc>
          <w:tcPr>
            <w:tcW w:w="2300" w:type="dxa"/>
            <w:vAlign w:val="bottom"/>
            <w:vMerge w:val="continue"/>
          </w:tcPr>
          <w:p>
            <w:pPr>
              <w:spacing w:after="0"/>
              <w:rPr>
                <w:sz w:val="16"/>
                <w:szCs w:val="16"/>
                <w:color w:val="auto"/>
              </w:rPr>
            </w:pPr>
          </w:p>
        </w:tc>
        <w:tc>
          <w:tcPr>
            <w:tcW w:w="1040" w:type="dxa"/>
            <w:vAlign w:val="bottom"/>
            <w:vMerge w:val="continue"/>
          </w:tcPr>
          <w:p>
            <w:pPr>
              <w:spacing w:after="0"/>
              <w:rPr>
                <w:sz w:val="16"/>
                <w:szCs w:val="16"/>
                <w:color w:val="auto"/>
              </w:rPr>
            </w:pPr>
          </w:p>
        </w:tc>
        <w:tc>
          <w:tcPr>
            <w:tcW w:w="1220" w:type="dxa"/>
            <w:vAlign w:val="bottom"/>
            <w:vMerge w:val="continue"/>
          </w:tcPr>
          <w:p>
            <w:pPr>
              <w:spacing w:after="0"/>
              <w:rPr>
                <w:sz w:val="16"/>
                <w:szCs w:val="16"/>
                <w:color w:val="auto"/>
              </w:rPr>
            </w:pPr>
          </w:p>
        </w:tc>
        <w:tc>
          <w:tcPr>
            <w:tcW w:w="6460" w:type="dxa"/>
            <w:vAlign w:val="bottom"/>
            <w:vMerge w:val="restart"/>
          </w:tcPr>
          <w:p>
            <w:pPr>
              <w:ind w:left="60"/>
              <w:spacing w:after="0"/>
              <w:rPr>
                <w:sz w:val="20"/>
                <w:szCs w:val="20"/>
                <w:color w:val="auto"/>
              </w:rPr>
            </w:pPr>
            <w:r>
              <w:rPr>
                <w:rFonts w:ascii="Arial" w:cs="Arial" w:eastAsia="Arial" w:hAnsi="Arial"/>
                <w:sz w:val="20"/>
                <w:szCs w:val="20"/>
                <w:color w:val="3E3935"/>
              </w:rPr>
              <w:t>margins on existing revenue bases</w:t>
            </w:r>
          </w:p>
        </w:tc>
        <w:tc>
          <w:tcPr>
            <w:tcW w:w="0" w:type="dxa"/>
            <w:vAlign w:val="bottom"/>
          </w:tcPr>
          <w:p>
            <w:pPr>
              <w:spacing w:after="0"/>
              <w:rPr>
                <w:sz w:val="1"/>
                <w:szCs w:val="1"/>
                <w:color w:val="auto"/>
              </w:rPr>
            </w:pPr>
          </w:p>
        </w:tc>
      </w:tr>
      <w:tr>
        <w:trPr>
          <w:trHeight w:val="68"/>
        </w:trPr>
        <w:tc>
          <w:tcPr>
            <w:tcW w:w="230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220" w:type="dxa"/>
            <w:vAlign w:val="bottom"/>
          </w:tcPr>
          <w:p>
            <w:pPr>
              <w:spacing w:after="0"/>
              <w:rPr>
                <w:sz w:val="5"/>
                <w:szCs w:val="5"/>
                <w:color w:val="auto"/>
              </w:rPr>
            </w:pPr>
          </w:p>
        </w:tc>
        <w:tc>
          <w:tcPr>
            <w:tcW w:w="64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11"/>
        </w:trPr>
        <w:tc>
          <w:tcPr>
            <w:tcW w:w="2300" w:type="dxa"/>
            <w:vAlign w:val="bottom"/>
            <w:tcBorders>
              <w:bottom w:val="single" w:sz="8" w:color="3E3935"/>
            </w:tcBorders>
          </w:tcPr>
          <w:p>
            <w:pPr>
              <w:spacing w:after="0"/>
              <w:rPr>
                <w:sz w:val="9"/>
                <w:szCs w:val="9"/>
                <w:color w:val="auto"/>
              </w:rPr>
            </w:pPr>
          </w:p>
        </w:tc>
        <w:tc>
          <w:tcPr>
            <w:tcW w:w="1040" w:type="dxa"/>
            <w:vAlign w:val="bottom"/>
            <w:tcBorders>
              <w:bottom w:val="single" w:sz="8" w:color="3E3935"/>
            </w:tcBorders>
          </w:tcPr>
          <w:p>
            <w:pPr>
              <w:spacing w:after="0"/>
              <w:rPr>
                <w:sz w:val="9"/>
                <w:szCs w:val="9"/>
                <w:color w:val="auto"/>
              </w:rPr>
            </w:pPr>
          </w:p>
        </w:tc>
        <w:tc>
          <w:tcPr>
            <w:tcW w:w="1220" w:type="dxa"/>
            <w:vAlign w:val="bottom"/>
            <w:tcBorders>
              <w:bottom w:val="single" w:sz="8" w:color="3E3935"/>
            </w:tcBorders>
          </w:tcPr>
          <w:p>
            <w:pPr>
              <w:spacing w:after="0"/>
              <w:rPr>
                <w:sz w:val="9"/>
                <w:szCs w:val="9"/>
                <w:color w:val="auto"/>
              </w:rPr>
            </w:pPr>
          </w:p>
        </w:tc>
        <w:tc>
          <w:tcPr>
            <w:tcW w:w="6460" w:type="dxa"/>
            <w:vAlign w:val="bottom"/>
            <w:tcBorders>
              <w:bottom w:val="single" w:sz="8" w:color="3E3935"/>
            </w:tcBorders>
          </w:tcPr>
          <w:p>
            <w:pPr>
              <w:spacing w:after="0"/>
              <w:rPr>
                <w:sz w:val="9"/>
                <w:szCs w:val="9"/>
                <w:color w:val="auto"/>
              </w:rPr>
            </w:pPr>
          </w:p>
        </w:tc>
        <w:tc>
          <w:tcPr>
            <w:tcW w:w="0" w:type="dxa"/>
            <w:vAlign w:val="bottom"/>
          </w:tcPr>
          <w:p>
            <w:pPr>
              <w:spacing w:after="0"/>
              <w:rPr>
                <w:sz w:val="1"/>
                <w:szCs w:val="1"/>
                <w:color w:val="auto"/>
              </w:rPr>
            </w:pPr>
          </w:p>
        </w:tc>
      </w:tr>
      <w:tr>
        <w:trPr>
          <w:trHeight w:val="255"/>
        </w:trPr>
        <w:tc>
          <w:tcPr>
            <w:tcW w:w="2300" w:type="dxa"/>
            <w:vAlign w:val="bottom"/>
            <w:vMerge w:val="restart"/>
          </w:tcPr>
          <w:p>
            <w:pPr>
              <w:ind w:left="80"/>
              <w:spacing w:after="0"/>
              <w:rPr>
                <w:sz w:val="20"/>
                <w:szCs w:val="20"/>
                <w:color w:val="auto"/>
              </w:rPr>
            </w:pPr>
            <w:r>
              <w:rPr>
                <w:rFonts w:ascii="Arial" w:cs="Arial" w:eastAsia="Arial" w:hAnsi="Arial"/>
                <w:sz w:val="20"/>
                <w:szCs w:val="20"/>
                <w:color w:val="3E3935"/>
              </w:rPr>
              <w:t>Relative TSR</w:t>
            </w:r>
          </w:p>
        </w:tc>
        <w:tc>
          <w:tcPr>
            <w:tcW w:w="1040" w:type="dxa"/>
            <w:vAlign w:val="bottom"/>
            <w:vMerge w:val="restart"/>
          </w:tcPr>
          <w:p>
            <w:pPr>
              <w:jc w:val="right"/>
              <w:ind w:right="1"/>
              <w:spacing w:after="0"/>
              <w:rPr>
                <w:sz w:val="20"/>
                <w:szCs w:val="20"/>
                <w:color w:val="auto"/>
              </w:rPr>
            </w:pPr>
            <w:r>
              <w:rPr>
                <w:rFonts w:ascii="Arial" w:cs="Arial" w:eastAsia="Arial" w:hAnsi="Arial"/>
                <w:sz w:val="20"/>
                <w:szCs w:val="20"/>
                <w:color w:val="3E3935"/>
              </w:rPr>
              <w:t>40%</w:t>
            </w:r>
          </w:p>
        </w:tc>
        <w:tc>
          <w:tcPr>
            <w:tcW w:w="1220" w:type="dxa"/>
            <w:vAlign w:val="bottom"/>
          </w:tcPr>
          <w:p>
            <w:pPr>
              <w:jc w:val="center"/>
              <w:spacing w:after="0"/>
              <w:rPr>
                <w:sz w:val="20"/>
                <w:szCs w:val="20"/>
                <w:color w:val="auto"/>
              </w:rPr>
            </w:pPr>
            <w:r>
              <w:rPr>
                <w:rFonts w:ascii="Arial" w:cs="Arial" w:eastAsia="Arial" w:hAnsi="Arial"/>
                <w:sz w:val="20"/>
                <w:szCs w:val="20"/>
                <w:color w:val="3E3935"/>
                <w:w w:val="97"/>
              </w:rPr>
              <w:t>50th</w:t>
            </w:r>
          </w:p>
        </w:tc>
        <w:tc>
          <w:tcPr>
            <w:tcW w:w="6460" w:type="dxa"/>
            <w:vAlign w:val="bottom"/>
          </w:tcPr>
          <w:p>
            <w:pPr>
              <w:ind w:left="60"/>
              <w:spacing w:after="0"/>
              <w:rPr>
                <w:sz w:val="20"/>
                <w:szCs w:val="20"/>
                <w:color w:val="auto"/>
              </w:rPr>
            </w:pPr>
            <w:r>
              <w:rPr>
                <w:rFonts w:ascii="Arial" w:cs="Arial" w:eastAsia="Arial" w:hAnsi="Arial"/>
                <w:sz w:val="20"/>
                <w:szCs w:val="20"/>
                <w:color w:val="3E3935"/>
              </w:rPr>
              <w:t>Focus on delivering shareholder returns that outperform our OEM peer</w:t>
            </w:r>
          </w:p>
        </w:tc>
        <w:tc>
          <w:tcPr>
            <w:tcW w:w="0" w:type="dxa"/>
            <w:vAlign w:val="bottom"/>
          </w:tcPr>
          <w:p>
            <w:pPr>
              <w:spacing w:after="0"/>
              <w:rPr>
                <w:sz w:val="1"/>
                <w:szCs w:val="1"/>
                <w:color w:val="auto"/>
              </w:rPr>
            </w:pPr>
          </w:p>
        </w:tc>
      </w:tr>
      <w:tr>
        <w:trPr>
          <w:trHeight w:val="332"/>
        </w:trPr>
        <w:tc>
          <w:tcPr>
            <w:tcW w:w="2300" w:type="dxa"/>
            <w:vAlign w:val="bottom"/>
            <w:tcBorders>
              <w:bottom w:val="single" w:sz="8" w:color="3E3935"/>
            </w:tcBorders>
            <w:vMerge w:val="continue"/>
          </w:tcPr>
          <w:p>
            <w:pPr>
              <w:spacing w:after="0"/>
              <w:rPr>
                <w:sz w:val="24"/>
                <w:szCs w:val="24"/>
                <w:color w:val="auto"/>
              </w:rPr>
            </w:pPr>
          </w:p>
        </w:tc>
        <w:tc>
          <w:tcPr>
            <w:tcW w:w="1040" w:type="dxa"/>
            <w:vAlign w:val="bottom"/>
            <w:tcBorders>
              <w:bottom w:val="single" w:sz="8" w:color="3E3935"/>
            </w:tcBorders>
            <w:vMerge w:val="continue"/>
          </w:tcPr>
          <w:p>
            <w:pPr>
              <w:spacing w:after="0"/>
              <w:rPr>
                <w:sz w:val="24"/>
                <w:szCs w:val="24"/>
                <w:color w:val="auto"/>
              </w:rPr>
            </w:pPr>
          </w:p>
        </w:tc>
        <w:tc>
          <w:tcPr>
            <w:tcW w:w="1220" w:type="dxa"/>
            <w:vAlign w:val="bottom"/>
            <w:tcBorders>
              <w:bottom w:val="single" w:sz="8" w:color="3E3935"/>
            </w:tcBorders>
          </w:tcPr>
          <w:p>
            <w:pPr>
              <w:jc w:val="right"/>
              <w:spacing w:after="0" w:line="333" w:lineRule="exact"/>
              <w:rPr>
                <w:sz w:val="20"/>
                <w:szCs w:val="20"/>
                <w:color w:val="auto"/>
              </w:rPr>
            </w:pPr>
            <w:r>
              <w:rPr>
                <w:rFonts w:ascii="Arial" w:cs="Arial" w:eastAsia="Arial" w:hAnsi="Arial"/>
                <w:sz w:val="20"/>
                <w:szCs w:val="20"/>
                <w:color w:val="3E3935"/>
              </w:rPr>
              <w:t>Percentile</w:t>
            </w:r>
            <w:r>
              <w:rPr>
                <w:rFonts w:ascii="Arial" w:cs="Arial" w:eastAsia="Arial" w:hAnsi="Arial"/>
                <w:sz w:val="29"/>
                <w:szCs w:val="29"/>
                <w:color w:val="3E3935"/>
                <w:vertAlign w:val="superscript"/>
              </w:rPr>
              <w:t>(3)</w:t>
            </w:r>
          </w:p>
        </w:tc>
        <w:tc>
          <w:tcPr>
            <w:tcW w:w="6460" w:type="dxa"/>
            <w:vAlign w:val="bottom"/>
            <w:tcBorders>
              <w:bottom w:val="single" w:sz="8" w:color="3E3935"/>
            </w:tcBorders>
          </w:tcPr>
          <w:p>
            <w:pPr>
              <w:ind w:left="60"/>
              <w:spacing w:after="0"/>
              <w:rPr>
                <w:sz w:val="20"/>
                <w:szCs w:val="20"/>
                <w:color w:val="auto"/>
              </w:rPr>
            </w:pPr>
            <w:r>
              <w:rPr>
                <w:rFonts w:ascii="Arial" w:cs="Arial" w:eastAsia="Arial" w:hAnsi="Arial"/>
                <w:sz w:val="20"/>
                <w:szCs w:val="20"/>
                <w:color w:val="3E3935"/>
              </w:rPr>
              <w:t>group</w:t>
            </w:r>
          </w:p>
        </w:tc>
        <w:tc>
          <w:tcPr>
            <w:tcW w:w="0" w:type="dxa"/>
            <w:vAlign w:val="bottom"/>
          </w:tcPr>
          <w:p>
            <w:pPr>
              <w:spacing w:after="0"/>
              <w:rPr>
                <w:sz w:val="1"/>
                <w:szCs w:val="1"/>
                <w:color w:val="auto"/>
              </w:rPr>
            </w:pPr>
          </w:p>
        </w:tc>
      </w:tr>
      <w:tr>
        <w:trPr>
          <w:trHeight w:val="527"/>
        </w:trPr>
        <w:tc>
          <w:tcPr>
            <w:tcW w:w="2300" w:type="dxa"/>
            <w:vAlign w:val="bottom"/>
          </w:tcPr>
          <w:p>
            <w:pPr>
              <w:ind w:left="80"/>
              <w:spacing w:after="0"/>
              <w:rPr>
                <w:sz w:val="20"/>
                <w:szCs w:val="20"/>
                <w:color w:val="auto"/>
              </w:rPr>
            </w:pPr>
            <w:r>
              <w:rPr>
                <w:rFonts w:ascii="Arial" w:cs="Arial" w:eastAsia="Arial" w:hAnsi="Arial"/>
                <w:sz w:val="20"/>
                <w:szCs w:val="20"/>
                <w:color w:val="3E3935"/>
              </w:rPr>
              <w:t>EV Measures</w:t>
            </w:r>
            <w:r>
              <w:rPr>
                <w:rFonts w:ascii="Arial" w:cs="Arial" w:eastAsia="Arial" w:hAnsi="Arial"/>
                <w:sz w:val="29"/>
                <w:szCs w:val="29"/>
                <w:color w:val="3E3935"/>
                <w:vertAlign w:val="superscript"/>
              </w:rPr>
              <w:t>(1)</w:t>
            </w:r>
          </w:p>
        </w:tc>
        <w:tc>
          <w:tcPr>
            <w:tcW w:w="1040" w:type="dxa"/>
            <w:vAlign w:val="bottom"/>
          </w:tcPr>
          <w:p>
            <w:pPr>
              <w:jc w:val="right"/>
              <w:ind w:right="1"/>
              <w:spacing w:after="0"/>
              <w:rPr>
                <w:sz w:val="20"/>
                <w:szCs w:val="20"/>
                <w:color w:val="auto"/>
              </w:rPr>
            </w:pPr>
            <w:r>
              <w:rPr>
                <w:rFonts w:ascii="Arial" w:cs="Arial" w:eastAsia="Arial" w:hAnsi="Arial"/>
                <w:sz w:val="20"/>
                <w:szCs w:val="20"/>
                <w:color w:val="3E3935"/>
              </w:rPr>
              <w:t>20%</w:t>
            </w:r>
          </w:p>
        </w:tc>
        <w:tc>
          <w:tcPr>
            <w:tcW w:w="1220" w:type="dxa"/>
            <w:vAlign w:val="bottom"/>
          </w:tcPr>
          <w:p>
            <w:pPr>
              <w:jc w:val="center"/>
              <w:spacing w:after="0"/>
              <w:rPr>
                <w:sz w:val="20"/>
                <w:szCs w:val="20"/>
                <w:color w:val="auto"/>
              </w:rPr>
            </w:pPr>
            <w:r>
              <w:rPr>
                <w:rFonts w:ascii="Arial" w:cs="Arial" w:eastAsia="Arial" w:hAnsi="Arial"/>
                <w:sz w:val="20"/>
                <w:szCs w:val="20"/>
                <w:color w:val="3E3935"/>
                <w:w w:val="89"/>
              </w:rPr>
              <w:t>–</w:t>
            </w:r>
          </w:p>
        </w:tc>
        <w:tc>
          <w:tcPr>
            <w:tcW w:w="6460" w:type="dxa"/>
            <w:vAlign w:val="bottom"/>
          </w:tcPr>
          <w:p>
            <w:pPr>
              <w:ind w:left="60"/>
              <w:spacing w:after="0"/>
              <w:rPr>
                <w:sz w:val="20"/>
                <w:szCs w:val="20"/>
                <w:color w:val="auto"/>
              </w:rPr>
            </w:pPr>
            <w:r>
              <w:rPr>
                <w:rFonts w:ascii="Arial" w:cs="Arial" w:eastAsia="Arial" w:hAnsi="Arial"/>
                <w:sz w:val="20"/>
                <w:szCs w:val="20"/>
                <w:color w:val="3E3935"/>
              </w:rPr>
              <w:t>Focus on executing our commitment to an all-electric future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-46355</wp:posOffset>
            </wp:positionV>
            <wp:extent cx="6995160" cy="88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ind w:left="540" w:hanging="424"/>
        <w:spacing w:after="0"/>
        <w:tabs>
          <w:tab w:leader="none" w:pos="540" w:val="left"/>
        </w:tabs>
        <w:numPr>
          <w:ilvl w:val="0"/>
          <w:numId w:val="94"/>
        </w:numPr>
        <w:rPr>
          <w:rFonts w:ascii="Arial" w:cs="Arial" w:eastAsia="Arial" w:hAnsi="Arial"/>
          <w:sz w:val="18"/>
          <w:szCs w:val="18"/>
          <w:i w:val="1"/>
          <w:iCs w:val="1"/>
          <w:color w:val="3E3935"/>
        </w:rPr>
      </w:pPr>
      <w:r>
        <w:rPr>
          <w:rFonts w:ascii="Arial" w:cs="Arial" w:eastAsia="Arial" w:hAnsi="Arial"/>
          <w:sz w:val="18"/>
          <w:szCs w:val="18"/>
          <w:i w:val="1"/>
          <w:iCs w:val="1"/>
          <w:color w:val="3E3935"/>
        </w:rPr>
        <w:t>EV Measures are comprised of GMNA EV Volume, GMNA EV Launch Timing, and GMNA EV Launch Quality (modifier).</w:t>
      </w:r>
    </w:p>
    <w:p>
      <w:pPr>
        <w:spacing w:after="0" w:line="76" w:lineRule="exact"/>
        <w:rPr>
          <w:rFonts w:ascii="Arial" w:cs="Arial" w:eastAsia="Arial" w:hAnsi="Arial"/>
          <w:sz w:val="18"/>
          <w:szCs w:val="18"/>
          <w:i w:val="1"/>
          <w:iCs w:val="1"/>
          <w:color w:val="3E3935"/>
        </w:rPr>
      </w:pPr>
    </w:p>
    <w:p>
      <w:pPr>
        <w:ind w:left="540" w:right="20" w:hanging="424"/>
        <w:spacing w:after="0" w:line="269" w:lineRule="auto"/>
        <w:tabs>
          <w:tab w:leader="none" w:pos="540" w:val="left"/>
        </w:tabs>
        <w:numPr>
          <w:ilvl w:val="0"/>
          <w:numId w:val="94"/>
        </w:numPr>
        <w:rPr>
          <w:rFonts w:ascii="Arial" w:cs="Arial" w:eastAsia="Arial" w:hAnsi="Arial"/>
          <w:sz w:val="18"/>
          <w:szCs w:val="18"/>
          <w:i w:val="1"/>
          <w:iCs w:val="1"/>
          <w:color w:val="3E3935"/>
        </w:rPr>
      </w:pPr>
      <w:r>
        <w:rPr>
          <w:rFonts w:ascii="Arial" w:cs="Arial" w:eastAsia="Arial" w:hAnsi="Arial"/>
          <w:sz w:val="18"/>
          <w:szCs w:val="18"/>
          <w:i w:val="1"/>
          <w:iCs w:val="1"/>
          <w:color w:val="3E3935"/>
        </w:rPr>
        <w:t>The performance targets for EBIT-adjusted Margin and EV Measures are not being provided at this time as providing this information will allow competitors insight into our business that could substantially harm our growth strategy.</w:t>
      </w:r>
    </w:p>
    <w:p>
      <w:pPr>
        <w:spacing w:after="0" w:line="22" w:lineRule="exact"/>
        <w:rPr>
          <w:rFonts w:ascii="Arial" w:cs="Arial" w:eastAsia="Arial" w:hAnsi="Arial"/>
          <w:sz w:val="18"/>
          <w:szCs w:val="18"/>
          <w:i w:val="1"/>
          <w:iCs w:val="1"/>
          <w:color w:val="3E3935"/>
        </w:rPr>
      </w:pPr>
    </w:p>
    <w:p>
      <w:pPr>
        <w:ind w:left="540" w:hanging="424"/>
        <w:spacing w:after="0"/>
        <w:tabs>
          <w:tab w:leader="none" w:pos="540" w:val="left"/>
        </w:tabs>
        <w:numPr>
          <w:ilvl w:val="0"/>
          <w:numId w:val="94"/>
        </w:numPr>
        <w:rPr>
          <w:rFonts w:ascii="Arial" w:cs="Arial" w:eastAsia="Arial" w:hAnsi="Arial"/>
          <w:sz w:val="18"/>
          <w:szCs w:val="18"/>
          <w:i w:val="1"/>
          <w:iCs w:val="1"/>
          <w:color w:val="3E3935"/>
        </w:rPr>
      </w:pPr>
      <w:r>
        <w:rPr>
          <w:rFonts w:ascii="Arial" w:cs="Arial" w:eastAsia="Arial" w:hAnsi="Arial"/>
          <w:sz w:val="18"/>
          <w:szCs w:val="18"/>
          <w:i w:val="1"/>
          <w:iCs w:val="1"/>
          <w:color w:val="3E3935"/>
        </w:rPr>
        <w:t>Relative TSR is capped at target if GM’s TSR is negative over the performance period.</w:t>
      </w:r>
    </w:p>
    <w:p>
      <w:pPr>
        <w:spacing w:after="0" w:line="152" w:lineRule="exact"/>
        <w:rPr>
          <w:sz w:val="20"/>
          <w:szCs w:val="20"/>
          <w:color w:val="auto"/>
        </w:rPr>
      </w:pPr>
    </w:p>
    <w:p>
      <w:pPr>
        <w:ind w:left="120"/>
        <w:spacing w:after="0"/>
        <w:rPr>
          <w:sz w:val="20"/>
          <w:szCs w:val="20"/>
          <w:color w:val="auto"/>
        </w:rPr>
      </w:pPr>
      <w:r>
        <w:rPr>
          <w:rFonts w:ascii="Arial" w:cs="Arial" w:eastAsia="Arial" w:hAnsi="Arial"/>
          <w:sz w:val="14"/>
          <w:szCs w:val="14"/>
          <w:color w:val="0071CE"/>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wp:posOffset>
            </wp:positionH>
            <wp:positionV relativeFrom="paragraph">
              <wp:posOffset>-95885</wp:posOffset>
            </wp:positionV>
            <wp:extent cx="5983605" cy="10287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5983605" cy="102870"/>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6" w:lineRule="exact"/>
        <w:rPr>
          <w:sz w:val="20"/>
          <w:szCs w:val="20"/>
          <w:color w:val="auto"/>
        </w:rPr>
      </w:pPr>
    </w:p>
    <w:p>
      <w:pPr>
        <w:ind w:left="120"/>
        <w:spacing w:after="0" w:line="257" w:lineRule="auto"/>
        <w:rPr>
          <w:sz w:val="20"/>
          <w:szCs w:val="20"/>
          <w:color w:val="auto"/>
        </w:rPr>
      </w:pPr>
      <w:r>
        <w:rPr>
          <w:rFonts w:ascii="Arial" w:cs="Arial" w:eastAsia="Arial" w:hAnsi="Arial"/>
          <w:sz w:val="20"/>
          <w:szCs w:val="20"/>
          <w:color w:val="3E3935"/>
        </w:rPr>
        <w:t>The 2022–2024 PSUs vest and deliver following the completion of the three-year performance period beginning January 1, 2022, and can be earned at a level between 0 and 200 percent of target. Final PSU awards are calculated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1024890</wp:posOffset>
            </wp:positionH>
            <wp:positionV relativeFrom="paragraph">
              <wp:posOffset>129540</wp:posOffset>
            </wp:positionV>
            <wp:extent cx="5100320" cy="178308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5100320" cy="17830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540" w:hanging="424"/>
        <w:spacing w:after="0"/>
        <w:tabs>
          <w:tab w:leader="none" w:pos="540" w:val="left"/>
        </w:tabs>
        <w:numPr>
          <w:ilvl w:val="0"/>
          <w:numId w:val="95"/>
        </w:numPr>
        <w:rPr>
          <w:rFonts w:ascii="Arial" w:cs="Arial" w:eastAsia="Arial" w:hAnsi="Arial"/>
          <w:sz w:val="18"/>
          <w:szCs w:val="18"/>
          <w:i w:val="1"/>
          <w:iCs w:val="1"/>
          <w:color w:val="3E3935"/>
        </w:rPr>
      </w:pPr>
      <w:r>
        <w:rPr>
          <w:rFonts w:ascii="Arial" w:cs="Arial" w:eastAsia="Arial" w:hAnsi="Arial"/>
          <w:sz w:val="18"/>
          <w:szCs w:val="18"/>
          <w:i w:val="1"/>
          <w:iCs w:val="1"/>
          <w:color w:val="3E3935"/>
        </w:rPr>
        <w:t>EV Measures are comprised of GMNA EV Volume, GMNA EV Launch Timing, and GMNA EV Launch Quality (modifier).</w:t>
      </w:r>
    </w:p>
    <w:p>
      <w:pPr>
        <w:spacing w:after="0" w:line="327" w:lineRule="exact"/>
        <w:rPr>
          <w:sz w:val="20"/>
          <w:szCs w:val="20"/>
          <w:color w:val="auto"/>
        </w:rPr>
      </w:pPr>
    </w:p>
    <w:p>
      <w:pPr>
        <w:ind w:left="660" w:hanging="544"/>
        <w:spacing w:after="0"/>
        <w:tabs>
          <w:tab w:leader="none" w:pos="660" w:val="left"/>
        </w:tabs>
        <w:numPr>
          <w:ilvl w:val="0"/>
          <w:numId w:val="96"/>
        </w:numPr>
        <w:rPr>
          <w:rFonts w:ascii="Times New Roman" w:cs="Times New Roman" w:eastAsia="Times New Roman" w:hAnsi="Times New Roman"/>
          <w:sz w:val="19"/>
          <w:szCs w:val="19"/>
          <w:color w:val="0071CE"/>
        </w:rPr>
      </w:pPr>
      <w:r>
        <w:rPr>
          <w:rFonts w:ascii="Arial" w:cs="Arial" w:eastAsia="Arial" w:hAnsi="Arial"/>
          <w:sz w:val="25"/>
          <w:szCs w:val="25"/>
          <w:color w:val="3E3935"/>
        </w:rPr>
        <w:t>Summary of Outstanding Performance Awards</w:t>
      </w:r>
    </w:p>
    <w:p>
      <w:pPr>
        <w:spacing w:after="0" w:line="159" w:lineRule="exact"/>
        <w:rPr>
          <w:sz w:val="20"/>
          <w:szCs w:val="20"/>
          <w:color w:val="auto"/>
        </w:rPr>
      </w:pPr>
    </w:p>
    <w:p>
      <w:pPr>
        <w:jc w:val="both"/>
        <w:ind w:left="120"/>
        <w:spacing w:after="0" w:line="237" w:lineRule="auto"/>
        <w:rPr>
          <w:sz w:val="20"/>
          <w:szCs w:val="20"/>
          <w:color w:val="auto"/>
        </w:rPr>
      </w:pPr>
      <w:r>
        <w:rPr>
          <w:rFonts w:ascii="Arial" w:cs="Arial" w:eastAsia="Arial" w:hAnsi="Arial"/>
          <w:sz w:val="20"/>
          <w:szCs w:val="20"/>
          <w:color w:val="3E3935"/>
        </w:rPr>
        <w:t>Each PSU award features a three-year performance period resulting in overlapping awards that, in aggregate, cover a five-year period. The potential payout for each PSU award ranges from 0 to 200 percent. The table below illustrates the performance period for the three outstanding PSU awards as of the filing date of this Proxy Statement, and the corresponding performance measures and weights.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613410</wp:posOffset>
            </wp:positionH>
            <wp:positionV relativeFrom="paragraph">
              <wp:posOffset>139700</wp:posOffset>
            </wp:positionV>
            <wp:extent cx="5923280" cy="192024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5923280" cy="1920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540" w:hanging="424"/>
        <w:spacing w:after="0"/>
        <w:tabs>
          <w:tab w:leader="none" w:pos="540" w:val="left"/>
        </w:tabs>
        <w:numPr>
          <w:ilvl w:val="0"/>
          <w:numId w:val="97"/>
        </w:numPr>
        <w:rPr>
          <w:rFonts w:ascii="Arial" w:cs="Arial" w:eastAsia="Arial" w:hAnsi="Arial"/>
          <w:sz w:val="18"/>
          <w:szCs w:val="18"/>
          <w:i w:val="1"/>
          <w:iCs w:val="1"/>
          <w:color w:val="3E3935"/>
        </w:rPr>
      </w:pPr>
      <w:r>
        <w:rPr>
          <w:rFonts w:ascii="Arial" w:cs="Arial" w:eastAsia="Arial" w:hAnsi="Arial"/>
          <w:sz w:val="18"/>
          <w:szCs w:val="18"/>
          <w:i w:val="1"/>
          <w:iCs w:val="1"/>
          <w:color w:val="3E3935"/>
        </w:rPr>
        <w:t>The performance of each PSU award will be measured and determined at the end of the performance period.</w:t>
      </w:r>
    </w:p>
    <w:p>
      <w:pPr>
        <w:spacing w:after="0" w:line="76" w:lineRule="exact"/>
        <w:rPr>
          <w:rFonts w:ascii="Arial" w:cs="Arial" w:eastAsia="Arial" w:hAnsi="Arial"/>
          <w:sz w:val="18"/>
          <w:szCs w:val="18"/>
          <w:i w:val="1"/>
          <w:iCs w:val="1"/>
          <w:color w:val="3E3935"/>
        </w:rPr>
      </w:pPr>
    </w:p>
    <w:p>
      <w:pPr>
        <w:ind w:left="540" w:hanging="424"/>
        <w:spacing w:after="0"/>
        <w:tabs>
          <w:tab w:leader="none" w:pos="540" w:val="left"/>
        </w:tabs>
        <w:numPr>
          <w:ilvl w:val="0"/>
          <w:numId w:val="97"/>
        </w:numPr>
        <w:rPr>
          <w:rFonts w:ascii="Arial" w:cs="Arial" w:eastAsia="Arial" w:hAnsi="Arial"/>
          <w:sz w:val="18"/>
          <w:szCs w:val="18"/>
          <w:i w:val="1"/>
          <w:iCs w:val="1"/>
          <w:color w:val="3E3935"/>
        </w:rPr>
      </w:pPr>
      <w:r>
        <w:rPr>
          <w:rFonts w:ascii="Arial" w:cs="Arial" w:eastAsia="Arial" w:hAnsi="Arial"/>
          <w:sz w:val="18"/>
          <w:szCs w:val="18"/>
          <w:i w:val="1"/>
          <w:iCs w:val="1"/>
          <w:color w:val="3E3935"/>
        </w:rPr>
        <w:t>Relative ROIC-adjusted is capped at target if GM’s ROIC-adjusted does not exceed GM’s WACC.</w:t>
      </w:r>
    </w:p>
    <w:p>
      <w:pPr>
        <w:spacing w:after="0" w:line="76" w:lineRule="exact"/>
        <w:rPr>
          <w:rFonts w:ascii="Arial" w:cs="Arial" w:eastAsia="Arial" w:hAnsi="Arial"/>
          <w:sz w:val="18"/>
          <w:szCs w:val="18"/>
          <w:i w:val="1"/>
          <w:iCs w:val="1"/>
          <w:color w:val="3E3935"/>
        </w:rPr>
      </w:pPr>
    </w:p>
    <w:p>
      <w:pPr>
        <w:ind w:left="540" w:hanging="424"/>
        <w:spacing w:after="0"/>
        <w:tabs>
          <w:tab w:leader="none" w:pos="540" w:val="left"/>
        </w:tabs>
        <w:numPr>
          <w:ilvl w:val="0"/>
          <w:numId w:val="97"/>
        </w:numPr>
        <w:rPr>
          <w:rFonts w:ascii="Arial" w:cs="Arial" w:eastAsia="Arial" w:hAnsi="Arial"/>
          <w:sz w:val="18"/>
          <w:szCs w:val="18"/>
          <w:i w:val="1"/>
          <w:iCs w:val="1"/>
          <w:color w:val="3E3935"/>
        </w:rPr>
      </w:pPr>
      <w:r>
        <w:rPr>
          <w:rFonts w:ascii="Arial" w:cs="Arial" w:eastAsia="Arial" w:hAnsi="Arial"/>
          <w:sz w:val="18"/>
          <w:szCs w:val="18"/>
          <w:i w:val="1"/>
          <w:iCs w:val="1"/>
          <w:color w:val="3E3935"/>
        </w:rPr>
        <w:t>Relative TSR is capped at target if GM’s TSR is negative over the performance period.</w:t>
      </w:r>
    </w:p>
    <w:p>
      <w:pPr>
        <w:spacing w:after="0" w:line="76" w:lineRule="exact"/>
        <w:rPr>
          <w:rFonts w:ascii="Arial" w:cs="Arial" w:eastAsia="Arial" w:hAnsi="Arial"/>
          <w:sz w:val="18"/>
          <w:szCs w:val="18"/>
          <w:i w:val="1"/>
          <w:iCs w:val="1"/>
          <w:color w:val="3E3935"/>
        </w:rPr>
      </w:pPr>
    </w:p>
    <w:p>
      <w:pPr>
        <w:ind w:left="540" w:hanging="424"/>
        <w:spacing w:after="0"/>
        <w:tabs>
          <w:tab w:leader="none" w:pos="540" w:val="left"/>
        </w:tabs>
        <w:numPr>
          <w:ilvl w:val="0"/>
          <w:numId w:val="97"/>
        </w:numPr>
        <w:rPr>
          <w:rFonts w:ascii="Arial" w:cs="Arial" w:eastAsia="Arial" w:hAnsi="Arial"/>
          <w:sz w:val="18"/>
          <w:szCs w:val="18"/>
          <w:i w:val="1"/>
          <w:iCs w:val="1"/>
          <w:color w:val="3E3935"/>
        </w:rPr>
      </w:pPr>
      <w:r>
        <w:rPr>
          <w:rFonts w:ascii="Arial" w:cs="Arial" w:eastAsia="Arial" w:hAnsi="Arial"/>
          <w:sz w:val="18"/>
          <w:szCs w:val="18"/>
          <w:i w:val="1"/>
          <w:iCs w:val="1"/>
          <w:color w:val="3E3935"/>
        </w:rPr>
        <w:t>EV Measures are comprised of GMNA EV Volume, GMNA EV Launch Timing, and GMNA EV Launch Quality (modifier).</w:t>
      </w:r>
    </w:p>
    <w:p>
      <w:pPr>
        <w:spacing w:after="0" w:line="200" w:lineRule="exact"/>
        <w:rPr>
          <w:sz w:val="20"/>
          <w:szCs w:val="20"/>
          <w:color w:val="auto"/>
        </w:rPr>
      </w:pPr>
    </w:p>
    <w:p>
      <w:pPr>
        <w:spacing w:after="0" w:line="316" w:lineRule="exact"/>
        <w:rPr>
          <w:sz w:val="20"/>
          <w:szCs w:val="20"/>
          <w:color w:val="auto"/>
        </w:rPr>
      </w:pPr>
    </w:p>
    <w:p>
      <w:pPr>
        <w:ind w:left="10660"/>
        <w:spacing w:after="0"/>
        <w:rPr>
          <w:sz w:val="20"/>
          <w:szCs w:val="20"/>
          <w:color w:val="auto"/>
        </w:rPr>
      </w:pPr>
      <w:r>
        <w:rPr>
          <w:rFonts w:ascii="Arial" w:cs="Arial" w:eastAsia="Arial" w:hAnsi="Arial"/>
          <w:sz w:val="14"/>
          <w:szCs w:val="14"/>
          <w:color w:val="0071CE"/>
        </w:rPr>
        <w:t>63</w:t>
      </w:r>
    </w:p>
    <w:p>
      <w:pPr>
        <w:sectPr>
          <w:pgSz w:w="11900" w:h="16838" w:orient="portrait"/>
          <w:cols w:equalWidth="0" w:num="1">
            <w:col w:w="11120"/>
          </w:cols>
          <w:pgMar w:left="320" w:top="482" w:right="45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31"/>
          <w:szCs w:val="31"/>
          <w:color w:val="3E3935"/>
        </w:rPr>
        <w:t>Performance Results and Compensation Decisions</w:t>
      </w:r>
    </w:p>
    <w:p>
      <w:pPr>
        <w:spacing w:after="0" w:line="166" w:lineRule="exact"/>
        <w:rPr>
          <w:sz w:val="20"/>
          <w:szCs w:val="20"/>
          <w:color w:val="auto"/>
        </w:rPr>
      </w:pPr>
    </w:p>
    <w:p>
      <w:pPr>
        <w:ind w:left="660" w:hanging="544"/>
        <w:spacing w:after="0"/>
        <w:tabs>
          <w:tab w:leader="none" w:pos="660" w:val="left"/>
        </w:tabs>
        <w:numPr>
          <w:ilvl w:val="0"/>
          <w:numId w:val="98"/>
        </w:numPr>
        <w:rPr>
          <w:rFonts w:ascii="Times New Roman" w:cs="Times New Roman" w:eastAsia="Times New Roman" w:hAnsi="Times New Roman"/>
          <w:sz w:val="19"/>
          <w:szCs w:val="19"/>
          <w:color w:val="0071CE"/>
        </w:rPr>
      </w:pPr>
      <w:r>
        <w:rPr>
          <w:rFonts w:ascii="Arial" w:cs="Arial" w:eastAsia="Arial" w:hAnsi="Arial"/>
          <w:sz w:val="25"/>
          <w:szCs w:val="25"/>
          <w:color w:val="3E3935"/>
        </w:rPr>
        <w:t>2022 STIP Results</w:t>
      </w:r>
    </w:p>
    <w:p>
      <w:pPr>
        <w:spacing w:after="0" w:line="159" w:lineRule="exact"/>
        <w:rPr>
          <w:sz w:val="20"/>
          <w:szCs w:val="20"/>
          <w:color w:val="auto"/>
        </w:rPr>
      </w:pPr>
    </w:p>
    <w:p>
      <w:pPr>
        <w:jc w:val="both"/>
        <w:ind w:left="120" w:right="20"/>
        <w:spacing w:after="0" w:line="233" w:lineRule="auto"/>
        <w:rPr>
          <w:sz w:val="20"/>
          <w:szCs w:val="20"/>
          <w:color w:val="auto"/>
        </w:rPr>
      </w:pPr>
      <w:r>
        <w:rPr>
          <w:rFonts w:ascii="Arial" w:cs="Arial" w:eastAsia="Arial" w:hAnsi="Arial"/>
          <w:sz w:val="20"/>
          <w:szCs w:val="20"/>
          <w:color w:val="3E3935"/>
        </w:rPr>
        <w:t>The Company financial performance portion of the 2022 STIP award was calculated based on the Company’s achievement of EBIT-adjusted and AAFCF performance measures. The Company achieved above target results for both of these performance measures through wholesale volume growth and robust pricing across the portfolio. The Company also delivered other strong 2022 financial results and key business highlights as detailed in the “Our Company Performance” section on page 52. In addition to the Company’s financial measures, a portion of each NEO’s STIP evaluates their performance against pre-established strategic goals.</w:t>
      </w:r>
    </w:p>
    <w:p>
      <w:pPr>
        <w:spacing w:after="0" w:line="105" w:lineRule="exact"/>
        <w:rPr>
          <w:sz w:val="20"/>
          <w:szCs w:val="20"/>
          <w:color w:val="auto"/>
        </w:rPr>
      </w:pPr>
    </w:p>
    <w:p>
      <w:pPr>
        <w:ind w:left="120"/>
        <w:spacing w:after="0"/>
        <w:rPr>
          <w:sz w:val="20"/>
          <w:szCs w:val="20"/>
          <w:color w:val="auto"/>
        </w:rPr>
      </w:pPr>
      <w:r>
        <w:rPr>
          <w:rFonts w:ascii="Arial" w:cs="Arial" w:eastAsia="Arial" w:hAnsi="Arial"/>
          <w:sz w:val="20"/>
          <w:szCs w:val="20"/>
          <w:color w:val="3E3935"/>
        </w:rPr>
        <w:t>Final STIP performance approved by the Compensation Committee is displayed below.</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219"/>
        </w:trPr>
        <w:tc>
          <w:tcPr>
            <w:tcW w:w="2980" w:type="dxa"/>
            <w:vAlign w:val="bottom"/>
            <w:tcBorders>
              <w:top w:val="single" w:sz="8" w:color="00C1DE"/>
            </w:tcBorders>
            <w:vMerge w:val="restart"/>
          </w:tcPr>
          <w:p>
            <w:pPr>
              <w:ind w:left="100"/>
              <w:spacing w:after="0"/>
              <w:rPr>
                <w:sz w:val="20"/>
                <w:szCs w:val="20"/>
                <w:color w:val="auto"/>
              </w:rPr>
            </w:pPr>
            <w:r>
              <w:rPr>
                <w:rFonts w:ascii="Arial" w:cs="Arial" w:eastAsia="Arial" w:hAnsi="Arial"/>
                <w:sz w:val="20"/>
                <w:szCs w:val="20"/>
                <w:b w:val="1"/>
                <w:bCs w:val="1"/>
                <w:color w:val="00C1DE"/>
              </w:rPr>
              <w:t>STIP Measure</w:t>
            </w:r>
          </w:p>
        </w:tc>
        <w:tc>
          <w:tcPr>
            <w:tcW w:w="2000" w:type="dxa"/>
            <w:vAlign w:val="bottom"/>
            <w:tcBorders>
              <w:top w:val="single" w:sz="8" w:color="00C1DE"/>
            </w:tcBorders>
            <w:vMerge w:val="restart"/>
          </w:tcPr>
          <w:p>
            <w:pPr>
              <w:jc w:val="right"/>
              <w:ind w:right="281"/>
              <w:spacing w:after="0"/>
              <w:rPr>
                <w:sz w:val="20"/>
                <w:szCs w:val="20"/>
                <w:color w:val="auto"/>
              </w:rPr>
            </w:pPr>
            <w:r>
              <w:rPr>
                <w:rFonts w:ascii="Arial" w:cs="Arial" w:eastAsia="Arial" w:hAnsi="Arial"/>
                <w:sz w:val="20"/>
                <w:szCs w:val="20"/>
                <w:b w:val="1"/>
                <w:bCs w:val="1"/>
                <w:color w:val="00C1DE"/>
              </w:rPr>
              <w:t>Weight</w:t>
            </w:r>
          </w:p>
        </w:tc>
        <w:tc>
          <w:tcPr>
            <w:tcW w:w="1720" w:type="dxa"/>
            <w:vAlign w:val="bottom"/>
            <w:tcBorders>
              <w:top w:val="single" w:sz="8" w:color="00C1DE"/>
            </w:tcBorders>
            <w:vMerge w:val="restart"/>
          </w:tcPr>
          <w:p>
            <w:pPr>
              <w:jc w:val="right"/>
              <w:ind w:right="301"/>
              <w:spacing w:after="0"/>
              <w:rPr>
                <w:sz w:val="20"/>
                <w:szCs w:val="20"/>
                <w:color w:val="auto"/>
              </w:rPr>
            </w:pPr>
            <w:r>
              <w:rPr>
                <w:rFonts w:ascii="Arial" w:cs="Arial" w:eastAsia="Arial" w:hAnsi="Arial"/>
                <w:sz w:val="20"/>
                <w:szCs w:val="20"/>
                <w:b w:val="1"/>
                <w:bCs w:val="1"/>
                <w:color w:val="00C1DE"/>
              </w:rPr>
              <w:t>Threshold</w:t>
            </w:r>
          </w:p>
        </w:tc>
        <w:tc>
          <w:tcPr>
            <w:tcW w:w="1380" w:type="dxa"/>
            <w:vAlign w:val="bottom"/>
            <w:tcBorders>
              <w:top w:val="single" w:sz="8" w:color="00C1DE"/>
            </w:tcBorders>
            <w:vMerge w:val="restart"/>
          </w:tcPr>
          <w:p>
            <w:pPr>
              <w:jc w:val="right"/>
              <w:ind w:right="281"/>
              <w:spacing w:after="0"/>
              <w:rPr>
                <w:sz w:val="20"/>
                <w:szCs w:val="20"/>
                <w:color w:val="auto"/>
              </w:rPr>
            </w:pPr>
            <w:r>
              <w:rPr>
                <w:rFonts w:ascii="Arial" w:cs="Arial" w:eastAsia="Arial" w:hAnsi="Arial"/>
                <w:sz w:val="20"/>
                <w:szCs w:val="20"/>
                <w:b w:val="1"/>
                <w:bCs w:val="1"/>
                <w:color w:val="00C1DE"/>
              </w:rPr>
              <w:t>Target</w:t>
            </w:r>
          </w:p>
        </w:tc>
        <w:tc>
          <w:tcPr>
            <w:tcW w:w="1480" w:type="dxa"/>
            <w:vAlign w:val="bottom"/>
            <w:tcBorders>
              <w:top w:val="single" w:sz="8" w:color="00C1DE"/>
            </w:tcBorders>
            <w:vMerge w:val="restart"/>
          </w:tcPr>
          <w:p>
            <w:pPr>
              <w:jc w:val="right"/>
              <w:ind w:right="101"/>
              <w:spacing w:after="0"/>
              <w:rPr>
                <w:sz w:val="20"/>
                <w:szCs w:val="20"/>
                <w:color w:val="auto"/>
              </w:rPr>
            </w:pPr>
            <w:r>
              <w:rPr>
                <w:rFonts w:ascii="Arial" w:cs="Arial" w:eastAsia="Arial" w:hAnsi="Arial"/>
                <w:sz w:val="20"/>
                <w:szCs w:val="20"/>
                <w:b w:val="1"/>
                <w:bCs w:val="1"/>
                <w:color w:val="00C1DE"/>
              </w:rPr>
              <w:t>Maximum</w:t>
            </w:r>
          </w:p>
        </w:tc>
        <w:tc>
          <w:tcPr>
            <w:tcW w:w="1460" w:type="dxa"/>
            <w:vAlign w:val="bottom"/>
            <w:tcBorders>
              <w:top w:val="single" w:sz="8" w:color="00C1DE"/>
            </w:tcBorders>
          </w:tcPr>
          <w:p>
            <w:pPr>
              <w:jc w:val="right"/>
              <w:spacing w:after="0" w:line="219" w:lineRule="exact"/>
              <w:rPr>
                <w:sz w:val="20"/>
                <w:szCs w:val="20"/>
                <w:color w:val="auto"/>
              </w:rPr>
            </w:pPr>
            <w:r>
              <w:rPr>
                <w:rFonts w:ascii="Arial" w:cs="Arial" w:eastAsia="Arial" w:hAnsi="Arial"/>
                <w:sz w:val="20"/>
                <w:szCs w:val="20"/>
                <w:b w:val="1"/>
                <w:bCs w:val="1"/>
                <w:color w:val="00C1DE"/>
              </w:rPr>
              <w:t>Performance</w:t>
            </w:r>
          </w:p>
        </w:tc>
        <w:tc>
          <w:tcPr>
            <w:tcW w:w="0" w:type="dxa"/>
            <w:vAlign w:val="bottom"/>
          </w:tcPr>
          <w:p>
            <w:pPr>
              <w:spacing w:after="0"/>
              <w:rPr>
                <w:sz w:val="1"/>
                <w:szCs w:val="1"/>
                <w:color w:val="auto"/>
              </w:rPr>
            </w:pPr>
          </w:p>
        </w:tc>
      </w:tr>
      <w:tr>
        <w:trPr>
          <w:trHeight w:val="273"/>
        </w:trPr>
        <w:tc>
          <w:tcPr>
            <w:tcW w:w="2980" w:type="dxa"/>
            <w:vAlign w:val="bottom"/>
            <w:vMerge w:val="continue"/>
          </w:tcPr>
          <w:p>
            <w:pPr>
              <w:spacing w:after="0"/>
              <w:rPr>
                <w:sz w:val="23"/>
                <w:szCs w:val="23"/>
                <w:color w:val="auto"/>
              </w:rPr>
            </w:pPr>
          </w:p>
        </w:tc>
        <w:tc>
          <w:tcPr>
            <w:tcW w:w="2000" w:type="dxa"/>
            <w:vAlign w:val="bottom"/>
            <w:vMerge w:val="continue"/>
          </w:tcPr>
          <w:p>
            <w:pPr>
              <w:spacing w:after="0"/>
              <w:rPr>
                <w:sz w:val="23"/>
                <w:szCs w:val="23"/>
                <w:color w:val="auto"/>
              </w:rPr>
            </w:pPr>
          </w:p>
        </w:tc>
        <w:tc>
          <w:tcPr>
            <w:tcW w:w="1720" w:type="dxa"/>
            <w:vAlign w:val="bottom"/>
            <w:vMerge w:val="continue"/>
          </w:tcPr>
          <w:p>
            <w:pPr>
              <w:spacing w:after="0"/>
              <w:rPr>
                <w:sz w:val="23"/>
                <w:szCs w:val="23"/>
                <w:color w:val="auto"/>
              </w:rPr>
            </w:pPr>
          </w:p>
        </w:tc>
        <w:tc>
          <w:tcPr>
            <w:tcW w:w="1380" w:type="dxa"/>
            <w:vAlign w:val="bottom"/>
            <w:vMerge w:val="continue"/>
          </w:tcPr>
          <w:p>
            <w:pPr>
              <w:spacing w:after="0"/>
              <w:rPr>
                <w:sz w:val="23"/>
                <w:szCs w:val="23"/>
                <w:color w:val="auto"/>
              </w:rPr>
            </w:pPr>
          </w:p>
        </w:tc>
        <w:tc>
          <w:tcPr>
            <w:tcW w:w="1480" w:type="dxa"/>
            <w:vAlign w:val="bottom"/>
            <w:vMerge w:val="continue"/>
          </w:tcPr>
          <w:p>
            <w:pPr>
              <w:spacing w:after="0"/>
              <w:rPr>
                <w:sz w:val="23"/>
                <w:szCs w:val="23"/>
                <w:color w:val="auto"/>
              </w:rPr>
            </w:pPr>
          </w:p>
        </w:tc>
        <w:tc>
          <w:tcPr>
            <w:tcW w:w="1460" w:type="dxa"/>
            <w:vAlign w:val="bottom"/>
          </w:tcPr>
          <w:p>
            <w:pPr>
              <w:jc w:val="right"/>
              <w:spacing w:after="0"/>
              <w:rPr>
                <w:sz w:val="20"/>
                <w:szCs w:val="20"/>
                <w:color w:val="auto"/>
              </w:rPr>
            </w:pPr>
            <w:r>
              <w:rPr>
                <w:rFonts w:ascii="Arial" w:cs="Arial" w:eastAsia="Arial" w:hAnsi="Arial"/>
                <w:sz w:val="20"/>
                <w:szCs w:val="20"/>
                <w:b w:val="1"/>
                <w:bCs w:val="1"/>
                <w:color w:val="00C1DE"/>
              </w:rPr>
              <w:t>Result</w:t>
            </w:r>
          </w:p>
        </w:tc>
        <w:tc>
          <w:tcPr>
            <w:tcW w:w="0" w:type="dxa"/>
            <w:vAlign w:val="bottom"/>
          </w:tcPr>
          <w:p>
            <w:pPr>
              <w:spacing w:after="0"/>
              <w:rPr>
                <w:sz w:val="1"/>
                <w:szCs w:val="1"/>
                <w:color w:val="auto"/>
              </w:rPr>
            </w:pPr>
          </w:p>
        </w:tc>
      </w:tr>
      <w:tr>
        <w:trPr>
          <w:trHeight w:val="48"/>
        </w:trPr>
        <w:tc>
          <w:tcPr>
            <w:tcW w:w="2980" w:type="dxa"/>
            <w:vAlign w:val="bottom"/>
            <w:tcBorders>
              <w:bottom w:val="single" w:sz="8" w:color="00C1DE"/>
            </w:tcBorders>
          </w:tcPr>
          <w:p>
            <w:pPr>
              <w:spacing w:after="0"/>
              <w:rPr>
                <w:sz w:val="4"/>
                <w:szCs w:val="4"/>
                <w:color w:val="auto"/>
              </w:rPr>
            </w:pPr>
          </w:p>
        </w:tc>
        <w:tc>
          <w:tcPr>
            <w:tcW w:w="2000" w:type="dxa"/>
            <w:vAlign w:val="bottom"/>
            <w:tcBorders>
              <w:bottom w:val="single" w:sz="8" w:color="00C1DE"/>
            </w:tcBorders>
          </w:tcPr>
          <w:p>
            <w:pPr>
              <w:spacing w:after="0"/>
              <w:rPr>
                <w:sz w:val="4"/>
                <w:szCs w:val="4"/>
                <w:color w:val="auto"/>
              </w:rPr>
            </w:pPr>
          </w:p>
        </w:tc>
        <w:tc>
          <w:tcPr>
            <w:tcW w:w="1720" w:type="dxa"/>
            <w:vAlign w:val="bottom"/>
            <w:tcBorders>
              <w:bottom w:val="single" w:sz="8" w:color="00C1DE"/>
            </w:tcBorders>
          </w:tcPr>
          <w:p>
            <w:pPr>
              <w:spacing w:after="0"/>
              <w:rPr>
                <w:sz w:val="4"/>
                <w:szCs w:val="4"/>
                <w:color w:val="auto"/>
              </w:rPr>
            </w:pPr>
          </w:p>
        </w:tc>
        <w:tc>
          <w:tcPr>
            <w:tcW w:w="1380" w:type="dxa"/>
            <w:vAlign w:val="bottom"/>
            <w:tcBorders>
              <w:bottom w:val="single" w:sz="8" w:color="00C1DE"/>
            </w:tcBorders>
          </w:tcPr>
          <w:p>
            <w:pPr>
              <w:spacing w:after="0"/>
              <w:rPr>
                <w:sz w:val="4"/>
                <w:szCs w:val="4"/>
                <w:color w:val="auto"/>
              </w:rPr>
            </w:pPr>
          </w:p>
        </w:tc>
        <w:tc>
          <w:tcPr>
            <w:tcW w:w="1480" w:type="dxa"/>
            <w:vAlign w:val="bottom"/>
            <w:tcBorders>
              <w:bottom w:val="single" w:sz="8" w:color="00C1DE"/>
            </w:tcBorders>
          </w:tcPr>
          <w:p>
            <w:pPr>
              <w:spacing w:after="0"/>
              <w:rPr>
                <w:sz w:val="4"/>
                <w:szCs w:val="4"/>
                <w:color w:val="auto"/>
              </w:rPr>
            </w:pPr>
          </w:p>
        </w:tc>
        <w:tc>
          <w:tcPr>
            <w:tcW w:w="1460" w:type="dxa"/>
            <w:vAlign w:val="bottom"/>
            <w:tcBorders>
              <w:bottom w:val="single" w:sz="8" w:color="00C1DE"/>
            </w:tcBorders>
          </w:tcPr>
          <w:p>
            <w:pPr>
              <w:spacing w:after="0"/>
              <w:rPr>
                <w:sz w:val="4"/>
                <w:szCs w:val="4"/>
                <w:color w:val="auto"/>
              </w:rPr>
            </w:pPr>
          </w:p>
        </w:tc>
        <w:tc>
          <w:tcPr>
            <w:tcW w:w="0" w:type="dxa"/>
            <w:vAlign w:val="bottom"/>
          </w:tcPr>
          <w:p>
            <w:pPr>
              <w:spacing w:after="0"/>
              <w:rPr>
                <w:sz w:val="1"/>
                <w:szCs w:val="1"/>
                <w:color w:val="auto"/>
              </w:rPr>
            </w:pPr>
          </w:p>
        </w:tc>
      </w:tr>
      <w:tr>
        <w:trPr>
          <w:trHeight w:val="358"/>
        </w:trPr>
        <w:tc>
          <w:tcPr>
            <w:tcW w:w="2980" w:type="dxa"/>
            <w:vAlign w:val="bottom"/>
            <w:tcBorders>
              <w:bottom w:val="single" w:sz="8" w:color="3E3935"/>
            </w:tcBorders>
          </w:tcPr>
          <w:p>
            <w:pPr>
              <w:ind w:left="80"/>
              <w:spacing w:after="0"/>
              <w:rPr>
                <w:sz w:val="20"/>
                <w:szCs w:val="20"/>
                <w:color w:val="auto"/>
              </w:rPr>
            </w:pPr>
            <w:r>
              <w:rPr>
                <w:rFonts w:ascii="Arial" w:cs="Arial" w:eastAsia="Arial" w:hAnsi="Arial"/>
                <w:sz w:val="20"/>
                <w:szCs w:val="20"/>
                <w:color w:val="3E3935"/>
              </w:rPr>
              <w:t>EBIT-adjusted ($B)</w:t>
            </w:r>
            <w:r>
              <w:rPr>
                <w:rFonts w:ascii="Arial" w:cs="Arial" w:eastAsia="Arial" w:hAnsi="Arial"/>
                <w:sz w:val="29"/>
                <w:szCs w:val="29"/>
                <w:color w:val="3E3935"/>
                <w:vertAlign w:val="superscript"/>
              </w:rPr>
              <w:t>(1)</w:t>
            </w:r>
          </w:p>
        </w:tc>
        <w:tc>
          <w:tcPr>
            <w:tcW w:w="2000" w:type="dxa"/>
            <w:vAlign w:val="bottom"/>
            <w:tcBorders>
              <w:bottom w:val="single" w:sz="8" w:color="3E3935"/>
            </w:tcBorders>
          </w:tcPr>
          <w:p>
            <w:pPr>
              <w:jc w:val="right"/>
              <w:ind w:right="281"/>
              <w:spacing w:after="0"/>
              <w:rPr>
                <w:sz w:val="20"/>
                <w:szCs w:val="20"/>
                <w:color w:val="auto"/>
              </w:rPr>
            </w:pPr>
            <w:r>
              <w:rPr>
                <w:rFonts w:ascii="Arial" w:cs="Arial" w:eastAsia="Arial" w:hAnsi="Arial"/>
                <w:sz w:val="20"/>
                <w:szCs w:val="20"/>
                <w:color w:val="3E3935"/>
              </w:rPr>
              <w:t>50%</w:t>
            </w:r>
          </w:p>
        </w:tc>
        <w:tc>
          <w:tcPr>
            <w:tcW w:w="1720" w:type="dxa"/>
            <w:vAlign w:val="bottom"/>
            <w:tcBorders>
              <w:bottom w:val="single" w:sz="8" w:color="3E3935"/>
            </w:tcBorders>
          </w:tcPr>
          <w:p>
            <w:pPr>
              <w:jc w:val="right"/>
              <w:ind w:right="301"/>
              <w:spacing w:after="0"/>
              <w:rPr>
                <w:sz w:val="20"/>
                <w:szCs w:val="20"/>
                <w:color w:val="auto"/>
              </w:rPr>
            </w:pPr>
            <w:r>
              <w:rPr>
                <w:rFonts w:ascii="Arial" w:cs="Arial" w:eastAsia="Arial" w:hAnsi="Arial"/>
                <w:sz w:val="20"/>
                <w:szCs w:val="20"/>
                <w:color w:val="3E3935"/>
              </w:rPr>
              <w:t>$9.7</w:t>
            </w:r>
          </w:p>
        </w:tc>
        <w:tc>
          <w:tcPr>
            <w:tcW w:w="1380" w:type="dxa"/>
            <w:vAlign w:val="bottom"/>
            <w:tcBorders>
              <w:bottom w:val="single" w:sz="8" w:color="3E3935"/>
            </w:tcBorders>
          </w:tcPr>
          <w:p>
            <w:pPr>
              <w:jc w:val="right"/>
              <w:ind w:right="281"/>
              <w:spacing w:after="0"/>
              <w:rPr>
                <w:sz w:val="20"/>
                <w:szCs w:val="20"/>
                <w:color w:val="auto"/>
              </w:rPr>
            </w:pPr>
            <w:r>
              <w:rPr>
                <w:rFonts w:ascii="Arial" w:cs="Arial" w:eastAsia="Arial" w:hAnsi="Arial"/>
                <w:sz w:val="20"/>
                <w:szCs w:val="20"/>
                <w:color w:val="3E3935"/>
              </w:rPr>
              <w:t>$15.6</w:t>
            </w:r>
          </w:p>
        </w:tc>
        <w:tc>
          <w:tcPr>
            <w:tcW w:w="1480" w:type="dxa"/>
            <w:vAlign w:val="bottom"/>
            <w:tcBorders>
              <w:bottom w:val="single" w:sz="8" w:color="3E3935"/>
            </w:tcBorders>
          </w:tcPr>
          <w:p>
            <w:pPr>
              <w:jc w:val="right"/>
              <w:ind w:right="101"/>
              <w:spacing w:after="0"/>
              <w:rPr>
                <w:sz w:val="20"/>
                <w:szCs w:val="20"/>
                <w:color w:val="auto"/>
              </w:rPr>
            </w:pPr>
            <w:r>
              <w:rPr>
                <w:rFonts w:ascii="Arial" w:cs="Arial" w:eastAsia="Arial" w:hAnsi="Arial"/>
                <w:sz w:val="20"/>
                <w:szCs w:val="20"/>
                <w:color w:val="3E3935"/>
              </w:rPr>
              <w:t>$17.6</w:t>
            </w:r>
          </w:p>
        </w:tc>
        <w:tc>
          <w:tcPr>
            <w:tcW w:w="1460" w:type="dxa"/>
            <w:vAlign w:val="bottom"/>
            <w:tcBorders>
              <w:bottom w:val="single" w:sz="8" w:color="3E3935"/>
            </w:tcBorders>
          </w:tcPr>
          <w:p>
            <w:pPr>
              <w:jc w:val="right"/>
              <w:spacing w:after="0"/>
              <w:rPr>
                <w:sz w:val="20"/>
                <w:szCs w:val="20"/>
                <w:color w:val="auto"/>
              </w:rPr>
            </w:pPr>
            <w:r>
              <w:rPr>
                <w:rFonts w:ascii="Arial" w:cs="Arial" w:eastAsia="Arial" w:hAnsi="Arial"/>
                <w:sz w:val="20"/>
                <w:szCs w:val="20"/>
                <w:color w:val="3E3935"/>
              </w:rPr>
              <w:t>$16.4</w:t>
            </w:r>
          </w:p>
        </w:tc>
        <w:tc>
          <w:tcPr>
            <w:tcW w:w="0" w:type="dxa"/>
            <w:vAlign w:val="bottom"/>
          </w:tcPr>
          <w:p>
            <w:pPr>
              <w:spacing w:after="0"/>
              <w:rPr>
                <w:sz w:val="1"/>
                <w:szCs w:val="1"/>
                <w:color w:val="auto"/>
              </w:rPr>
            </w:pPr>
          </w:p>
        </w:tc>
      </w:tr>
      <w:tr>
        <w:trPr>
          <w:trHeight w:val="358"/>
        </w:trPr>
        <w:tc>
          <w:tcPr>
            <w:tcW w:w="2980" w:type="dxa"/>
            <w:vAlign w:val="bottom"/>
            <w:tcBorders>
              <w:bottom w:val="single" w:sz="8" w:color="3E3935"/>
            </w:tcBorders>
          </w:tcPr>
          <w:p>
            <w:pPr>
              <w:ind w:left="80"/>
              <w:spacing w:after="0"/>
              <w:rPr>
                <w:sz w:val="20"/>
                <w:szCs w:val="20"/>
                <w:color w:val="auto"/>
              </w:rPr>
            </w:pPr>
            <w:r>
              <w:rPr>
                <w:rFonts w:ascii="Arial" w:cs="Arial" w:eastAsia="Arial" w:hAnsi="Arial"/>
                <w:sz w:val="20"/>
                <w:szCs w:val="20"/>
                <w:color w:val="3E3935"/>
              </w:rPr>
              <w:t>AAFCF ($B)</w:t>
            </w:r>
            <w:r>
              <w:rPr>
                <w:rFonts w:ascii="Arial" w:cs="Arial" w:eastAsia="Arial" w:hAnsi="Arial"/>
                <w:sz w:val="29"/>
                <w:szCs w:val="29"/>
                <w:color w:val="3E3935"/>
                <w:vertAlign w:val="superscript"/>
              </w:rPr>
              <w:t>(2)</w:t>
            </w:r>
          </w:p>
        </w:tc>
        <w:tc>
          <w:tcPr>
            <w:tcW w:w="2000" w:type="dxa"/>
            <w:vAlign w:val="bottom"/>
            <w:tcBorders>
              <w:bottom w:val="single" w:sz="8" w:color="3E3935"/>
            </w:tcBorders>
          </w:tcPr>
          <w:p>
            <w:pPr>
              <w:jc w:val="right"/>
              <w:ind w:right="281"/>
              <w:spacing w:after="0"/>
              <w:rPr>
                <w:sz w:val="20"/>
                <w:szCs w:val="20"/>
                <w:color w:val="auto"/>
              </w:rPr>
            </w:pPr>
            <w:r>
              <w:rPr>
                <w:rFonts w:ascii="Arial" w:cs="Arial" w:eastAsia="Arial" w:hAnsi="Arial"/>
                <w:sz w:val="20"/>
                <w:szCs w:val="20"/>
                <w:color w:val="3E3935"/>
              </w:rPr>
              <w:t>25%</w:t>
            </w:r>
          </w:p>
        </w:tc>
        <w:tc>
          <w:tcPr>
            <w:tcW w:w="1720" w:type="dxa"/>
            <w:vAlign w:val="bottom"/>
            <w:tcBorders>
              <w:bottom w:val="single" w:sz="8" w:color="3E3935"/>
            </w:tcBorders>
          </w:tcPr>
          <w:p>
            <w:pPr>
              <w:jc w:val="right"/>
              <w:ind w:right="301"/>
              <w:spacing w:after="0"/>
              <w:rPr>
                <w:sz w:val="20"/>
                <w:szCs w:val="20"/>
                <w:color w:val="auto"/>
              </w:rPr>
            </w:pPr>
            <w:r>
              <w:rPr>
                <w:rFonts w:ascii="Arial" w:cs="Arial" w:eastAsia="Arial" w:hAnsi="Arial"/>
                <w:sz w:val="20"/>
                <w:szCs w:val="20"/>
                <w:color w:val="3E3935"/>
              </w:rPr>
              <w:t>$2.7</w:t>
            </w:r>
          </w:p>
        </w:tc>
        <w:tc>
          <w:tcPr>
            <w:tcW w:w="1380" w:type="dxa"/>
            <w:vAlign w:val="bottom"/>
            <w:tcBorders>
              <w:bottom w:val="single" w:sz="8" w:color="3E3935"/>
            </w:tcBorders>
          </w:tcPr>
          <w:p>
            <w:pPr>
              <w:jc w:val="right"/>
              <w:ind w:right="281"/>
              <w:spacing w:after="0"/>
              <w:rPr>
                <w:sz w:val="20"/>
                <w:szCs w:val="20"/>
                <w:color w:val="auto"/>
              </w:rPr>
            </w:pPr>
            <w:r>
              <w:rPr>
                <w:rFonts w:ascii="Arial" w:cs="Arial" w:eastAsia="Arial" w:hAnsi="Arial"/>
                <w:sz w:val="20"/>
                <w:szCs w:val="20"/>
                <w:color w:val="3E3935"/>
              </w:rPr>
              <w:t>$8.6</w:t>
            </w:r>
          </w:p>
        </w:tc>
        <w:tc>
          <w:tcPr>
            <w:tcW w:w="1480" w:type="dxa"/>
            <w:vAlign w:val="bottom"/>
            <w:tcBorders>
              <w:bottom w:val="single" w:sz="8" w:color="3E3935"/>
            </w:tcBorders>
          </w:tcPr>
          <w:p>
            <w:pPr>
              <w:jc w:val="right"/>
              <w:ind w:right="101"/>
              <w:spacing w:after="0"/>
              <w:rPr>
                <w:sz w:val="20"/>
                <w:szCs w:val="20"/>
                <w:color w:val="auto"/>
              </w:rPr>
            </w:pPr>
            <w:r>
              <w:rPr>
                <w:rFonts w:ascii="Arial" w:cs="Arial" w:eastAsia="Arial" w:hAnsi="Arial"/>
                <w:sz w:val="20"/>
                <w:szCs w:val="20"/>
                <w:color w:val="3E3935"/>
              </w:rPr>
              <w:t>$10.6</w:t>
            </w:r>
          </w:p>
        </w:tc>
        <w:tc>
          <w:tcPr>
            <w:tcW w:w="1460" w:type="dxa"/>
            <w:vAlign w:val="bottom"/>
            <w:tcBorders>
              <w:bottom w:val="single" w:sz="8" w:color="3E3935"/>
            </w:tcBorders>
          </w:tcPr>
          <w:p>
            <w:pPr>
              <w:jc w:val="right"/>
              <w:spacing w:after="0"/>
              <w:rPr>
                <w:sz w:val="20"/>
                <w:szCs w:val="20"/>
                <w:color w:val="auto"/>
              </w:rPr>
            </w:pPr>
            <w:r>
              <w:rPr>
                <w:rFonts w:ascii="Arial" w:cs="Arial" w:eastAsia="Arial" w:hAnsi="Arial"/>
                <w:sz w:val="20"/>
                <w:szCs w:val="20"/>
                <w:color w:val="3E3935"/>
              </w:rPr>
              <w:t>$10.5</w:t>
            </w:r>
          </w:p>
        </w:tc>
        <w:tc>
          <w:tcPr>
            <w:tcW w:w="0" w:type="dxa"/>
            <w:vAlign w:val="bottom"/>
          </w:tcPr>
          <w:p>
            <w:pPr>
              <w:spacing w:after="0"/>
              <w:rPr>
                <w:sz w:val="1"/>
                <w:szCs w:val="1"/>
                <w:color w:val="auto"/>
              </w:rPr>
            </w:pPr>
          </w:p>
        </w:tc>
      </w:tr>
      <w:tr>
        <w:trPr>
          <w:trHeight w:val="358"/>
        </w:trPr>
        <w:tc>
          <w:tcPr>
            <w:tcW w:w="2980" w:type="dxa"/>
            <w:vAlign w:val="bottom"/>
            <w:tcBorders>
              <w:bottom w:val="single" w:sz="8" w:color="3E3935"/>
            </w:tcBorders>
          </w:tcPr>
          <w:p>
            <w:pPr>
              <w:ind w:left="80"/>
              <w:spacing w:after="0"/>
              <w:rPr>
                <w:sz w:val="20"/>
                <w:szCs w:val="20"/>
                <w:color w:val="auto"/>
              </w:rPr>
            </w:pPr>
            <w:r>
              <w:rPr>
                <w:rFonts w:ascii="Arial" w:cs="Arial" w:eastAsia="Arial" w:hAnsi="Arial"/>
                <w:sz w:val="20"/>
                <w:szCs w:val="20"/>
                <w:color w:val="3E3935"/>
              </w:rPr>
              <w:t>Strategic Goals</w:t>
            </w:r>
            <w:r>
              <w:rPr>
                <w:rFonts w:ascii="Arial" w:cs="Arial" w:eastAsia="Arial" w:hAnsi="Arial"/>
                <w:sz w:val="29"/>
                <w:szCs w:val="29"/>
                <w:color w:val="3E3935"/>
                <w:vertAlign w:val="superscript"/>
              </w:rPr>
              <w:t>(3)</w:t>
            </w:r>
          </w:p>
        </w:tc>
        <w:tc>
          <w:tcPr>
            <w:tcW w:w="2000" w:type="dxa"/>
            <w:vAlign w:val="bottom"/>
            <w:tcBorders>
              <w:bottom w:val="single" w:sz="8" w:color="3E3935"/>
            </w:tcBorders>
          </w:tcPr>
          <w:p>
            <w:pPr>
              <w:jc w:val="right"/>
              <w:ind w:right="281"/>
              <w:spacing w:after="0"/>
              <w:rPr>
                <w:sz w:val="20"/>
                <w:szCs w:val="20"/>
                <w:color w:val="auto"/>
              </w:rPr>
            </w:pPr>
            <w:r>
              <w:rPr>
                <w:rFonts w:ascii="Arial" w:cs="Arial" w:eastAsia="Arial" w:hAnsi="Arial"/>
                <w:sz w:val="20"/>
                <w:szCs w:val="20"/>
                <w:color w:val="3E3935"/>
              </w:rPr>
              <w:t>25%</w:t>
            </w:r>
          </w:p>
        </w:tc>
        <w:tc>
          <w:tcPr>
            <w:tcW w:w="1720" w:type="dxa"/>
            <w:vAlign w:val="bottom"/>
            <w:tcBorders>
              <w:bottom w:val="single" w:sz="8" w:color="3E3935"/>
            </w:tcBorders>
          </w:tcPr>
          <w:p>
            <w:pPr>
              <w:jc w:val="right"/>
              <w:ind w:right="301"/>
              <w:spacing w:after="0"/>
              <w:rPr>
                <w:sz w:val="20"/>
                <w:szCs w:val="20"/>
                <w:color w:val="auto"/>
              </w:rPr>
            </w:pPr>
            <w:r>
              <w:rPr>
                <w:rFonts w:ascii="Arial" w:cs="Arial" w:eastAsia="Arial" w:hAnsi="Arial"/>
                <w:sz w:val="20"/>
                <w:szCs w:val="20"/>
                <w:color w:val="3E3935"/>
              </w:rPr>
              <w:t>0 pts.</w:t>
            </w:r>
          </w:p>
        </w:tc>
        <w:tc>
          <w:tcPr>
            <w:tcW w:w="1380" w:type="dxa"/>
            <w:vAlign w:val="bottom"/>
            <w:tcBorders>
              <w:bottom w:val="single" w:sz="8" w:color="3E3935"/>
            </w:tcBorders>
          </w:tcPr>
          <w:p>
            <w:pPr>
              <w:jc w:val="right"/>
              <w:ind w:right="281"/>
              <w:spacing w:after="0"/>
              <w:rPr>
                <w:sz w:val="20"/>
                <w:szCs w:val="20"/>
                <w:color w:val="auto"/>
              </w:rPr>
            </w:pPr>
            <w:r>
              <w:rPr>
                <w:rFonts w:ascii="Arial" w:cs="Arial" w:eastAsia="Arial" w:hAnsi="Arial"/>
                <w:sz w:val="20"/>
                <w:szCs w:val="20"/>
                <w:color w:val="3E3935"/>
              </w:rPr>
              <w:t>25 pts.</w:t>
            </w:r>
          </w:p>
        </w:tc>
        <w:tc>
          <w:tcPr>
            <w:tcW w:w="1480" w:type="dxa"/>
            <w:vAlign w:val="bottom"/>
            <w:tcBorders>
              <w:bottom w:val="single" w:sz="8" w:color="3E3935"/>
            </w:tcBorders>
          </w:tcPr>
          <w:p>
            <w:pPr>
              <w:jc w:val="right"/>
              <w:ind w:right="101"/>
              <w:spacing w:after="0"/>
              <w:rPr>
                <w:sz w:val="20"/>
                <w:szCs w:val="20"/>
                <w:color w:val="auto"/>
              </w:rPr>
            </w:pPr>
            <w:r>
              <w:rPr>
                <w:rFonts w:ascii="Arial" w:cs="Arial" w:eastAsia="Arial" w:hAnsi="Arial"/>
                <w:sz w:val="20"/>
                <w:szCs w:val="20"/>
                <w:color w:val="3E3935"/>
              </w:rPr>
              <w:t>50 pts.</w:t>
            </w:r>
          </w:p>
        </w:tc>
        <w:tc>
          <w:tcPr>
            <w:tcW w:w="1460" w:type="dxa"/>
            <w:vAlign w:val="bottom"/>
            <w:tcBorders>
              <w:bottom w:val="single" w:sz="8" w:color="3E3935"/>
            </w:tcBorders>
          </w:tcPr>
          <w:p>
            <w:pPr>
              <w:jc w:val="right"/>
              <w:spacing w:after="0"/>
              <w:rPr>
                <w:sz w:val="20"/>
                <w:szCs w:val="20"/>
                <w:color w:val="auto"/>
              </w:rPr>
            </w:pPr>
            <w:r>
              <w:rPr>
                <w:rFonts w:ascii="Arial" w:cs="Arial" w:eastAsia="Arial" w:hAnsi="Arial"/>
                <w:sz w:val="20"/>
                <w:szCs w:val="20"/>
                <w:color w:val="3E3935"/>
              </w:rPr>
              <w:t>30-35 pts.</w:t>
            </w:r>
          </w:p>
        </w:tc>
        <w:tc>
          <w:tcPr>
            <w:tcW w:w="0" w:type="dxa"/>
            <w:vAlign w:val="bottom"/>
          </w:tcPr>
          <w:p>
            <w:pPr>
              <w:spacing w:after="0"/>
              <w:rPr>
                <w:sz w:val="1"/>
                <w:szCs w:val="1"/>
                <w:color w:val="auto"/>
              </w:rPr>
            </w:pPr>
          </w:p>
        </w:tc>
      </w:tr>
      <w:tr>
        <w:trPr>
          <w:trHeight w:val="311"/>
        </w:trPr>
        <w:tc>
          <w:tcPr>
            <w:tcW w:w="2980" w:type="dxa"/>
            <w:vAlign w:val="bottom"/>
          </w:tcPr>
          <w:p>
            <w:pPr>
              <w:ind w:left="80"/>
              <w:spacing w:after="0"/>
              <w:rPr>
                <w:sz w:val="20"/>
                <w:szCs w:val="20"/>
                <w:color w:val="auto"/>
              </w:rPr>
            </w:pPr>
            <w:r>
              <w:rPr>
                <w:rFonts w:ascii="Arial" w:cs="Arial" w:eastAsia="Arial" w:hAnsi="Arial"/>
                <w:sz w:val="20"/>
                <w:szCs w:val="20"/>
                <w:b w:val="1"/>
                <w:bCs w:val="1"/>
                <w:color w:val="0071CE"/>
              </w:rPr>
              <w:t>Performance Payout</w:t>
            </w:r>
          </w:p>
        </w:tc>
        <w:tc>
          <w:tcPr>
            <w:tcW w:w="20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940" w:type="dxa"/>
            <w:vAlign w:val="bottom"/>
            <w:gridSpan w:val="2"/>
          </w:tcPr>
          <w:p>
            <w:pPr>
              <w:jc w:val="right"/>
              <w:spacing w:after="0"/>
              <w:rPr>
                <w:sz w:val="20"/>
                <w:szCs w:val="20"/>
                <w:color w:val="auto"/>
              </w:rPr>
            </w:pPr>
            <w:r>
              <w:rPr>
                <w:rFonts w:ascii="Arial" w:cs="Arial" w:eastAsia="Arial" w:hAnsi="Arial"/>
                <w:sz w:val="20"/>
                <w:szCs w:val="20"/>
                <w:b w:val="1"/>
                <w:bCs w:val="1"/>
                <w:color w:val="0071CE"/>
              </w:rPr>
              <w:t>149%—154% of Target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29845</wp:posOffset>
            </wp:positionV>
            <wp:extent cx="6995160" cy="88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05" w:lineRule="exact"/>
        <w:rPr>
          <w:sz w:val="20"/>
          <w:szCs w:val="20"/>
          <w:color w:val="auto"/>
        </w:rPr>
      </w:pPr>
    </w:p>
    <w:p>
      <w:pPr>
        <w:ind w:left="540" w:right="20" w:hanging="424"/>
        <w:spacing w:after="0" w:line="269" w:lineRule="auto"/>
        <w:tabs>
          <w:tab w:leader="none" w:pos="540" w:val="left"/>
        </w:tabs>
        <w:numPr>
          <w:ilvl w:val="0"/>
          <w:numId w:val="99"/>
        </w:numPr>
        <w:rPr>
          <w:rFonts w:ascii="Arial" w:cs="Arial" w:eastAsia="Arial" w:hAnsi="Arial"/>
          <w:sz w:val="18"/>
          <w:szCs w:val="18"/>
          <w:i w:val="1"/>
          <w:iCs w:val="1"/>
          <w:color w:val="3E3935"/>
        </w:rPr>
      </w:pPr>
      <w:r>
        <w:rPr>
          <w:rFonts w:ascii="Arial" w:cs="Arial" w:eastAsia="Arial" w:hAnsi="Arial"/>
          <w:sz w:val="18"/>
          <w:szCs w:val="18"/>
          <w:i w:val="1"/>
          <w:iCs w:val="1"/>
          <w:color w:val="3E3935"/>
        </w:rPr>
        <w:t>Measure adjusted for incentive purposes and excludes the impact of Cruise. For a description of how EBIT-adjusted is calculated, see Appendix A.</w:t>
      </w:r>
    </w:p>
    <w:p>
      <w:pPr>
        <w:spacing w:after="0" w:line="22" w:lineRule="exact"/>
        <w:rPr>
          <w:rFonts w:ascii="Arial" w:cs="Arial" w:eastAsia="Arial" w:hAnsi="Arial"/>
          <w:sz w:val="18"/>
          <w:szCs w:val="18"/>
          <w:i w:val="1"/>
          <w:iCs w:val="1"/>
          <w:color w:val="3E3935"/>
        </w:rPr>
      </w:pPr>
    </w:p>
    <w:p>
      <w:pPr>
        <w:ind w:left="540" w:right="20" w:hanging="424"/>
        <w:spacing w:after="0" w:line="269" w:lineRule="auto"/>
        <w:tabs>
          <w:tab w:leader="none" w:pos="540" w:val="left"/>
        </w:tabs>
        <w:numPr>
          <w:ilvl w:val="0"/>
          <w:numId w:val="99"/>
        </w:numPr>
        <w:rPr>
          <w:rFonts w:ascii="Arial" w:cs="Arial" w:eastAsia="Arial" w:hAnsi="Arial"/>
          <w:sz w:val="18"/>
          <w:szCs w:val="18"/>
          <w:i w:val="1"/>
          <w:iCs w:val="1"/>
          <w:color w:val="3E3935"/>
        </w:rPr>
      </w:pPr>
      <w:r>
        <w:rPr>
          <w:rFonts w:ascii="Arial" w:cs="Arial" w:eastAsia="Arial" w:hAnsi="Arial"/>
          <w:sz w:val="18"/>
          <w:szCs w:val="18"/>
          <w:i w:val="1"/>
          <w:iCs w:val="1"/>
          <w:color w:val="3E3935"/>
        </w:rPr>
        <w:t>Measure adjusted for incentive purposes and excludes payments related to certain recall-related expenses attributable to events occurring in 2014. For a description of how AAFCF is calculated, see Appendix A.</w:t>
      </w:r>
    </w:p>
    <w:p>
      <w:pPr>
        <w:spacing w:after="0" w:line="22" w:lineRule="exact"/>
        <w:rPr>
          <w:rFonts w:ascii="Arial" w:cs="Arial" w:eastAsia="Arial" w:hAnsi="Arial"/>
          <w:sz w:val="18"/>
          <w:szCs w:val="18"/>
          <w:i w:val="1"/>
          <w:iCs w:val="1"/>
          <w:color w:val="3E3935"/>
        </w:rPr>
      </w:pPr>
    </w:p>
    <w:p>
      <w:pPr>
        <w:ind w:left="540" w:hanging="424"/>
        <w:spacing w:after="0"/>
        <w:tabs>
          <w:tab w:leader="none" w:pos="540" w:val="left"/>
        </w:tabs>
        <w:numPr>
          <w:ilvl w:val="0"/>
          <w:numId w:val="99"/>
        </w:numPr>
        <w:rPr>
          <w:rFonts w:ascii="Arial" w:cs="Arial" w:eastAsia="Arial" w:hAnsi="Arial"/>
          <w:sz w:val="18"/>
          <w:szCs w:val="18"/>
          <w:i w:val="1"/>
          <w:iCs w:val="1"/>
          <w:color w:val="3E3935"/>
        </w:rPr>
      </w:pPr>
      <w:r>
        <w:rPr>
          <w:rFonts w:ascii="Arial" w:cs="Arial" w:eastAsia="Arial" w:hAnsi="Arial"/>
          <w:sz w:val="18"/>
          <w:szCs w:val="18"/>
          <w:i w:val="1"/>
          <w:iCs w:val="1"/>
          <w:color w:val="3E3935"/>
        </w:rPr>
        <w:t>Performance results to strategic goals are discussed beginning on page 65.</w:t>
      </w:r>
    </w:p>
    <w:p>
      <w:pPr>
        <w:spacing w:after="0" w:line="327" w:lineRule="exact"/>
        <w:rPr>
          <w:sz w:val="20"/>
          <w:szCs w:val="20"/>
          <w:color w:val="auto"/>
        </w:rPr>
      </w:pPr>
    </w:p>
    <w:p>
      <w:pPr>
        <w:ind w:left="660" w:hanging="544"/>
        <w:spacing w:after="0"/>
        <w:tabs>
          <w:tab w:leader="none" w:pos="660" w:val="left"/>
        </w:tabs>
        <w:numPr>
          <w:ilvl w:val="0"/>
          <w:numId w:val="100"/>
        </w:numPr>
        <w:rPr>
          <w:rFonts w:ascii="Times New Roman" w:cs="Times New Roman" w:eastAsia="Times New Roman" w:hAnsi="Times New Roman"/>
          <w:sz w:val="19"/>
          <w:szCs w:val="19"/>
          <w:color w:val="0071CE"/>
        </w:rPr>
      </w:pPr>
      <w:r>
        <w:rPr>
          <w:rFonts w:ascii="Arial" w:cs="Arial" w:eastAsia="Arial" w:hAnsi="Arial"/>
          <w:sz w:val="25"/>
          <w:szCs w:val="25"/>
          <w:color w:val="3E3935"/>
        </w:rPr>
        <w:t>2020–2022 LTIP Results</w:t>
      </w:r>
    </w:p>
    <w:p>
      <w:pPr>
        <w:spacing w:after="0" w:line="145" w:lineRule="exact"/>
        <w:rPr>
          <w:sz w:val="20"/>
          <w:szCs w:val="20"/>
          <w:color w:val="auto"/>
        </w:rPr>
      </w:pPr>
    </w:p>
    <w:p>
      <w:pPr>
        <w:jc w:val="both"/>
        <w:ind w:left="120" w:right="20"/>
        <w:spacing w:after="0" w:line="241" w:lineRule="auto"/>
        <w:rPr>
          <w:sz w:val="20"/>
          <w:szCs w:val="20"/>
          <w:color w:val="auto"/>
        </w:rPr>
      </w:pPr>
      <w:r>
        <w:rPr>
          <w:rFonts w:ascii="Arial" w:cs="Arial" w:eastAsia="Arial" w:hAnsi="Arial"/>
          <w:sz w:val="20"/>
          <w:szCs w:val="20"/>
          <w:color w:val="3E3935"/>
        </w:rPr>
        <w:t>The 2020-2022 PSUs vested on February 12, 2023, based on Company performance for the three-year performance period beginning January 1, 2020, against pre-established performance targets for Relative ROIC-adjusted and Relative TSR. Final LTIP performance approved by the Compensation Committee is displayed below.</w:t>
      </w:r>
    </w:p>
    <w:p>
      <w:pPr>
        <w:spacing w:after="0" w:line="200" w:lineRule="exact"/>
        <w:rPr>
          <w:sz w:val="20"/>
          <w:szCs w:val="20"/>
          <w:color w:val="auto"/>
        </w:rPr>
      </w:pPr>
    </w:p>
    <w:tbl>
      <w:tblPr>
        <w:tblLayout w:type="fixed"/>
        <w:tblInd w:w="120" w:type="dxa"/>
        <w:tblCellMar>
          <w:top w:w="0" w:type="dxa"/>
          <w:left w:w="0" w:type="dxa"/>
          <w:bottom w:w="0" w:type="dxa"/>
          <w:right w:w="0" w:type="dxa"/>
        </w:tblCellMar>
      </w:tblPr>
      <w:tr>
        <w:trPr>
          <w:trHeight w:val="287"/>
        </w:trPr>
        <w:tc>
          <w:tcPr>
            <w:tcW w:w="2780" w:type="dxa"/>
            <w:vAlign w:val="bottom"/>
            <w:tcBorders>
              <w:top w:val="single" w:sz="8" w:color="00C1DE"/>
            </w:tcBorders>
          </w:tcPr>
          <w:p>
            <w:pPr>
              <w:spacing w:after="0"/>
              <w:rPr>
                <w:sz w:val="24"/>
                <w:szCs w:val="24"/>
                <w:color w:val="auto"/>
              </w:rPr>
            </w:pPr>
          </w:p>
        </w:tc>
        <w:tc>
          <w:tcPr>
            <w:tcW w:w="1500" w:type="dxa"/>
            <w:vAlign w:val="bottom"/>
            <w:tcBorders>
              <w:top w:val="single" w:sz="8" w:color="00C1DE"/>
            </w:tcBorders>
          </w:tcPr>
          <w:p>
            <w:pPr>
              <w:spacing w:after="0"/>
              <w:rPr>
                <w:sz w:val="24"/>
                <w:szCs w:val="24"/>
                <w:color w:val="auto"/>
              </w:rPr>
            </w:pPr>
          </w:p>
        </w:tc>
        <w:tc>
          <w:tcPr>
            <w:tcW w:w="2000" w:type="dxa"/>
            <w:vAlign w:val="bottom"/>
            <w:tcBorders>
              <w:top w:val="single" w:sz="8" w:color="00C1DE"/>
            </w:tcBorders>
          </w:tcPr>
          <w:p>
            <w:pPr>
              <w:spacing w:after="0"/>
              <w:rPr>
                <w:sz w:val="24"/>
                <w:szCs w:val="24"/>
                <w:color w:val="auto"/>
              </w:rPr>
            </w:pPr>
          </w:p>
        </w:tc>
        <w:tc>
          <w:tcPr>
            <w:tcW w:w="1460" w:type="dxa"/>
            <w:vAlign w:val="bottom"/>
            <w:tcBorders>
              <w:top w:val="single" w:sz="8" w:color="00C1DE"/>
            </w:tcBorders>
          </w:tcPr>
          <w:p>
            <w:pPr>
              <w:jc w:val="right"/>
              <w:ind w:right="187"/>
              <w:spacing w:after="0"/>
              <w:rPr>
                <w:sz w:val="20"/>
                <w:szCs w:val="20"/>
                <w:color w:val="auto"/>
              </w:rPr>
            </w:pPr>
            <w:r>
              <w:rPr>
                <w:rFonts w:ascii="Arial" w:cs="Arial" w:eastAsia="Arial" w:hAnsi="Arial"/>
                <w:sz w:val="20"/>
                <w:szCs w:val="20"/>
                <w:b w:val="1"/>
                <w:bCs w:val="1"/>
                <w:color w:val="00C1DE"/>
              </w:rPr>
              <w:t>Percentile</w:t>
            </w:r>
          </w:p>
        </w:tc>
        <w:tc>
          <w:tcPr>
            <w:tcW w:w="1260" w:type="dxa"/>
            <w:vAlign w:val="bottom"/>
            <w:tcBorders>
              <w:top w:val="single" w:sz="8" w:color="00C1DE"/>
            </w:tcBorders>
          </w:tcPr>
          <w:p>
            <w:pPr>
              <w:spacing w:after="0"/>
              <w:rPr>
                <w:sz w:val="24"/>
                <w:szCs w:val="24"/>
                <w:color w:val="auto"/>
              </w:rPr>
            </w:pPr>
          </w:p>
        </w:tc>
        <w:tc>
          <w:tcPr>
            <w:tcW w:w="2020" w:type="dxa"/>
            <w:vAlign w:val="bottom"/>
            <w:tcBorders>
              <w:top w:val="single" w:sz="8" w:color="00C1DE"/>
            </w:tcBorders>
          </w:tcPr>
          <w:p>
            <w:pPr>
              <w:spacing w:after="0"/>
              <w:rPr>
                <w:sz w:val="24"/>
                <w:szCs w:val="24"/>
                <w:color w:val="auto"/>
              </w:rPr>
            </w:pPr>
          </w:p>
        </w:tc>
        <w:tc>
          <w:tcPr>
            <w:tcW w:w="0" w:type="dxa"/>
            <w:vAlign w:val="bottom"/>
          </w:tcPr>
          <w:p>
            <w:pPr>
              <w:spacing w:after="0"/>
              <w:rPr>
                <w:sz w:val="1"/>
                <w:szCs w:val="1"/>
                <w:color w:val="auto"/>
              </w:rPr>
            </w:pPr>
          </w:p>
        </w:tc>
      </w:tr>
      <w:tr>
        <w:trPr>
          <w:trHeight w:val="37"/>
        </w:trPr>
        <w:tc>
          <w:tcPr>
            <w:tcW w:w="2780" w:type="dxa"/>
            <w:vAlign w:val="bottom"/>
          </w:tcPr>
          <w:p>
            <w:pPr>
              <w:spacing w:after="0"/>
              <w:rPr>
                <w:sz w:val="3"/>
                <w:szCs w:val="3"/>
                <w:color w:val="auto"/>
              </w:rPr>
            </w:pPr>
          </w:p>
        </w:tc>
        <w:tc>
          <w:tcPr>
            <w:tcW w:w="1500" w:type="dxa"/>
            <w:vAlign w:val="bottom"/>
          </w:tcPr>
          <w:p>
            <w:pPr>
              <w:spacing w:after="0"/>
              <w:rPr>
                <w:sz w:val="3"/>
                <w:szCs w:val="3"/>
                <w:color w:val="auto"/>
              </w:rPr>
            </w:pPr>
          </w:p>
        </w:tc>
        <w:tc>
          <w:tcPr>
            <w:tcW w:w="2000" w:type="dxa"/>
            <w:vAlign w:val="bottom"/>
            <w:tcBorders>
              <w:bottom w:val="single" w:sz="8" w:color="00C1DE"/>
            </w:tcBorders>
          </w:tcPr>
          <w:p>
            <w:pPr>
              <w:spacing w:after="0"/>
              <w:rPr>
                <w:sz w:val="3"/>
                <w:szCs w:val="3"/>
                <w:color w:val="auto"/>
              </w:rPr>
            </w:pPr>
          </w:p>
        </w:tc>
        <w:tc>
          <w:tcPr>
            <w:tcW w:w="1460" w:type="dxa"/>
            <w:vAlign w:val="bottom"/>
            <w:tcBorders>
              <w:bottom w:val="single" w:sz="8" w:color="00C1DE"/>
            </w:tcBorders>
          </w:tcPr>
          <w:p>
            <w:pPr>
              <w:spacing w:after="0"/>
              <w:rPr>
                <w:sz w:val="3"/>
                <w:szCs w:val="3"/>
                <w:color w:val="auto"/>
              </w:rPr>
            </w:pPr>
          </w:p>
        </w:tc>
        <w:tc>
          <w:tcPr>
            <w:tcW w:w="1260" w:type="dxa"/>
            <w:vAlign w:val="bottom"/>
            <w:tcBorders>
              <w:bottom w:val="single" w:sz="8" w:color="00C1DE"/>
            </w:tcBorders>
          </w:tcPr>
          <w:p>
            <w:pPr>
              <w:spacing w:after="0"/>
              <w:rPr>
                <w:sz w:val="3"/>
                <w:szCs w:val="3"/>
                <w:color w:val="auto"/>
              </w:rPr>
            </w:pPr>
          </w:p>
        </w:tc>
        <w:tc>
          <w:tcPr>
            <w:tcW w:w="2020" w:type="dxa"/>
            <w:vAlign w:val="bottom"/>
            <w:vMerge w:val="restart"/>
          </w:tcPr>
          <w:p>
            <w:pPr>
              <w:jc w:val="right"/>
              <w:spacing w:after="0"/>
              <w:rPr>
                <w:sz w:val="20"/>
                <w:szCs w:val="20"/>
                <w:color w:val="auto"/>
              </w:rPr>
            </w:pPr>
            <w:r>
              <w:rPr>
                <w:rFonts w:ascii="Arial" w:cs="Arial" w:eastAsia="Arial" w:hAnsi="Arial"/>
                <w:sz w:val="20"/>
                <w:szCs w:val="20"/>
                <w:b w:val="1"/>
                <w:bCs w:val="1"/>
                <w:color w:val="00C1DE"/>
              </w:rPr>
              <w:t>Performance</w:t>
            </w:r>
          </w:p>
        </w:tc>
        <w:tc>
          <w:tcPr>
            <w:tcW w:w="0" w:type="dxa"/>
            <w:vAlign w:val="bottom"/>
          </w:tcPr>
          <w:p>
            <w:pPr>
              <w:spacing w:after="0"/>
              <w:rPr>
                <w:sz w:val="1"/>
                <w:szCs w:val="1"/>
                <w:color w:val="auto"/>
              </w:rPr>
            </w:pPr>
          </w:p>
        </w:tc>
      </w:tr>
      <w:tr>
        <w:trPr>
          <w:trHeight w:val="186"/>
        </w:trPr>
        <w:tc>
          <w:tcPr>
            <w:tcW w:w="278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0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87"/>
        </w:trPr>
        <w:tc>
          <w:tcPr>
            <w:tcW w:w="2780" w:type="dxa"/>
            <w:vAlign w:val="bottom"/>
          </w:tcPr>
          <w:p>
            <w:pPr>
              <w:ind w:left="100"/>
              <w:spacing w:after="0"/>
              <w:rPr>
                <w:sz w:val="20"/>
                <w:szCs w:val="20"/>
                <w:color w:val="auto"/>
              </w:rPr>
            </w:pPr>
            <w:r>
              <w:rPr>
                <w:rFonts w:ascii="Arial" w:cs="Arial" w:eastAsia="Arial" w:hAnsi="Arial"/>
                <w:sz w:val="20"/>
                <w:szCs w:val="20"/>
                <w:b w:val="1"/>
                <w:bCs w:val="1"/>
                <w:color w:val="00C1DE"/>
              </w:rPr>
              <w:t>LTIP Measure</w:t>
            </w:r>
          </w:p>
        </w:tc>
        <w:tc>
          <w:tcPr>
            <w:tcW w:w="1500" w:type="dxa"/>
            <w:vAlign w:val="bottom"/>
          </w:tcPr>
          <w:p>
            <w:pPr>
              <w:jc w:val="right"/>
              <w:ind w:right="141"/>
              <w:spacing w:after="0"/>
              <w:rPr>
                <w:sz w:val="20"/>
                <w:szCs w:val="20"/>
                <w:color w:val="auto"/>
              </w:rPr>
            </w:pPr>
            <w:r>
              <w:rPr>
                <w:rFonts w:ascii="Arial" w:cs="Arial" w:eastAsia="Arial" w:hAnsi="Arial"/>
                <w:sz w:val="20"/>
                <w:szCs w:val="20"/>
                <w:b w:val="1"/>
                <w:bCs w:val="1"/>
                <w:color w:val="00C1DE"/>
              </w:rPr>
              <w:t>Weight</w:t>
            </w:r>
          </w:p>
        </w:tc>
        <w:tc>
          <w:tcPr>
            <w:tcW w:w="2000" w:type="dxa"/>
            <w:vAlign w:val="bottom"/>
          </w:tcPr>
          <w:p>
            <w:pPr>
              <w:jc w:val="right"/>
              <w:ind w:right="169"/>
              <w:spacing w:after="0"/>
              <w:rPr>
                <w:sz w:val="20"/>
                <w:szCs w:val="20"/>
                <w:color w:val="auto"/>
              </w:rPr>
            </w:pPr>
            <w:r>
              <w:rPr>
                <w:rFonts w:ascii="Arial" w:cs="Arial" w:eastAsia="Arial" w:hAnsi="Arial"/>
                <w:sz w:val="20"/>
                <w:szCs w:val="20"/>
                <w:b w:val="1"/>
                <w:bCs w:val="1"/>
                <w:color w:val="00C1DE"/>
              </w:rPr>
              <w:t>Threshold</w:t>
            </w:r>
          </w:p>
        </w:tc>
        <w:tc>
          <w:tcPr>
            <w:tcW w:w="1460" w:type="dxa"/>
            <w:vAlign w:val="bottom"/>
          </w:tcPr>
          <w:p>
            <w:pPr>
              <w:jc w:val="right"/>
              <w:ind w:right="327"/>
              <w:spacing w:after="0"/>
              <w:rPr>
                <w:sz w:val="20"/>
                <w:szCs w:val="20"/>
                <w:color w:val="auto"/>
              </w:rPr>
            </w:pPr>
            <w:r>
              <w:rPr>
                <w:rFonts w:ascii="Arial" w:cs="Arial" w:eastAsia="Arial" w:hAnsi="Arial"/>
                <w:sz w:val="20"/>
                <w:szCs w:val="20"/>
                <w:b w:val="1"/>
                <w:bCs w:val="1"/>
                <w:color w:val="00C1DE"/>
              </w:rPr>
              <w:t>Target</w:t>
            </w:r>
          </w:p>
        </w:tc>
        <w:tc>
          <w:tcPr>
            <w:tcW w:w="1260" w:type="dxa"/>
            <w:vAlign w:val="bottom"/>
          </w:tcPr>
          <w:p>
            <w:pPr>
              <w:jc w:val="right"/>
              <w:spacing w:after="0"/>
              <w:rPr>
                <w:sz w:val="20"/>
                <w:szCs w:val="20"/>
                <w:color w:val="auto"/>
              </w:rPr>
            </w:pPr>
            <w:r>
              <w:rPr>
                <w:rFonts w:ascii="Arial" w:cs="Arial" w:eastAsia="Arial" w:hAnsi="Arial"/>
                <w:sz w:val="20"/>
                <w:szCs w:val="20"/>
                <w:b w:val="1"/>
                <w:bCs w:val="1"/>
                <w:color w:val="00C1DE"/>
              </w:rPr>
              <w:t>Maximum</w:t>
            </w:r>
          </w:p>
        </w:tc>
        <w:tc>
          <w:tcPr>
            <w:tcW w:w="2020" w:type="dxa"/>
            <w:vAlign w:val="bottom"/>
          </w:tcPr>
          <w:p>
            <w:pPr>
              <w:jc w:val="right"/>
              <w:spacing w:after="0"/>
              <w:rPr>
                <w:sz w:val="20"/>
                <w:szCs w:val="20"/>
                <w:color w:val="auto"/>
              </w:rPr>
            </w:pPr>
            <w:r>
              <w:rPr>
                <w:rFonts w:ascii="Arial" w:cs="Arial" w:eastAsia="Arial" w:hAnsi="Arial"/>
                <w:sz w:val="20"/>
                <w:szCs w:val="20"/>
                <w:b w:val="1"/>
                <w:bCs w:val="1"/>
                <w:color w:val="00C1DE"/>
              </w:rPr>
              <w:t>Result</w:t>
            </w:r>
          </w:p>
        </w:tc>
        <w:tc>
          <w:tcPr>
            <w:tcW w:w="0" w:type="dxa"/>
            <w:vAlign w:val="bottom"/>
          </w:tcPr>
          <w:p>
            <w:pPr>
              <w:spacing w:after="0"/>
              <w:rPr>
                <w:sz w:val="1"/>
                <w:szCs w:val="1"/>
                <w:color w:val="auto"/>
              </w:rPr>
            </w:pPr>
          </w:p>
        </w:tc>
      </w:tr>
      <w:tr>
        <w:trPr>
          <w:trHeight w:val="48"/>
        </w:trPr>
        <w:tc>
          <w:tcPr>
            <w:tcW w:w="2780" w:type="dxa"/>
            <w:vAlign w:val="bottom"/>
            <w:tcBorders>
              <w:bottom w:val="single" w:sz="8" w:color="00C1DE"/>
            </w:tcBorders>
          </w:tcPr>
          <w:p>
            <w:pPr>
              <w:spacing w:after="0"/>
              <w:rPr>
                <w:sz w:val="4"/>
                <w:szCs w:val="4"/>
                <w:color w:val="auto"/>
              </w:rPr>
            </w:pPr>
          </w:p>
        </w:tc>
        <w:tc>
          <w:tcPr>
            <w:tcW w:w="1500" w:type="dxa"/>
            <w:vAlign w:val="bottom"/>
            <w:tcBorders>
              <w:bottom w:val="single" w:sz="8" w:color="00C1DE"/>
            </w:tcBorders>
          </w:tcPr>
          <w:p>
            <w:pPr>
              <w:spacing w:after="0"/>
              <w:rPr>
                <w:sz w:val="4"/>
                <w:szCs w:val="4"/>
                <w:color w:val="auto"/>
              </w:rPr>
            </w:pPr>
          </w:p>
        </w:tc>
        <w:tc>
          <w:tcPr>
            <w:tcW w:w="2000" w:type="dxa"/>
            <w:vAlign w:val="bottom"/>
            <w:tcBorders>
              <w:bottom w:val="single" w:sz="8" w:color="00C1DE"/>
            </w:tcBorders>
          </w:tcPr>
          <w:p>
            <w:pPr>
              <w:spacing w:after="0"/>
              <w:rPr>
                <w:sz w:val="4"/>
                <w:szCs w:val="4"/>
                <w:color w:val="auto"/>
              </w:rPr>
            </w:pPr>
          </w:p>
        </w:tc>
        <w:tc>
          <w:tcPr>
            <w:tcW w:w="1460" w:type="dxa"/>
            <w:vAlign w:val="bottom"/>
            <w:tcBorders>
              <w:bottom w:val="single" w:sz="8" w:color="00C1DE"/>
            </w:tcBorders>
          </w:tcPr>
          <w:p>
            <w:pPr>
              <w:spacing w:after="0"/>
              <w:rPr>
                <w:sz w:val="4"/>
                <w:szCs w:val="4"/>
                <w:color w:val="auto"/>
              </w:rPr>
            </w:pPr>
          </w:p>
        </w:tc>
        <w:tc>
          <w:tcPr>
            <w:tcW w:w="1260" w:type="dxa"/>
            <w:vAlign w:val="bottom"/>
            <w:tcBorders>
              <w:bottom w:val="single" w:sz="8" w:color="00C1DE"/>
            </w:tcBorders>
          </w:tcPr>
          <w:p>
            <w:pPr>
              <w:spacing w:after="0"/>
              <w:rPr>
                <w:sz w:val="4"/>
                <w:szCs w:val="4"/>
                <w:color w:val="auto"/>
              </w:rPr>
            </w:pPr>
          </w:p>
        </w:tc>
        <w:tc>
          <w:tcPr>
            <w:tcW w:w="2020" w:type="dxa"/>
            <w:vAlign w:val="bottom"/>
            <w:tcBorders>
              <w:bottom w:val="single" w:sz="8" w:color="00C1DE"/>
            </w:tcBorders>
          </w:tcPr>
          <w:p>
            <w:pPr>
              <w:spacing w:after="0"/>
              <w:rPr>
                <w:sz w:val="4"/>
                <w:szCs w:val="4"/>
                <w:color w:val="auto"/>
              </w:rPr>
            </w:pPr>
          </w:p>
        </w:tc>
        <w:tc>
          <w:tcPr>
            <w:tcW w:w="0" w:type="dxa"/>
            <w:vAlign w:val="bottom"/>
          </w:tcPr>
          <w:p>
            <w:pPr>
              <w:spacing w:after="0"/>
              <w:rPr>
                <w:sz w:val="1"/>
                <w:szCs w:val="1"/>
                <w:color w:val="auto"/>
              </w:rPr>
            </w:pPr>
          </w:p>
        </w:tc>
      </w:tr>
      <w:tr>
        <w:trPr>
          <w:trHeight w:val="358"/>
        </w:trPr>
        <w:tc>
          <w:tcPr>
            <w:tcW w:w="2780" w:type="dxa"/>
            <w:vAlign w:val="bottom"/>
            <w:tcBorders>
              <w:bottom w:val="single" w:sz="8" w:color="3E3935"/>
            </w:tcBorders>
          </w:tcPr>
          <w:p>
            <w:pPr>
              <w:ind w:left="80"/>
              <w:spacing w:after="0"/>
              <w:rPr>
                <w:sz w:val="20"/>
                <w:szCs w:val="20"/>
                <w:color w:val="auto"/>
              </w:rPr>
            </w:pPr>
            <w:r>
              <w:rPr>
                <w:rFonts w:ascii="Arial" w:cs="Arial" w:eastAsia="Arial" w:hAnsi="Arial"/>
                <w:sz w:val="20"/>
                <w:szCs w:val="20"/>
                <w:color w:val="3E3935"/>
              </w:rPr>
              <w:t>Relative ROIC-adjusted</w:t>
            </w:r>
          </w:p>
        </w:tc>
        <w:tc>
          <w:tcPr>
            <w:tcW w:w="1500" w:type="dxa"/>
            <w:vAlign w:val="bottom"/>
            <w:tcBorders>
              <w:bottom w:val="single" w:sz="8" w:color="3E3935"/>
            </w:tcBorders>
          </w:tcPr>
          <w:p>
            <w:pPr>
              <w:jc w:val="right"/>
              <w:ind w:right="141"/>
              <w:spacing w:after="0"/>
              <w:rPr>
                <w:sz w:val="20"/>
                <w:szCs w:val="20"/>
                <w:color w:val="auto"/>
              </w:rPr>
            </w:pPr>
            <w:r>
              <w:rPr>
                <w:rFonts w:ascii="Arial" w:cs="Arial" w:eastAsia="Arial" w:hAnsi="Arial"/>
                <w:sz w:val="20"/>
                <w:szCs w:val="20"/>
                <w:color w:val="3E3935"/>
              </w:rPr>
              <w:t>50%</w:t>
            </w:r>
          </w:p>
        </w:tc>
        <w:tc>
          <w:tcPr>
            <w:tcW w:w="2000" w:type="dxa"/>
            <w:vAlign w:val="bottom"/>
            <w:tcBorders>
              <w:bottom w:val="single" w:sz="8" w:color="3E3935"/>
            </w:tcBorders>
          </w:tcPr>
          <w:p>
            <w:pPr>
              <w:jc w:val="right"/>
              <w:ind w:right="169"/>
              <w:spacing w:after="0" w:line="357" w:lineRule="exact"/>
              <w:rPr>
                <w:sz w:val="20"/>
                <w:szCs w:val="20"/>
                <w:color w:val="auto"/>
              </w:rPr>
            </w:pPr>
            <w:r>
              <w:rPr>
                <w:rFonts w:ascii="Arial" w:cs="Arial" w:eastAsia="Arial" w:hAnsi="Arial"/>
                <w:sz w:val="39"/>
                <w:szCs w:val="39"/>
                <w:color w:val="3E3935"/>
                <w:vertAlign w:val="subscript"/>
              </w:rPr>
              <w:t>35</w:t>
            </w:r>
            <w:r>
              <w:rPr>
                <w:rFonts w:ascii="Arial" w:cs="Arial" w:eastAsia="Arial" w:hAnsi="Arial"/>
                <w:sz w:val="15"/>
                <w:szCs w:val="15"/>
                <w:color w:val="3E3935"/>
              </w:rPr>
              <w:t>th</w:t>
            </w:r>
          </w:p>
        </w:tc>
        <w:tc>
          <w:tcPr>
            <w:tcW w:w="1460" w:type="dxa"/>
            <w:vAlign w:val="bottom"/>
            <w:tcBorders>
              <w:bottom w:val="single" w:sz="8" w:color="3E3935"/>
            </w:tcBorders>
          </w:tcPr>
          <w:p>
            <w:pPr>
              <w:jc w:val="right"/>
              <w:ind w:right="327"/>
              <w:spacing w:after="0" w:line="357" w:lineRule="exact"/>
              <w:rPr>
                <w:sz w:val="20"/>
                <w:szCs w:val="20"/>
                <w:color w:val="auto"/>
              </w:rPr>
            </w:pPr>
            <w:r>
              <w:rPr>
                <w:rFonts w:ascii="Arial" w:cs="Arial" w:eastAsia="Arial" w:hAnsi="Arial"/>
                <w:sz w:val="39"/>
                <w:szCs w:val="39"/>
                <w:color w:val="3E3935"/>
                <w:vertAlign w:val="subscript"/>
              </w:rPr>
              <w:t>60</w:t>
            </w:r>
            <w:r>
              <w:rPr>
                <w:rFonts w:ascii="Arial" w:cs="Arial" w:eastAsia="Arial" w:hAnsi="Arial"/>
                <w:sz w:val="15"/>
                <w:szCs w:val="15"/>
                <w:color w:val="3E3935"/>
              </w:rPr>
              <w:t>th</w:t>
            </w:r>
          </w:p>
        </w:tc>
        <w:tc>
          <w:tcPr>
            <w:tcW w:w="1260" w:type="dxa"/>
            <w:vAlign w:val="bottom"/>
            <w:tcBorders>
              <w:bottom w:val="single" w:sz="8" w:color="3E3935"/>
            </w:tcBorders>
          </w:tcPr>
          <w:p>
            <w:pPr>
              <w:jc w:val="right"/>
              <w:spacing w:after="0"/>
              <w:rPr>
                <w:sz w:val="20"/>
                <w:szCs w:val="20"/>
                <w:color w:val="auto"/>
              </w:rPr>
            </w:pPr>
            <w:r>
              <w:rPr>
                <w:rFonts w:ascii="Arial" w:cs="Arial" w:eastAsia="Arial" w:hAnsi="Arial"/>
                <w:sz w:val="20"/>
                <w:szCs w:val="20"/>
                <w:color w:val="3E3935"/>
              </w:rPr>
              <w:t>100</w:t>
            </w:r>
            <w:r>
              <w:rPr>
                <w:rFonts w:ascii="Arial" w:cs="Arial" w:eastAsia="Arial" w:hAnsi="Arial"/>
                <w:sz w:val="29"/>
                <w:szCs w:val="29"/>
                <w:color w:val="3E3935"/>
                <w:vertAlign w:val="superscript"/>
              </w:rPr>
              <w:t>th</w:t>
            </w:r>
          </w:p>
        </w:tc>
        <w:tc>
          <w:tcPr>
            <w:tcW w:w="2020" w:type="dxa"/>
            <w:vAlign w:val="bottom"/>
            <w:tcBorders>
              <w:bottom w:val="single" w:sz="8" w:color="3E3935"/>
            </w:tcBorders>
          </w:tcPr>
          <w:p>
            <w:pPr>
              <w:jc w:val="right"/>
              <w:spacing w:after="0"/>
              <w:rPr>
                <w:sz w:val="20"/>
                <w:szCs w:val="20"/>
                <w:color w:val="auto"/>
              </w:rPr>
            </w:pPr>
            <w:r>
              <w:rPr>
                <w:rFonts w:ascii="Arial" w:cs="Arial" w:eastAsia="Arial" w:hAnsi="Arial"/>
                <w:sz w:val="20"/>
                <w:szCs w:val="20"/>
                <w:color w:val="3E3935"/>
              </w:rPr>
              <w:t>92</w:t>
            </w:r>
            <w:r>
              <w:rPr>
                <w:rFonts w:ascii="Arial" w:cs="Arial" w:eastAsia="Arial" w:hAnsi="Arial"/>
                <w:sz w:val="29"/>
                <w:szCs w:val="29"/>
                <w:color w:val="3E3935"/>
                <w:vertAlign w:val="superscript"/>
              </w:rPr>
              <w:t>nd</w:t>
            </w:r>
            <w:r>
              <w:rPr>
                <w:rFonts w:ascii="Arial" w:cs="Arial" w:eastAsia="Arial" w:hAnsi="Arial"/>
                <w:sz w:val="20"/>
                <w:szCs w:val="20"/>
                <w:color w:val="3E3935"/>
              </w:rPr>
              <w:t xml:space="preserve"> Percentile</w:t>
            </w:r>
          </w:p>
        </w:tc>
        <w:tc>
          <w:tcPr>
            <w:tcW w:w="0" w:type="dxa"/>
            <w:vAlign w:val="bottom"/>
          </w:tcPr>
          <w:p>
            <w:pPr>
              <w:spacing w:after="0"/>
              <w:rPr>
                <w:sz w:val="1"/>
                <w:szCs w:val="1"/>
                <w:color w:val="auto"/>
              </w:rPr>
            </w:pPr>
          </w:p>
        </w:tc>
      </w:tr>
      <w:tr>
        <w:trPr>
          <w:trHeight w:val="358"/>
        </w:trPr>
        <w:tc>
          <w:tcPr>
            <w:tcW w:w="2780" w:type="dxa"/>
            <w:vAlign w:val="bottom"/>
            <w:tcBorders>
              <w:bottom w:val="single" w:sz="8" w:color="3E3935"/>
            </w:tcBorders>
          </w:tcPr>
          <w:p>
            <w:pPr>
              <w:ind w:left="80"/>
              <w:spacing w:after="0"/>
              <w:rPr>
                <w:sz w:val="20"/>
                <w:szCs w:val="20"/>
                <w:color w:val="auto"/>
              </w:rPr>
            </w:pPr>
            <w:r>
              <w:rPr>
                <w:rFonts w:ascii="Arial" w:cs="Arial" w:eastAsia="Arial" w:hAnsi="Arial"/>
                <w:sz w:val="20"/>
                <w:szCs w:val="20"/>
                <w:color w:val="3E3935"/>
              </w:rPr>
              <w:t>Relative TSR</w:t>
            </w:r>
          </w:p>
        </w:tc>
        <w:tc>
          <w:tcPr>
            <w:tcW w:w="1500" w:type="dxa"/>
            <w:vAlign w:val="bottom"/>
            <w:tcBorders>
              <w:bottom w:val="single" w:sz="8" w:color="3E3935"/>
            </w:tcBorders>
          </w:tcPr>
          <w:p>
            <w:pPr>
              <w:jc w:val="right"/>
              <w:ind w:right="141"/>
              <w:spacing w:after="0"/>
              <w:rPr>
                <w:sz w:val="20"/>
                <w:szCs w:val="20"/>
                <w:color w:val="auto"/>
              </w:rPr>
            </w:pPr>
            <w:r>
              <w:rPr>
                <w:rFonts w:ascii="Arial" w:cs="Arial" w:eastAsia="Arial" w:hAnsi="Arial"/>
                <w:sz w:val="20"/>
                <w:szCs w:val="20"/>
                <w:color w:val="3E3935"/>
              </w:rPr>
              <w:t>50%</w:t>
            </w:r>
          </w:p>
        </w:tc>
        <w:tc>
          <w:tcPr>
            <w:tcW w:w="2000" w:type="dxa"/>
            <w:vAlign w:val="bottom"/>
            <w:tcBorders>
              <w:bottom w:val="single" w:sz="8" w:color="3E3935"/>
            </w:tcBorders>
          </w:tcPr>
          <w:p>
            <w:pPr>
              <w:jc w:val="right"/>
              <w:ind w:right="169"/>
              <w:spacing w:after="0"/>
              <w:rPr>
                <w:sz w:val="20"/>
                <w:szCs w:val="20"/>
                <w:color w:val="auto"/>
              </w:rPr>
            </w:pPr>
            <w:r>
              <w:rPr>
                <w:rFonts w:ascii="Arial" w:cs="Arial" w:eastAsia="Arial" w:hAnsi="Arial"/>
                <w:sz w:val="20"/>
                <w:szCs w:val="20"/>
                <w:color w:val="3E3935"/>
              </w:rPr>
              <w:t>25</w:t>
            </w:r>
            <w:r>
              <w:rPr>
                <w:rFonts w:ascii="Arial" w:cs="Arial" w:eastAsia="Arial" w:hAnsi="Arial"/>
                <w:sz w:val="29"/>
                <w:szCs w:val="29"/>
                <w:color w:val="3E3935"/>
                <w:vertAlign w:val="superscript"/>
              </w:rPr>
              <w:t>th</w:t>
            </w:r>
          </w:p>
        </w:tc>
        <w:tc>
          <w:tcPr>
            <w:tcW w:w="1460" w:type="dxa"/>
            <w:vAlign w:val="bottom"/>
            <w:tcBorders>
              <w:bottom w:val="single" w:sz="8" w:color="3E3935"/>
            </w:tcBorders>
          </w:tcPr>
          <w:p>
            <w:pPr>
              <w:jc w:val="right"/>
              <w:ind w:right="327"/>
              <w:spacing w:after="0"/>
              <w:rPr>
                <w:sz w:val="20"/>
                <w:szCs w:val="20"/>
                <w:color w:val="auto"/>
              </w:rPr>
            </w:pPr>
            <w:r>
              <w:rPr>
                <w:rFonts w:ascii="Arial" w:cs="Arial" w:eastAsia="Arial" w:hAnsi="Arial"/>
                <w:sz w:val="20"/>
                <w:szCs w:val="20"/>
                <w:color w:val="3E3935"/>
              </w:rPr>
              <w:t>50</w:t>
            </w:r>
            <w:r>
              <w:rPr>
                <w:rFonts w:ascii="Arial" w:cs="Arial" w:eastAsia="Arial" w:hAnsi="Arial"/>
                <w:sz w:val="29"/>
                <w:szCs w:val="29"/>
                <w:color w:val="3E3935"/>
                <w:vertAlign w:val="superscript"/>
              </w:rPr>
              <w:t>th</w:t>
            </w:r>
          </w:p>
        </w:tc>
        <w:tc>
          <w:tcPr>
            <w:tcW w:w="1260" w:type="dxa"/>
            <w:vAlign w:val="bottom"/>
            <w:tcBorders>
              <w:bottom w:val="single" w:sz="8" w:color="3E3935"/>
            </w:tcBorders>
          </w:tcPr>
          <w:p>
            <w:pPr>
              <w:jc w:val="right"/>
              <w:spacing w:after="0"/>
              <w:rPr>
                <w:sz w:val="20"/>
                <w:szCs w:val="20"/>
                <w:color w:val="auto"/>
              </w:rPr>
            </w:pPr>
            <w:r>
              <w:rPr>
                <w:rFonts w:ascii="Arial" w:cs="Arial" w:eastAsia="Arial" w:hAnsi="Arial"/>
                <w:sz w:val="20"/>
                <w:szCs w:val="20"/>
                <w:color w:val="3E3935"/>
              </w:rPr>
              <w:t>75</w:t>
            </w:r>
            <w:r>
              <w:rPr>
                <w:rFonts w:ascii="Arial" w:cs="Arial" w:eastAsia="Arial" w:hAnsi="Arial"/>
                <w:sz w:val="29"/>
                <w:szCs w:val="29"/>
                <w:color w:val="3E3935"/>
                <w:vertAlign w:val="superscript"/>
              </w:rPr>
              <w:t>th</w:t>
            </w:r>
          </w:p>
        </w:tc>
        <w:tc>
          <w:tcPr>
            <w:tcW w:w="2020" w:type="dxa"/>
            <w:vAlign w:val="bottom"/>
            <w:tcBorders>
              <w:bottom w:val="single" w:sz="8" w:color="3E3935"/>
            </w:tcBorders>
          </w:tcPr>
          <w:p>
            <w:pPr>
              <w:jc w:val="right"/>
              <w:spacing w:after="0"/>
              <w:rPr>
                <w:sz w:val="20"/>
                <w:szCs w:val="20"/>
                <w:color w:val="auto"/>
              </w:rPr>
            </w:pPr>
            <w:r>
              <w:rPr>
                <w:rFonts w:ascii="Arial" w:cs="Arial" w:eastAsia="Arial" w:hAnsi="Arial"/>
                <w:sz w:val="20"/>
                <w:szCs w:val="20"/>
                <w:color w:val="3E3935"/>
              </w:rPr>
              <w:t>49</w:t>
            </w:r>
            <w:r>
              <w:rPr>
                <w:rFonts w:ascii="Arial" w:cs="Arial" w:eastAsia="Arial" w:hAnsi="Arial"/>
                <w:sz w:val="29"/>
                <w:szCs w:val="29"/>
                <w:color w:val="3E3935"/>
                <w:vertAlign w:val="superscript"/>
              </w:rPr>
              <w:t>th</w:t>
            </w:r>
            <w:r>
              <w:rPr>
                <w:rFonts w:ascii="Arial" w:cs="Arial" w:eastAsia="Arial" w:hAnsi="Arial"/>
                <w:sz w:val="20"/>
                <w:szCs w:val="20"/>
                <w:color w:val="3E3935"/>
              </w:rPr>
              <w:t xml:space="preserve"> Percentile</w:t>
            </w:r>
          </w:p>
        </w:tc>
        <w:tc>
          <w:tcPr>
            <w:tcW w:w="0" w:type="dxa"/>
            <w:vAlign w:val="bottom"/>
          </w:tcPr>
          <w:p>
            <w:pPr>
              <w:spacing w:after="0"/>
              <w:rPr>
                <w:sz w:val="1"/>
                <w:szCs w:val="1"/>
                <w:color w:val="auto"/>
              </w:rPr>
            </w:pPr>
          </w:p>
        </w:tc>
      </w:tr>
      <w:tr>
        <w:trPr>
          <w:trHeight w:val="310"/>
        </w:trPr>
        <w:tc>
          <w:tcPr>
            <w:tcW w:w="2780" w:type="dxa"/>
            <w:vAlign w:val="bottom"/>
          </w:tcPr>
          <w:p>
            <w:pPr>
              <w:ind w:left="80"/>
              <w:spacing w:after="0"/>
              <w:rPr>
                <w:sz w:val="20"/>
                <w:szCs w:val="20"/>
                <w:color w:val="auto"/>
              </w:rPr>
            </w:pPr>
            <w:r>
              <w:rPr>
                <w:rFonts w:ascii="Arial" w:cs="Arial" w:eastAsia="Arial" w:hAnsi="Arial"/>
                <w:sz w:val="20"/>
                <w:szCs w:val="20"/>
                <w:b w:val="1"/>
                <w:bCs w:val="1"/>
                <w:color w:val="0071CE"/>
              </w:rPr>
              <w:t>Performance Payout</w:t>
            </w:r>
          </w:p>
        </w:tc>
        <w:tc>
          <w:tcPr>
            <w:tcW w:w="150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20" w:type="dxa"/>
            <w:vAlign w:val="bottom"/>
          </w:tcPr>
          <w:p>
            <w:pPr>
              <w:jc w:val="right"/>
              <w:spacing w:after="0"/>
              <w:rPr>
                <w:sz w:val="20"/>
                <w:szCs w:val="20"/>
                <w:color w:val="auto"/>
              </w:rPr>
            </w:pPr>
            <w:r>
              <w:rPr>
                <w:rFonts w:ascii="Arial" w:cs="Arial" w:eastAsia="Arial" w:hAnsi="Arial"/>
                <w:sz w:val="20"/>
                <w:szCs w:val="20"/>
                <w:b w:val="1"/>
                <w:bCs w:val="1"/>
                <w:color w:val="0071CE"/>
              </w:rPr>
              <w:t>139% of Target</w:t>
            </w:r>
          </w:p>
        </w:tc>
        <w:tc>
          <w:tcPr>
            <w:tcW w:w="0" w:type="dxa"/>
            <w:vAlign w:val="bottom"/>
          </w:tcPr>
          <w:p>
            <w:pPr>
              <w:spacing w:after="0"/>
              <w:rPr>
                <w:sz w:val="1"/>
                <w:szCs w:val="1"/>
                <w:color w:val="auto"/>
              </w:rPr>
            </w:pPr>
          </w:p>
        </w:tc>
      </w:tr>
      <w:tr>
        <w:trPr>
          <w:trHeight w:val="48"/>
        </w:trPr>
        <w:tc>
          <w:tcPr>
            <w:tcW w:w="2780" w:type="dxa"/>
            <w:vAlign w:val="bottom"/>
            <w:tcBorders>
              <w:bottom w:val="single" w:sz="8" w:color="0071CE"/>
            </w:tcBorders>
          </w:tcPr>
          <w:p>
            <w:pPr>
              <w:spacing w:after="0"/>
              <w:rPr>
                <w:sz w:val="4"/>
                <w:szCs w:val="4"/>
                <w:color w:val="auto"/>
              </w:rPr>
            </w:pPr>
          </w:p>
        </w:tc>
        <w:tc>
          <w:tcPr>
            <w:tcW w:w="1500" w:type="dxa"/>
            <w:vAlign w:val="bottom"/>
            <w:tcBorders>
              <w:bottom w:val="single" w:sz="8" w:color="0071CE"/>
            </w:tcBorders>
          </w:tcPr>
          <w:p>
            <w:pPr>
              <w:spacing w:after="0"/>
              <w:rPr>
                <w:sz w:val="4"/>
                <w:szCs w:val="4"/>
                <w:color w:val="auto"/>
              </w:rPr>
            </w:pPr>
          </w:p>
        </w:tc>
        <w:tc>
          <w:tcPr>
            <w:tcW w:w="2000" w:type="dxa"/>
            <w:vAlign w:val="bottom"/>
            <w:tcBorders>
              <w:bottom w:val="single" w:sz="8" w:color="0071CE"/>
            </w:tcBorders>
          </w:tcPr>
          <w:p>
            <w:pPr>
              <w:spacing w:after="0"/>
              <w:rPr>
                <w:sz w:val="4"/>
                <w:szCs w:val="4"/>
                <w:color w:val="auto"/>
              </w:rPr>
            </w:pPr>
          </w:p>
        </w:tc>
        <w:tc>
          <w:tcPr>
            <w:tcW w:w="1460" w:type="dxa"/>
            <w:vAlign w:val="bottom"/>
            <w:tcBorders>
              <w:bottom w:val="single" w:sz="8" w:color="0071CE"/>
            </w:tcBorders>
          </w:tcPr>
          <w:p>
            <w:pPr>
              <w:spacing w:after="0"/>
              <w:rPr>
                <w:sz w:val="4"/>
                <w:szCs w:val="4"/>
                <w:color w:val="auto"/>
              </w:rPr>
            </w:pPr>
          </w:p>
        </w:tc>
        <w:tc>
          <w:tcPr>
            <w:tcW w:w="1260" w:type="dxa"/>
            <w:vAlign w:val="bottom"/>
            <w:tcBorders>
              <w:bottom w:val="single" w:sz="8" w:color="0071CE"/>
            </w:tcBorders>
          </w:tcPr>
          <w:p>
            <w:pPr>
              <w:spacing w:after="0"/>
              <w:rPr>
                <w:sz w:val="4"/>
                <w:szCs w:val="4"/>
                <w:color w:val="auto"/>
              </w:rPr>
            </w:pPr>
          </w:p>
        </w:tc>
        <w:tc>
          <w:tcPr>
            <w:tcW w:w="2020" w:type="dxa"/>
            <w:vAlign w:val="bottom"/>
            <w:tcBorders>
              <w:bottom w:val="single" w:sz="8" w:color="0071CE"/>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127" w:lineRule="exact"/>
        <w:rPr>
          <w:sz w:val="20"/>
          <w:szCs w:val="20"/>
          <w:color w:val="auto"/>
        </w:rPr>
      </w:pPr>
    </w:p>
    <w:p>
      <w:pPr>
        <w:jc w:val="both"/>
        <w:ind w:left="120" w:right="20"/>
        <w:spacing w:after="0" w:line="237" w:lineRule="auto"/>
        <w:rPr>
          <w:sz w:val="20"/>
          <w:szCs w:val="20"/>
          <w:color w:val="auto"/>
        </w:rPr>
      </w:pPr>
      <w:r>
        <w:rPr>
          <w:rFonts w:ascii="Arial" w:cs="Arial" w:eastAsia="Arial" w:hAnsi="Arial"/>
          <w:sz w:val="20"/>
          <w:szCs w:val="20"/>
          <w:color w:val="3E3935"/>
        </w:rPr>
        <w:t>The Company continues to focus on ROIC and delivering best results among the OEMs, while driving TSR performance with a focus on the long-term interest of our shareholders. We continue to prioritize and focus on investing in new and existing businesses, including opportunities in EV, AV, and connected services to achieve strong, profitable growth with solid return on investment.</w:t>
      </w:r>
    </w:p>
    <w:p>
      <w:pPr>
        <w:spacing w:after="0" w:line="116" w:lineRule="exact"/>
        <w:rPr>
          <w:sz w:val="20"/>
          <w:szCs w:val="20"/>
          <w:color w:val="auto"/>
        </w:rPr>
      </w:pPr>
    </w:p>
    <w:p>
      <w:pPr>
        <w:ind w:left="120"/>
        <w:spacing w:after="0"/>
        <w:rPr>
          <w:sz w:val="20"/>
          <w:szCs w:val="20"/>
          <w:color w:val="auto"/>
        </w:rPr>
      </w:pPr>
      <w:r>
        <w:rPr>
          <w:rFonts w:ascii="Arial" w:cs="Arial" w:eastAsia="Arial" w:hAnsi="Arial"/>
          <w:sz w:val="14"/>
          <w:szCs w:val="14"/>
          <w:color w:val="0071CE"/>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wp:posOffset>
            </wp:positionH>
            <wp:positionV relativeFrom="paragraph">
              <wp:posOffset>-95885</wp:posOffset>
            </wp:positionV>
            <wp:extent cx="5983605" cy="10287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5983605" cy="102870"/>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59" w:lineRule="exact"/>
        <w:rPr>
          <w:sz w:val="20"/>
          <w:szCs w:val="20"/>
          <w:color w:val="auto"/>
        </w:rPr>
      </w:pPr>
    </w:p>
    <w:p>
      <w:pPr>
        <w:ind w:left="560" w:hanging="444"/>
        <w:spacing w:after="0"/>
        <w:tabs>
          <w:tab w:leader="none" w:pos="560" w:val="left"/>
        </w:tabs>
        <w:numPr>
          <w:ilvl w:val="0"/>
          <w:numId w:val="101"/>
        </w:numPr>
        <w:rPr>
          <w:rFonts w:ascii="Times New Roman" w:cs="Times New Roman" w:eastAsia="Times New Roman" w:hAnsi="Times New Roman"/>
          <w:sz w:val="19"/>
          <w:szCs w:val="19"/>
          <w:color w:val="0071CE"/>
        </w:rPr>
      </w:pPr>
      <w:r>
        <w:rPr>
          <w:rFonts w:ascii="Arial" w:cs="Arial" w:eastAsia="Arial" w:hAnsi="Arial"/>
          <w:sz w:val="25"/>
          <w:szCs w:val="25"/>
          <w:color w:val="3E3935"/>
        </w:rPr>
        <w:t>Compensation Decisions for Mary T. Barra</w:t>
      </w:r>
    </w:p>
    <w:p>
      <w:pPr>
        <w:spacing w:after="0" w:line="116" w:lineRule="exact"/>
        <w:rPr>
          <w:sz w:val="20"/>
          <w:szCs w:val="20"/>
          <w:color w:val="auto"/>
        </w:rPr>
      </w:pPr>
    </w:p>
    <w:p>
      <w:pPr>
        <w:ind w:left="180"/>
        <w:spacing w:after="0"/>
        <w:rPr>
          <w:sz w:val="20"/>
          <w:szCs w:val="20"/>
          <w:color w:val="auto"/>
        </w:rPr>
      </w:pPr>
      <w:r>
        <w:rPr>
          <w:rFonts w:ascii="Arial" w:cs="Arial" w:eastAsia="Arial" w:hAnsi="Arial"/>
          <w:sz w:val="20"/>
          <w:szCs w:val="20"/>
          <w:b w:val="1"/>
          <w:bCs w:val="1"/>
          <w:color w:val="3E3935"/>
        </w:rPr>
        <w:t>Chair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23495</wp:posOffset>
            </wp:positionV>
            <wp:extent cx="4543425" cy="171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4543425" cy="17145"/>
                    </a:xfrm>
                    <a:prstGeom prst="rect">
                      <a:avLst/>
                    </a:prstGeom>
                    <a:noFill/>
                  </pic:spPr>
                </pic:pic>
              </a:graphicData>
            </a:graphic>
          </wp:anchor>
        </w:drawing>
      </w:r>
    </w:p>
    <w:p>
      <w:pPr>
        <w:spacing w:after="0" w:line="111" w:lineRule="exact"/>
        <w:rPr>
          <w:sz w:val="20"/>
          <w:szCs w:val="20"/>
          <w:color w:val="auto"/>
        </w:rPr>
      </w:pPr>
    </w:p>
    <w:p>
      <w:pPr>
        <w:jc w:val="both"/>
        <w:ind w:left="120"/>
        <w:spacing w:after="0" w:line="286" w:lineRule="auto"/>
        <w:rPr>
          <w:sz w:val="20"/>
          <w:szCs w:val="20"/>
          <w:color w:val="auto"/>
        </w:rPr>
      </w:pPr>
      <w:r>
        <w:rPr>
          <w:rFonts w:ascii="Arial" w:cs="Arial" w:eastAsia="Arial" w:hAnsi="Arial"/>
          <w:sz w:val="16"/>
          <w:szCs w:val="16"/>
          <w:color w:val="3E3935"/>
        </w:rPr>
        <w:t>The Compensation Committee made the following pay decisions based on performance, competitive market data, and feedback from its independent compensation consultant:</w:t>
      </w:r>
    </w:p>
    <w:p>
      <w:pPr>
        <w:spacing w:after="0" w:line="48"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0071CE"/>
        </w:rPr>
        <w:t xml:space="preserve">Base Salary </w:t>
      </w:r>
      <w:r>
        <w:rPr>
          <w:rFonts w:ascii="Arial" w:cs="Arial" w:eastAsia="Arial" w:hAnsi="Arial"/>
          <w:sz w:val="16"/>
          <w:szCs w:val="16"/>
          <w:color w:val="3E3935"/>
        </w:rPr>
        <w:t>– Held base salary at $2,100,000.</w:t>
      </w:r>
    </w:p>
    <w:p>
      <w:pPr>
        <w:spacing w:after="0" w:line="113" w:lineRule="exact"/>
        <w:rPr>
          <w:sz w:val="20"/>
          <w:szCs w:val="20"/>
          <w:color w:val="auto"/>
        </w:rPr>
      </w:pPr>
    </w:p>
    <w:p>
      <w:pPr>
        <w:jc w:val="both"/>
        <w:ind w:left="120"/>
        <w:spacing w:after="0" w:line="257" w:lineRule="auto"/>
        <w:rPr>
          <w:sz w:val="20"/>
          <w:szCs w:val="20"/>
          <w:color w:val="auto"/>
        </w:rPr>
      </w:pPr>
      <w:r>
        <w:rPr>
          <w:rFonts w:ascii="Arial" w:cs="Arial" w:eastAsia="Arial" w:hAnsi="Arial"/>
          <w:sz w:val="16"/>
          <w:szCs w:val="16"/>
          <w:b w:val="1"/>
          <w:bCs w:val="1"/>
          <w:color w:val="0071CE"/>
        </w:rPr>
        <w:t xml:space="preserve">Short-Term Incentive </w:t>
      </w:r>
      <w:r>
        <w:rPr>
          <w:rFonts w:ascii="Arial" w:cs="Arial" w:eastAsia="Arial" w:hAnsi="Arial"/>
          <w:sz w:val="16"/>
          <w:szCs w:val="16"/>
          <w:color w:val="3E3935"/>
        </w:rPr>
        <w:t>– Awarded 30 points out of a 25-point target and 50-point maximum for the</w:t>
      </w:r>
      <w:r>
        <w:rPr>
          <w:rFonts w:ascii="Arial" w:cs="Arial" w:eastAsia="Arial" w:hAnsi="Arial"/>
          <w:sz w:val="16"/>
          <w:szCs w:val="16"/>
          <w:b w:val="1"/>
          <w:bCs w:val="1"/>
          <w:color w:val="0071CE"/>
        </w:rPr>
        <w:t xml:space="preserve"> </w:t>
      </w:r>
      <w:r>
        <w:rPr>
          <w:rFonts w:ascii="Arial" w:cs="Arial" w:eastAsia="Arial" w:hAnsi="Arial"/>
          <w:sz w:val="16"/>
          <w:szCs w:val="16"/>
          <w:color w:val="3E3935"/>
        </w:rPr>
        <w:t>strategic goals portion for the 2022 STIP performance year. In determining the number of points earned, the Compensation Committee considered these results for Ms. Barra:</w:t>
      </w:r>
    </w:p>
    <w:p>
      <w:pPr>
        <w:spacing w:after="0" w:line="97" w:lineRule="exact"/>
        <w:rPr>
          <w:sz w:val="20"/>
          <w:szCs w:val="20"/>
          <w:color w:val="auto"/>
        </w:rPr>
      </w:pPr>
    </w:p>
    <w:p>
      <w:pPr>
        <w:jc w:val="both"/>
        <w:ind w:left="360" w:hanging="244"/>
        <w:spacing w:after="0" w:line="183" w:lineRule="auto"/>
        <w:tabs>
          <w:tab w:leader="none" w:pos="360" w:val="left"/>
        </w:tabs>
        <w:numPr>
          <w:ilvl w:val="0"/>
          <w:numId w:val="102"/>
        </w:numPr>
        <w:rPr>
          <w:rFonts w:ascii="Arial" w:cs="Arial" w:eastAsia="Arial" w:hAnsi="Arial"/>
          <w:sz w:val="40"/>
          <w:szCs w:val="40"/>
          <w:color w:val="0071CE"/>
          <w:vertAlign w:val="subscript"/>
        </w:rPr>
      </w:pPr>
      <w:r>
        <w:rPr>
          <w:rFonts w:ascii="Arial" w:cs="Arial" w:eastAsia="Arial" w:hAnsi="Arial"/>
          <w:sz w:val="16"/>
          <w:szCs w:val="16"/>
          <w:color w:val="3E3935"/>
        </w:rPr>
        <w:t>Led the Company to strong net income attributable to stockholders of $9.9 billion and record EBIT-adjusted of $14.5 billion. Our employees shared in this success: eligible U.S. hourly employees earned record profit sharing totaling $500 million, bringing the three-year total to $1.2 billion;</w:t>
      </w:r>
    </w:p>
    <w:p>
      <w:pPr>
        <w:ind w:left="360" w:right="20" w:hanging="244"/>
        <w:spacing w:after="0" w:line="183" w:lineRule="auto"/>
        <w:tabs>
          <w:tab w:leader="none" w:pos="360" w:val="left"/>
        </w:tabs>
        <w:numPr>
          <w:ilvl w:val="0"/>
          <w:numId w:val="102"/>
        </w:numPr>
        <w:rPr>
          <w:rFonts w:ascii="Arial" w:cs="Arial" w:eastAsia="Arial" w:hAnsi="Arial"/>
          <w:sz w:val="29"/>
          <w:szCs w:val="29"/>
          <w:color w:val="0071CE"/>
          <w:vertAlign w:val="subscript"/>
        </w:rPr>
      </w:pPr>
      <w:r>
        <w:rPr>
          <w:rFonts w:ascii="Arial" w:cs="Arial" w:eastAsia="Arial" w:hAnsi="Arial"/>
          <w:sz w:val="14"/>
          <w:szCs w:val="14"/>
          <w:color w:val="3E3935"/>
        </w:rPr>
        <w:t>Announced investment of more than $6 billion in U.S. manufacturing in 2022, supporting nearly 3,600 jobs across multiple sectors of production; and</w:t>
      </w:r>
    </w:p>
    <w:p>
      <w:pPr>
        <w:ind w:left="360" w:right="20" w:hanging="244"/>
        <w:spacing w:after="0" w:line="183" w:lineRule="auto"/>
        <w:tabs>
          <w:tab w:leader="none" w:pos="360" w:val="left"/>
        </w:tabs>
        <w:numPr>
          <w:ilvl w:val="0"/>
          <w:numId w:val="102"/>
        </w:numPr>
        <w:rPr>
          <w:rFonts w:ascii="Arial" w:cs="Arial" w:eastAsia="Arial" w:hAnsi="Arial"/>
          <w:sz w:val="30"/>
          <w:szCs w:val="30"/>
          <w:color w:val="0071CE"/>
          <w:vertAlign w:val="subscript"/>
        </w:rPr>
      </w:pPr>
      <w:r>
        <w:rPr>
          <w:rFonts w:ascii="Arial" w:cs="Arial" w:eastAsia="Arial" w:hAnsi="Arial"/>
          <w:sz w:val="14"/>
          <w:szCs w:val="14"/>
          <w:color w:val="3E3935"/>
        </w:rPr>
        <w:t>Championed GM’s recently launched purpose of “pioneering the innovations that move and connect people to what matters</w:t>
      </w:r>
      <w:r>
        <w:rPr>
          <w:rFonts w:ascii="Arial" w:cs="Arial" w:eastAsia="Arial" w:hAnsi="Arial"/>
          <w:sz w:val="14"/>
          <w:szCs w:val="14"/>
          <w:i w:val="1"/>
          <w:iCs w:val="1"/>
          <w:color w:val="3E3935"/>
        </w:rPr>
        <w:t>,”</w:t>
      </w:r>
      <w:r>
        <w:rPr>
          <w:rFonts w:ascii="Arial" w:cs="Arial" w:eastAsia="Arial" w:hAnsi="Arial"/>
          <w:sz w:val="14"/>
          <w:szCs w:val="14"/>
          <w:color w:val="3E3935"/>
        </w:rPr>
        <w:t xml:space="preserve"> as well as other highlights below.</w:t>
      </w:r>
    </w:p>
    <w:p>
      <w:pPr>
        <w:spacing w:after="0" w:line="143" w:lineRule="exact"/>
        <w:rPr>
          <w:rFonts w:ascii="Arial" w:cs="Arial" w:eastAsia="Arial" w:hAnsi="Arial"/>
          <w:sz w:val="30"/>
          <w:szCs w:val="30"/>
          <w:color w:val="0071CE"/>
          <w:vertAlign w:val="subscript"/>
        </w:rPr>
      </w:pPr>
    </w:p>
    <w:p>
      <w:pPr>
        <w:ind w:left="340"/>
        <w:spacing w:after="0"/>
        <w:rPr>
          <w:rFonts w:ascii="Arial" w:cs="Arial" w:eastAsia="Arial" w:hAnsi="Arial"/>
          <w:sz w:val="30"/>
          <w:szCs w:val="30"/>
          <w:color w:val="0071CE"/>
          <w:vertAlign w:val="subscript"/>
        </w:rPr>
      </w:pPr>
      <w:r>
        <w:rPr>
          <w:rFonts w:ascii="Arial" w:cs="Arial" w:eastAsia="Arial" w:hAnsi="Arial"/>
          <w:sz w:val="14"/>
          <w:szCs w:val="14"/>
          <w:b w:val="1"/>
          <w:bCs w:val="1"/>
          <w:color w:val="3E3935"/>
        </w:rPr>
        <w:t>Our People</w:t>
      </w:r>
    </w:p>
    <w:p>
      <w:pPr>
        <w:spacing w:after="0" w:line="35" w:lineRule="exact"/>
        <w:rPr>
          <w:rFonts w:ascii="Arial" w:cs="Arial" w:eastAsia="Arial" w:hAnsi="Arial"/>
          <w:sz w:val="30"/>
          <w:szCs w:val="30"/>
          <w:color w:val="0071CE"/>
          <w:vertAlign w:val="subscript"/>
        </w:rPr>
      </w:pPr>
    </w:p>
    <w:p>
      <w:pPr>
        <w:ind w:left="560" w:right="220" w:hanging="216"/>
        <w:spacing w:after="0" w:line="236" w:lineRule="auto"/>
        <w:rPr>
          <w:rFonts w:ascii="Arial" w:cs="Arial" w:eastAsia="Arial" w:hAnsi="Arial"/>
          <w:sz w:val="30"/>
          <w:szCs w:val="30"/>
          <w:color w:val="0071CE"/>
          <w:vertAlign w:val="subscript"/>
        </w:rPr>
      </w:pPr>
      <w:r>
        <w:rPr>
          <w:rFonts w:ascii="Arial" w:cs="Arial" w:eastAsia="Arial" w:hAnsi="Arial"/>
          <w:sz w:val="20"/>
          <w:szCs w:val="20"/>
          <w:color w:val="00C1DE"/>
        </w:rPr>
        <w:t>•</w:t>
      </w:r>
      <w:r>
        <w:rPr>
          <w:rFonts w:ascii="Arial" w:cs="Arial" w:eastAsia="Arial" w:hAnsi="Arial"/>
          <w:sz w:val="14"/>
          <w:szCs w:val="14"/>
          <w:color w:val="3E3935"/>
        </w:rPr>
        <w:t xml:space="preserve">   Continued to prioritize our safety culture resulting in reductions in permanently disabling injuries and</w:t>
      </w:r>
      <w:r>
        <w:rPr>
          <w:rFonts w:ascii="Arial" w:cs="Arial" w:eastAsia="Arial" w:hAnsi="Arial"/>
          <w:sz w:val="20"/>
          <w:szCs w:val="20"/>
          <w:color w:val="00C1DE"/>
        </w:rPr>
        <w:t xml:space="preserve"> </w:t>
      </w:r>
      <w:r>
        <w:rPr>
          <w:rFonts w:ascii="Arial" w:cs="Arial" w:eastAsia="Arial" w:hAnsi="Arial"/>
          <w:sz w:val="14"/>
          <w:szCs w:val="14"/>
          <w:color w:val="3E3935"/>
        </w:rPr>
        <w:t xml:space="preserve">lost workdays </w:t>
      </w:r>
      <w:r>
        <w:rPr>
          <w:rFonts w:ascii="Arial" w:cs="Arial" w:eastAsia="Arial" w:hAnsi="Arial"/>
          <w:sz w:val="1"/>
          <w:szCs w:val="1"/>
          <w:color w:val="0071CE"/>
          <w:vertAlign w:val="subscript"/>
        </w:rPr>
        <w:drawing>
          <wp:inline distT="0" distB="0" distL="0" distR="0">
            <wp:extent cx="76835" cy="77470"/>
            <wp:effectExtent l="0" t="0" r="0" b="0"/>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6835" cy="77470"/>
                    </a:xfrm>
                    <a:prstGeom prst="rect">
                      <a:avLst/>
                    </a:prstGeom>
                    <a:noFill/>
                    <a:ln>
                      <a:noFill/>
                    </a:ln>
                  </pic:spPr>
                </pic:pic>
              </a:graphicData>
            </a:graphic>
          </wp:inline>
        </w:drawing>
      </w:r>
    </w:p>
    <w:p>
      <w:pPr>
        <w:spacing w:after="0" w:line="1" w:lineRule="exact"/>
        <w:rPr>
          <w:rFonts w:ascii="Arial" w:cs="Arial" w:eastAsia="Arial" w:hAnsi="Arial"/>
          <w:sz w:val="30"/>
          <w:szCs w:val="30"/>
          <w:color w:val="0071CE"/>
          <w:vertAlign w:val="subscript"/>
        </w:rPr>
      </w:pPr>
    </w:p>
    <w:p>
      <w:pPr>
        <w:ind w:left="560" w:right="200" w:hanging="216"/>
        <w:spacing w:after="0" w:line="211" w:lineRule="auto"/>
        <w:rPr>
          <w:rFonts w:ascii="Arial" w:cs="Arial" w:eastAsia="Arial" w:hAnsi="Arial"/>
          <w:sz w:val="30"/>
          <w:szCs w:val="30"/>
          <w:color w:val="0071CE"/>
          <w:vertAlign w:val="subscript"/>
        </w:rPr>
      </w:pPr>
      <w:r>
        <w:rPr>
          <w:rFonts w:ascii="Arial" w:cs="Arial" w:eastAsia="Arial" w:hAnsi="Arial"/>
          <w:sz w:val="20"/>
          <w:szCs w:val="20"/>
          <w:color w:val="00C1DE"/>
        </w:rPr>
        <w:t>•</w:t>
      </w:r>
      <w:r>
        <w:rPr>
          <w:rFonts w:ascii="Arial" w:cs="Arial" w:eastAsia="Arial" w:hAnsi="Arial"/>
          <w:sz w:val="14"/>
          <w:szCs w:val="14"/>
          <w:color w:val="3E3935"/>
        </w:rPr>
        <w:t xml:space="preserve">   Continued progress in attracting and retaining diverse and critical technical talent by optimizing our</w:t>
      </w:r>
      <w:r>
        <w:rPr>
          <w:rFonts w:ascii="Arial" w:cs="Arial" w:eastAsia="Arial" w:hAnsi="Arial"/>
          <w:sz w:val="20"/>
          <w:szCs w:val="20"/>
          <w:color w:val="00C1DE"/>
        </w:rPr>
        <w:t xml:space="preserve"> </w:t>
      </w:r>
      <w:r>
        <w:rPr>
          <w:rFonts w:ascii="Arial" w:cs="Arial" w:eastAsia="Arial" w:hAnsi="Arial"/>
          <w:sz w:val="14"/>
          <w:szCs w:val="14"/>
          <w:color w:val="3E3935"/>
        </w:rPr>
        <w:t xml:space="preserve">recruitment process </w:t>
      </w:r>
      <w:r>
        <w:rPr>
          <w:rFonts w:ascii="Arial" w:cs="Arial" w:eastAsia="Arial" w:hAnsi="Arial"/>
          <w:sz w:val="1"/>
          <w:szCs w:val="1"/>
          <w:color w:val="0071CE"/>
          <w:vertAlign w:val="subscript"/>
        </w:rPr>
        <w:drawing>
          <wp:inline distT="0" distB="0" distL="0" distR="0">
            <wp:extent cx="77470" cy="77470"/>
            <wp:effectExtent l="0" t="0" r="0" b="0"/>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7470" cy="77470"/>
                    </a:xfrm>
                    <a:prstGeom prst="rect">
                      <a:avLst/>
                    </a:prstGeom>
                    <a:noFill/>
                    <a:ln>
                      <a:noFill/>
                    </a:ln>
                  </pic:spPr>
                </pic:pic>
              </a:graphicData>
            </a:graphic>
          </wp:inline>
        </w:drawing>
      </w:r>
    </w:p>
    <w:p>
      <w:pPr>
        <w:spacing w:after="0" w:line="39" w:lineRule="exact"/>
        <w:rPr>
          <w:rFonts w:ascii="Arial" w:cs="Arial" w:eastAsia="Arial" w:hAnsi="Arial"/>
          <w:sz w:val="30"/>
          <w:szCs w:val="30"/>
          <w:color w:val="0071CE"/>
          <w:vertAlign w:val="subscript"/>
        </w:rPr>
      </w:pPr>
    </w:p>
    <w:p>
      <w:pPr>
        <w:ind w:left="340"/>
        <w:spacing w:after="0"/>
        <w:rPr>
          <w:rFonts w:ascii="Arial" w:cs="Arial" w:eastAsia="Arial" w:hAnsi="Arial"/>
          <w:sz w:val="30"/>
          <w:szCs w:val="30"/>
          <w:color w:val="0071CE"/>
          <w:vertAlign w:val="subscript"/>
        </w:rPr>
      </w:pPr>
      <w:r>
        <w:rPr>
          <w:rFonts w:ascii="Arial" w:cs="Arial" w:eastAsia="Arial" w:hAnsi="Arial"/>
          <w:sz w:val="14"/>
          <w:szCs w:val="14"/>
          <w:b w:val="1"/>
          <w:bCs w:val="1"/>
          <w:color w:val="3E3935"/>
        </w:rPr>
        <w:t>Products, Software, and Services</w:t>
      </w:r>
    </w:p>
    <w:p>
      <w:pPr>
        <w:spacing w:after="0" w:line="35" w:lineRule="exact"/>
        <w:rPr>
          <w:rFonts w:ascii="Arial" w:cs="Arial" w:eastAsia="Arial" w:hAnsi="Arial"/>
          <w:sz w:val="30"/>
          <w:szCs w:val="30"/>
          <w:color w:val="0071CE"/>
          <w:vertAlign w:val="subscript"/>
        </w:rPr>
      </w:pPr>
    </w:p>
    <w:p>
      <w:pPr>
        <w:ind w:left="560" w:right="220" w:hanging="216"/>
        <w:spacing w:after="0" w:line="238" w:lineRule="auto"/>
        <w:rPr>
          <w:rFonts w:ascii="Arial" w:cs="Arial" w:eastAsia="Arial" w:hAnsi="Arial"/>
          <w:sz w:val="30"/>
          <w:szCs w:val="30"/>
          <w:color w:val="0071CE"/>
          <w:vertAlign w:val="subscript"/>
        </w:rPr>
      </w:pPr>
      <w:r>
        <w:rPr>
          <w:rFonts w:ascii="Arial" w:cs="Arial" w:eastAsia="Arial" w:hAnsi="Arial"/>
          <w:sz w:val="20"/>
          <w:szCs w:val="20"/>
          <w:color w:val="00C1DE"/>
        </w:rPr>
        <w:t>•</w:t>
      </w:r>
      <w:r>
        <w:rPr>
          <w:rFonts w:ascii="Arial" w:cs="Arial" w:eastAsia="Arial" w:hAnsi="Arial"/>
          <w:sz w:val="14"/>
          <w:szCs w:val="14"/>
          <w:color w:val="3E3935"/>
        </w:rPr>
        <w:t xml:space="preserve">   Accelerated GM’s EV strategy – expected to deliver 1 million units of annual capacity in North</w:t>
      </w:r>
      <w:r>
        <w:rPr>
          <w:rFonts w:ascii="Arial" w:cs="Arial" w:eastAsia="Arial" w:hAnsi="Arial"/>
          <w:sz w:val="20"/>
          <w:szCs w:val="20"/>
          <w:color w:val="00C1DE"/>
        </w:rPr>
        <w:t xml:space="preserve"> </w:t>
      </w:r>
      <w:r>
        <w:rPr>
          <w:rFonts w:ascii="Arial" w:cs="Arial" w:eastAsia="Arial" w:hAnsi="Arial"/>
          <w:sz w:val="14"/>
          <w:szCs w:val="14"/>
          <w:color w:val="3E3935"/>
        </w:rPr>
        <w:t xml:space="preserve">America in 2025 – with a roadmap to deliver low-to-mid single digit EBIT margins, before the benefits from the clean vehicle tax credits, by the same year </w:t>
      </w:r>
      <w:r>
        <w:rPr>
          <w:rFonts w:ascii="Arial" w:cs="Arial" w:eastAsia="Arial" w:hAnsi="Arial"/>
          <w:sz w:val="1"/>
          <w:szCs w:val="1"/>
          <w:color w:val="0071CE"/>
          <w:vertAlign w:val="subscript"/>
        </w:rPr>
        <w:drawing>
          <wp:inline distT="0" distB="0" distL="0" distR="0">
            <wp:extent cx="76835" cy="76835"/>
            <wp:effectExtent l="0" t="0" r="0" b="0"/>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6835" cy="76835"/>
                    </a:xfrm>
                    <a:prstGeom prst="rect">
                      <a:avLst/>
                    </a:prstGeom>
                    <a:noFill/>
                    <a:ln>
                      <a:noFill/>
                    </a:ln>
                  </pic:spPr>
                </pic:pic>
              </a:graphicData>
            </a:graphic>
          </wp:inline>
        </w:drawing>
      </w:r>
    </w:p>
    <w:p>
      <w:pPr>
        <w:ind w:left="560" w:right="220" w:hanging="216"/>
        <w:spacing w:after="0" w:line="213" w:lineRule="auto"/>
        <w:rPr>
          <w:rFonts w:ascii="Arial" w:cs="Arial" w:eastAsia="Arial" w:hAnsi="Arial"/>
          <w:sz w:val="30"/>
          <w:szCs w:val="30"/>
          <w:color w:val="0071CE"/>
          <w:vertAlign w:val="subscript"/>
        </w:rPr>
      </w:pPr>
      <w:r>
        <w:rPr>
          <w:rFonts w:ascii="Arial" w:cs="Arial" w:eastAsia="Arial" w:hAnsi="Arial"/>
          <w:sz w:val="20"/>
          <w:szCs w:val="20"/>
          <w:color w:val="00C1DE"/>
        </w:rPr>
        <w:t>•</w:t>
      </w:r>
      <w:r>
        <w:rPr>
          <w:rFonts w:ascii="Arial" w:cs="Arial" w:eastAsia="Arial" w:hAnsi="Arial"/>
          <w:sz w:val="14"/>
          <w:szCs w:val="14"/>
          <w:color w:val="3E3935"/>
        </w:rPr>
        <w:t xml:space="preserve">   Increased GM’s ownership stake in Cruise to approximately 80%, capitalizing on the opportunity to</w:t>
      </w:r>
      <w:r>
        <w:rPr>
          <w:rFonts w:ascii="Arial" w:cs="Arial" w:eastAsia="Arial" w:hAnsi="Arial"/>
          <w:sz w:val="20"/>
          <w:szCs w:val="20"/>
          <w:color w:val="00C1DE"/>
        </w:rPr>
        <w:t xml:space="preserve"> </w:t>
      </w:r>
      <w:r>
        <w:rPr>
          <w:rFonts w:ascii="Arial" w:cs="Arial" w:eastAsia="Arial" w:hAnsi="Arial"/>
          <w:sz w:val="14"/>
          <w:szCs w:val="14"/>
          <w:color w:val="3E3935"/>
        </w:rPr>
        <w:t xml:space="preserve">advance Company leadership in AV, expanded commercial operations in San Francisco, and quickly entered Austin and Phoenix markets </w:t>
      </w:r>
      <w:r>
        <w:rPr>
          <w:rFonts w:ascii="Arial" w:cs="Arial" w:eastAsia="Arial" w:hAnsi="Arial"/>
          <w:sz w:val="1"/>
          <w:szCs w:val="1"/>
          <w:color w:val="0071CE"/>
          <w:vertAlign w:val="subscript"/>
        </w:rPr>
        <w:drawing>
          <wp:inline distT="0" distB="0" distL="0" distR="0">
            <wp:extent cx="77470" cy="77470"/>
            <wp:effectExtent l="0" t="0" r="0" b="0"/>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7470" cy="77470"/>
                    </a:xfrm>
                    <a:prstGeom prst="rect">
                      <a:avLst/>
                    </a:prstGeom>
                    <a:noFill/>
                    <a:ln>
                      <a:noFill/>
                    </a:ln>
                  </pic:spPr>
                </pic:pic>
              </a:graphicData>
            </a:graphic>
          </wp:inline>
        </w:drawing>
      </w:r>
    </w:p>
    <w:p>
      <w:pPr>
        <w:spacing w:after="0" w:line="2" w:lineRule="exact"/>
        <w:rPr>
          <w:rFonts w:ascii="Arial" w:cs="Arial" w:eastAsia="Arial" w:hAnsi="Arial"/>
          <w:sz w:val="30"/>
          <w:szCs w:val="30"/>
          <w:color w:val="0071CE"/>
          <w:vertAlign w:val="subscript"/>
        </w:rPr>
      </w:pPr>
    </w:p>
    <w:p>
      <w:pPr>
        <w:ind w:left="560" w:right="220" w:hanging="216"/>
        <w:spacing w:after="0" w:line="204" w:lineRule="auto"/>
        <w:rPr>
          <w:rFonts w:ascii="Arial" w:cs="Arial" w:eastAsia="Arial" w:hAnsi="Arial"/>
          <w:sz w:val="30"/>
          <w:szCs w:val="30"/>
          <w:color w:val="0071CE"/>
          <w:vertAlign w:val="subscript"/>
        </w:rPr>
      </w:pPr>
      <w:r>
        <w:rPr>
          <w:rFonts w:ascii="Arial" w:cs="Arial" w:eastAsia="Arial" w:hAnsi="Arial"/>
          <w:sz w:val="20"/>
          <w:szCs w:val="20"/>
          <w:color w:val="00C1DE"/>
        </w:rPr>
        <w:t>•</w:t>
      </w:r>
      <w:r>
        <w:rPr>
          <w:rFonts w:ascii="Arial" w:cs="Arial" w:eastAsia="Arial" w:hAnsi="Arial"/>
          <w:sz w:val="14"/>
          <w:szCs w:val="14"/>
          <w:color w:val="3E3935"/>
        </w:rPr>
        <w:t xml:space="preserve">   Positioned Company to rapidly expand revenue from software services, building on industry-leading</w:t>
      </w:r>
      <w:r>
        <w:rPr>
          <w:rFonts w:ascii="Arial" w:cs="Arial" w:eastAsia="Arial" w:hAnsi="Arial"/>
          <w:sz w:val="20"/>
          <w:szCs w:val="20"/>
          <w:color w:val="00C1DE"/>
        </w:rPr>
        <w:t xml:space="preserve"> </w:t>
      </w:r>
      <w:r>
        <w:rPr>
          <w:rFonts w:ascii="Arial" w:cs="Arial" w:eastAsia="Arial" w:hAnsi="Arial"/>
          <w:sz w:val="14"/>
          <w:szCs w:val="14"/>
          <w:color w:val="3E3935"/>
        </w:rPr>
        <w:t xml:space="preserve">connectivity with OnStar </w:t>
      </w:r>
      <w:r>
        <w:rPr>
          <w:rFonts w:ascii="Arial" w:cs="Arial" w:eastAsia="Arial" w:hAnsi="Arial"/>
          <w:sz w:val="1"/>
          <w:szCs w:val="1"/>
          <w:color w:val="0071CE"/>
          <w:vertAlign w:val="subscript"/>
        </w:rPr>
        <w:drawing>
          <wp:inline distT="0" distB="0" distL="0" distR="0">
            <wp:extent cx="76835" cy="77470"/>
            <wp:effectExtent l="0" t="0" r="0" b="0"/>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6835" cy="77470"/>
                    </a:xfrm>
                    <a:prstGeom prst="rect">
                      <a:avLst/>
                    </a:prstGeom>
                    <a:noFill/>
                    <a:ln>
                      <a:noFill/>
                    </a:ln>
                  </pic:spPr>
                </pic:pic>
              </a:graphicData>
            </a:graphic>
          </wp:inline>
        </w:drawing>
      </w:r>
    </w:p>
    <w:p>
      <w:pPr>
        <w:spacing w:after="0" w:line="39" w:lineRule="exact"/>
        <w:rPr>
          <w:rFonts w:ascii="Arial" w:cs="Arial" w:eastAsia="Arial" w:hAnsi="Arial"/>
          <w:sz w:val="30"/>
          <w:szCs w:val="30"/>
          <w:color w:val="0071CE"/>
          <w:vertAlign w:val="subscript"/>
        </w:rPr>
      </w:pPr>
    </w:p>
    <w:p>
      <w:pPr>
        <w:ind w:left="340"/>
        <w:spacing w:after="0"/>
        <w:rPr>
          <w:rFonts w:ascii="Arial" w:cs="Arial" w:eastAsia="Arial" w:hAnsi="Arial"/>
          <w:sz w:val="30"/>
          <w:szCs w:val="30"/>
          <w:color w:val="0071CE"/>
          <w:vertAlign w:val="subscript"/>
        </w:rPr>
      </w:pPr>
      <w:r>
        <w:rPr>
          <w:rFonts w:ascii="Arial" w:cs="Arial" w:eastAsia="Arial" w:hAnsi="Arial"/>
          <w:sz w:val="14"/>
          <w:szCs w:val="14"/>
          <w:b w:val="1"/>
          <w:bCs w:val="1"/>
          <w:color w:val="3E3935"/>
        </w:rPr>
        <w:t>Citizenship</w:t>
      </w:r>
    </w:p>
    <w:p>
      <w:pPr>
        <w:spacing w:after="0" w:line="35" w:lineRule="exact"/>
        <w:rPr>
          <w:rFonts w:ascii="Arial" w:cs="Arial" w:eastAsia="Arial" w:hAnsi="Arial"/>
          <w:sz w:val="30"/>
          <w:szCs w:val="30"/>
          <w:color w:val="0071CE"/>
          <w:vertAlign w:val="subscript"/>
        </w:rPr>
      </w:pPr>
    </w:p>
    <w:p>
      <w:pPr>
        <w:ind w:left="560" w:right="220" w:hanging="216"/>
        <w:spacing w:after="0" w:line="207" w:lineRule="auto"/>
        <w:rPr>
          <w:rFonts w:ascii="Arial" w:cs="Arial" w:eastAsia="Arial" w:hAnsi="Arial"/>
          <w:sz w:val="30"/>
          <w:szCs w:val="30"/>
          <w:color w:val="0071CE"/>
          <w:vertAlign w:val="subscript"/>
        </w:rPr>
      </w:pPr>
      <w:r>
        <w:rPr>
          <w:rFonts w:ascii="Arial" w:cs="Arial" w:eastAsia="Arial" w:hAnsi="Arial"/>
          <w:sz w:val="20"/>
          <w:szCs w:val="20"/>
          <w:color w:val="00C1DE"/>
        </w:rPr>
        <w:t>•</w:t>
      </w:r>
      <w:r>
        <w:rPr>
          <w:rFonts w:ascii="Arial" w:cs="Arial" w:eastAsia="Arial" w:hAnsi="Arial"/>
          <w:sz w:val="14"/>
          <w:szCs w:val="14"/>
          <w:color w:val="3E3935"/>
        </w:rPr>
        <w:t xml:space="preserve">   Received 2022 ENERGY STAR Partner of the Year – Sustained Excellence Award from U.S.</w:t>
      </w:r>
      <w:r>
        <w:rPr>
          <w:rFonts w:ascii="Arial" w:cs="Arial" w:eastAsia="Arial" w:hAnsi="Arial"/>
          <w:sz w:val="20"/>
          <w:szCs w:val="20"/>
          <w:color w:val="00C1DE"/>
        </w:rPr>
        <w:t xml:space="preserve"> </w:t>
      </w:r>
      <w:r>
        <w:rPr>
          <w:rFonts w:ascii="Arial" w:cs="Arial" w:eastAsia="Arial" w:hAnsi="Arial"/>
          <w:sz w:val="14"/>
          <w:szCs w:val="14"/>
          <w:color w:val="3E3935"/>
        </w:rPr>
        <w:t>Environmental Protection Agency and U.S. Department of Energy for the 11</w:t>
      </w:r>
      <w:r>
        <w:rPr>
          <w:rFonts w:ascii="Arial" w:cs="Arial" w:eastAsia="Arial" w:hAnsi="Arial"/>
          <w:sz w:val="21"/>
          <w:szCs w:val="21"/>
          <w:color w:val="3E3935"/>
          <w:vertAlign w:val="superscript"/>
        </w:rPr>
        <w:t>th</w:t>
      </w:r>
      <w:r>
        <w:rPr>
          <w:rFonts w:ascii="Arial" w:cs="Arial" w:eastAsia="Arial" w:hAnsi="Arial"/>
          <w:sz w:val="14"/>
          <w:szCs w:val="14"/>
          <w:color w:val="3E3935"/>
        </w:rPr>
        <w:t xml:space="preserve"> year for GM’s commitment to fighting climate change and protecting public health </w:t>
      </w:r>
      <w:r>
        <w:rPr>
          <w:rFonts w:ascii="Arial" w:cs="Arial" w:eastAsia="Arial" w:hAnsi="Arial"/>
          <w:sz w:val="1"/>
          <w:szCs w:val="1"/>
          <w:color w:val="0071CE"/>
          <w:vertAlign w:val="subscript"/>
        </w:rPr>
        <w:drawing>
          <wp:inline distT="0" distB="0" distL="0" distR="0">
            <wp:extent cx="76835" cy="77470"/>
            <wp:effectExtent l="0" t="0" r="0" b="0"/>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6835" cy="77470"/>
                    </a:xfrm>
                    <a:prstGeom prst="rect">
                      <a:avLst/>
                    </a:prstGeom>
                    <a:noFill/>
                    <a:ln>
                      <a:noFill/>
                    </a:ln>
                  </pic:spPr>
                </pic:pic>
              </a:graphicData>
            </a:graphic>
          </wp:inline>
        </w:drawing>
      </w:r>
    </w:p>
    <w:p>
      <w:pPr>
        <w:spacing w:after="0" w:line="2" w:lineRule="exact"/>
        <w:rPr>
          <w:rFonts w:ascii="Arial" w:cs="Arial" w:eastAsia="Arial" w:hAnsi="Arial"/>
          <w:sz w:val="30"/>
          <w:szCs w:val="30"/>
          <w:color w:val="0071CE"/>
          <w:vertAlign w:val="subscript"/>
        </w:rPr>
      </w:pPr>
    </w:p>
    <w:p>
      <w:pPr>
        <w:ind w:left="560" w:right="200" w:hanging="216"/>
        <w:spacing w:after="0"/>
        <w:rPr>
          <w:rFonts w:ascii="Arial" w:cs="Arial" w:eastAsia="Arial" w:hAnsi="Arial"/>
          <w:sz w:val="30"/>
          <w:szCs w:val="30"/>
          <w:color w:val="0071CE"/>
          <w:vertAlign w:val="subscript"/>
        </w:rPr>
      </w:pPr>
      <w:r>
        <w:rPr>
          <w:rFonts w:ascii="Arial" w:cs="Arial" w:eastAsia="Arial" w:hAnsi="Arial"/>
          <w:sz w:val="20"/>
          <w:szCs w:val="20"/>
          <w:color w:val="00C1DE"/>
        </w:rPr>
        <w:t>•</w:t>
      </w:r>
      <w:r>
        <w:rPr>
          <w:rFonts w:ascii="Arial" w:cs="Arial" w:eastAsia="Arial" w:hAnsi="Arial"/>
          <w:sz w:val="14"/>
          <w:szCs w:val="14"/>
          <w:color w:val="3E3935"/>
        </w:rPr>
        <w:t xml:space="preserve">   Sourced 100% of the renewable energy needed to power all our U.S. sites by 2025, 25 years ahead</w:t>
      </w:r>
      <w:r>
        <w:rPr>
          <w:rFonts w:ascii="Arial" w:cs="Arial" w:eastAsia="Arial" w:hAnsi="Arial"/>
          <w:sz w:val="20"/>
          <w:szCs w:val="20"/>
          <w:color w:val="00C1DE"/>
        </w:rPr>
        <w:t xml:space="preserve"> </w:t>
      </w:r>
      <w:r>
        <w:rPr>
          <w:rFonts w:ascii="Arial" w:cs="Arial" w:eastAsia="Arial" w:hAnsi="Arial"/>
          <w:sz w:val="14"/>
          <w:szCs w:val="14"/>
          <w:color w:val="3E3935"/>
        </w:rPr>
        <w:t xml:space="preserve">of our initial target of 2050 </w:t>
      </w:r>
      <w:r>
        <w:rPr>
          <w:rFonts w:ascii="Arial" w:cs="Arial" w:eastAsia="Arial" w:hAnsi="Arial"/>
          <w:sz w:val="1"/>
          <w:szCs w:val="1"/>
          <w:color w:val="0071CE"/>
          <w:vertAlign w:val="subscript"/>
        </w:rPr>
        <w:drawing>
          <wp:inline distT="0" distB="0" distL="0" distR="0">
            <wp:extent cx="76835" cy="76835"/>
            <wp:effectExtent l="0" t="0" r="0" b="0"/>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6835" cy="76835"/>
                    </a:xfrm>
                    <a:prstGeom prst="rect">
                      <a:avLst/>
                    </a:prstGeom>
                    <a:noFill/>
                    <a:ln>
                      <a:noFill/>
                    </a:ln>
                  </pic:spPr>
                </pic:pic>
              </a:graphicData>
            </a:graphic>
          </wp:inline>
        </w:drawing>
      </w:r>
    </w:p>
    <w:p>
      <w:pPr>
        <w:ind w:left="560" w:right="220" w:hanging="216"/>
        <w:spacing w:after="0" w:line="213" w:lineRule="auto"/>
        <w:rPr>
          <w:rFonts w:ascii="Arial" w:cs="Arial" w:eastAsia="Arial" w:hAnsi="Arial"/>
          <w:sz w:val="30"/>
          <w:szCs w:val="30"/>
          <w:color w:val="0071CE"/>
          <w:vertAlign w:val="subscript"/>
        </w:rPr>
      </w:pPr>
      <w:r>
        <w:rPr>
          <w:rFonts w:ascii="Arial" w:cs="Arial" w:eastAsia="Arial" w:hAnsi="Arial"/>
          <w:sz w:val="20"/>
          <w:szCs w:val="20"/>
          <w:color w:val="00C1DE"/>
        </w:rPr>
        <w:t>•</w:t>
      </w:r>
      <w:r>
        <w:rPr>
          <w:rFonts w:ascii="Arial" w:cs="Arial" w:eastAsia="Arial" w:hAnsi="Arial"/>
          <w:sz w:val="14"/>
          <w:szCs w:val="14"/>
          <w:color w:val="3E3935"/>
        </w:rPr>
        <w:t xml:space="preserve">   Ranked among the top 50 in the JUST 100 rankings, leading the Automobile and Parts industry for</w:t>
      </w:r>
      <w:r>
        <w:rPr>
          <w:rFonts w:ascii="Arial" w:cs="Arial" w:eastAsia="Arial" w:hAnsi="Arial"/>
          <w:sz w:val="20"/>
          <w:szCs w:val="20"/>
          <w:color w:val="00C1DE"/>
        </w:rPr>
        <w:t xml:space="preserve"> </w:t>
      </w:r>
      <w:r>
        <w:rPr>
          <w:rFonts w:ascii="Arial" w:cs="Arial" w:eastAsia="Arial" w:hAnsi="Arial"/>
          <w:sz w:val="14"/>
          <w:szCs w:val="14"/>
          <w:color w:val="3E3935"/>
        </w:rPr>
        <w:t xml:space="preserve">leadership in workforce advancement and our commitment to sustainability and environmental stewardship </w:t>
      </w:r>
      <w:r>
        <w:rPr>
          <w:rFonts w:ascii="Arial" w:cs="Arial" w:eastAsia="Arial" w:hAnsi="Arial"/>
          <w:sz w:val="1"/>
          <w:szCs w:val="1"/>
          <w:color w:val="0071CE"/>
          <w:vertAlign w:val="subscript"/>
        </w:rPr>
        <w:drawing>
          <wp:inline distT="0" distB="0" distL="0" distR="0">
            <wp:extent cx="77470" cy="77470"/>
            <wp:effectExtent l="0" t="0" r="0" b="0"/>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7470" cy="77470"/>
                    </a:xfrm>
                    <a:prstGeom prst="rect">
                      <a:avLst/>
                    </a:prstGeom>
                    <a:noFill/>
                    <a:ln>
                      <a:noFill/>
                    </a:ln>
                  </pic:spPr>
                </pic:pic>
              </a:graphicData>
            </a:graphic>
          </wp:inline>
        </w:drawing>
      </w:r>
    </w:p>
    <w:p>
      <w:pPr>
        <w:spacing w:after="0" w:line="41" w:lineRule="exact"/>
        <w:rPr>
          <w:rFonts w:ascii="Arial" w:cs="Arial" w:eastAsia="Arial" w:hAnsi="Arial"/>
          <w:sz w:val="30"/>
          <w:szCs w:val="30"/>
          <w:color w:val="0071CE"/>
          <w:vertAlign w:val="subscript"/>
        </w:rPr>
      </w:pPr>
    </w:p>
    <w:p>
      <w:pPr>
        <w:ind w:left="340"/>
        <w:spacing w:after="0"/>
        <w:rPr>
          <w:rFonts w:ascii="Arial" w:cs="Arial" w:eastAsia="Arial" w:hAnsi="Arial"/>
          <w:sz w:val="30"/>
          <w:szCs w:val="30"/>
          <w:color w:val="0071CE"/>
          <w:vertAlign w:val="subscript"/>
        </w:rPr>
      </w:pPr>
      <w:r>
        <w:rPr>
          <w:rFonts w:ascii="Arial" w:cs="Arial" w:eastAsia="Arial" w:hAnsi="Arial"/>
          <w:sz w:val="14"/>
          <w:szCs w:val="14"/>
          <w:b w:val="1"/>
          <w:bCs w:val="1"/>
          <w:color w:val="3E3935"/>
        </w:rPr>
        <w:t>Enterprise</w:t>
      </w:r>
    </w:p>
    <w:p>
      <w:pPr>
        <w:spacing w:after="0" w:line="35" w:lineRule="exact"/>
        <w:rPr>
          <w:rFonts w:ascii="Arial" w:cs="Arial" w:eastAsia="Arial" w:hAnsi="Arial"/>
          <w:sz w:val="30"/>
          <w:szCs w:val="30"/>
          <w:color w:val="0071CE"/>
          <w:vertAlign w:val="subscript"/>
        </w:rPr>
      </w:pPr>
    </w:p>
    <w:p>
      <w:pPr>
        <w:ind w:left="560" w:right="220" w:hanging="216"/>
        <w:spacing w:after="0" w:line="201" w:lineRule="auto"/>
        <w:rPr>
          <w:rFonts w:ascii="Arial" w:cs="Arial" w:eastAsia="Arial" w:hAnsi="Arial"/>
          <w:sz w:val="30"/>
          <w:szCs w:val="30"/>
          <w:color w:val="0071CE"/>
          <w:vertAlign w:val="subscript"/>
        </w:rPr>
      </w:pPr>
      <w:r>
        <w:rPr>
          <w:rFonts w:ascii="Arial" w:cs="Arial" w:eastAsia="Arial" w:hAnsi="Arial"/>
          <w:sz w:val="20"/>
          <w:szCs w:val="20"/>
          <w:color w:val="00C1DE"/>
        </w:rPr>
        <w:t>•</w:t>
      </w:r>
      <w:r>
        <w:rPr>
          <w:rFonts w:ascii="Arial" w:cs="Arial" w:eastAsia="Arial" w:hAnsi="Arial"/>
          <w:sz w:val="14"/>
          <w:szCs w:val="14"/>
          <w:color w:val="3E3935"/>
        </w:rPr>
        <w:t xml:space="preserve">   Generated a record $156.7 billion in revenue, strong EPS-diluted of $6.13 with record EPS-diluted-adjusted of $7.59, and exceptional cash flow</w:t>
      </w:r>
    </w:p>
    <w:p>
      <w:pPr>
        <w:ind w:left="560" w:right="220" w:hanging="216"/>
        <w:spacing w:after="0" w:line="204" w:lineRule="auto"/>
        <w:rPr>
          <w:rFonts w:ascii="Arial" w:cs="Arial" w:eastAsia="Arial" w:hAnsi="Arial"/>
          <w:sz w:val="30"/>
          <w:szCs w:val="30"/>
          <w:color w:val="0071CE"/>
          <w:vertAlign w:val="subscript"/>
        </w:rPr>
      </w:pPr>
      <w:r>
        <w:rPr>
          <w:rFonts w:ascii="Arial" w:cs="Arial" w:eastAsia="Arial" w:hAnsi="Arial"/>
          <w:sz w:val="20"/>
          <w:szCs w:val="20"/>
          <w:color w:val="00C1DE"/>
        </w:rPr>
        <w:t>•</w:t>
      </w:r>
      <w:r>
        <w:rPr>
          <w:rFonts w:ascii="Arial" w:cs="Arial" w:eastAsia="Arial" w:hAnsi="Arial"/>
          <w:sz w:val="14"/>
          <w:szCs w:val="14"/>
          <w:color w:val="3E3935"/>
        </w:rPr>
        <w:t xml:space="preserve">   Delivered four quarters of profitability in GM International despite a volatile environment, driven by</w:t>
      </w:r>
      <w:r>
        <w:rPr>
          <w:rFonts w:ascii="Arial" w:cs="Arial" w:eastAsia="Arial" w:hAnsi="Arial"/>
          <w:sz w:val="20"/>
          <w:szCs w:val="20"/>
          <w:color w:val="00C1DE"/>
        </w:rPr>
        <w:t xml:space="preserve"> </w:t>
      </w:r>
      <w:r>
        <w:rPr>
          <w:rFonts w:ascii="Arial" w:cs="Arial" w:eastAsia="Arial" w:hAnsi="Arial"/>
          <w:sz w:val="14"/>
          <w:szCs w:val="14"/>
          <w:color w:val="3E3935"/>
        </w:rPr>
        <w:t>favorable pricing and volume</w:t>
      </w:r>
    </w:p>
    <w:p>
      <w:pPr>
        <w:ind w:left="560" w:right="220" w:hanging="216"/>
        <w:spacing w:after="0" w:line="204" w:lineRule="auto"/>
        <w:rPr>
          <w:rFonts w:ascii="Arial" w:cs="Arial" w:eastAsia="Arial" w:hAnsi="Arial"/>
          <w:sz w:val="30"/>
          <w:szCs w:val="30"/>
          <w:color w:val="0071CE"/>
          <w:vertAlign w:val="subscript"/>
        </w:rPr>
      </w:pPr>
      <w:r>
        <w:rPr>
          <w:rFonts w:ascii="Arial" w:cs="Arial" w:eastAsia="Arial" w:hAnsi="Arial"/>
          <w:sz w:val="20"/>
          <w:szCs w:val="20"/>
          <w:color w:val="00C1DE"/>
        </w:rPr>
        <w:t>•</w:t>
      </w:r>
      <w:r>
        <w:rPr>
          <w:rFonts w:ascii="Arial" w:cs="Arial" w:eastAsia="Arial" w:hAnsi="Arial"/>
          <w:sz w:val="14"/>
          <w:szCs w:val="14"/>
          <w:color w:val="3E3935"/>
        </w:rPr>
        <w:t xml:space="preserve">   Positioned GM to deliver the policy goals of the clean energy tax credits, introducing millions of</w:t>
      </w:r>
      <w:r>
        <w:rPr>
          <w:rFonts w:ascii="Arial" w:cs="Arial" w:eastAsia="Arial" w:hAnsi="Arial"/>
          <w:sz w:val="20"/>
          <w:szCs w:val="20"/>
          <w:color w:val="00C1DE"/>
        </w:rPr>
        <w:t xml:space="preserve"> </w:t>
      </w:r>
      <w:r>
        <w:rPr>
          <w:rFonts w:ascii="Arial" w:cs="Arial" w:eastAsia="Arial" w:hAnsi="Arial"/>
          <w:sz w:val="14"/>
          <w:szCs w:val="14"/>
          <w:color w:val="3E3935"/>
        </w:rPr>
        <w:t xml:space="preserve">customers to EVs and creating clean energy jobs in the U.S. </w:t>
      </w:r>
      <w:r>
        <w:rPr>
          <w:rFonts w:ascii="Arial" w:cs="Arial" w:eastAsia="Arial" w:hAnsi="Arial"/>
          <w:sz w:val="1"/>
          <w:szCs w:val="1"/>
          <w:color w:val="0071CE"/>
          <w:vertAlign w:val="subscript"/>
        </w:rPr>
        <w:drawing>
          <wp:inline distT="0" distB="0" distL="0" distR="0">
            <wp:extent cx="76835" cy="76835"/>
            <wp:effectExtent l="0" t="0" r="0" b="0"/>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6835" cy="76835"/>
                    </a:xfrm>
                    <a:prstGeom prst="rect">
                      <a:avLst/>
                    </a:prstGeom>
                    <a:noFill/>
                    <a:ln>
                      <a:noFill/>
                    </a:ln>
                  </pic:spPr>
                </pic:pic>
              </a:graphicData>
            </a:graphic>
          </wp:inline>
        </w:drawing>
      </w:r>
    </w:p>
    <w:p>
      <w:pPr>
        <w:spacing w:after="0" w:line="39" w:lineRule="exact"/>
        <w:rPr>
          <w:rFonts w:ascii="Arial" w:cs="Arial" w:eastAsia="Arial" w:hAnsi="Arial"/>
          <w:sz w:val="30"/>
          <w:szCs w:val="30"/>
          <w:color w:val="0071CE"/>
          <w:vertAlign w:val="subscript"/>
        </w:rPr>
      </w:pPr>
    </w:p>
    <w:p>
      <w:pPr>
        <w:ind w:left="340"/>
        <w:spacing w:after="0"/>
        <w:rPr>
          <w:rFonts w:ascii="Arial" w:cs="Arial" w:eastAsia="Arial" w:hAnsi="Arial"/>
          <w:sz w:val="30"/>
          <w:szCs w:val="30"/>
          <w:color w:val="0071CE"/>
          <w:vertAlign w:val="subscript"/>
        </w:rPr>
      </w:pPr>
      <w:r>
        <w:rPr>
          <w:rFonts w:ascii="Arial" w:cs="Arial" w:eastAsia="Arial" w:hAnsi="Arial"/>
          <w:sz w:val="14"/>
          <w:szCs w:val="14"/>
          <w:b w:val="1"/>
          <w:bCs w:val="1"/>
          <w:color w:val="3E3935"/>
        </w:rPr>
        <w:t>Customer Experience</w:t>
      </w:r>
    </w:p>
    <w:p>
      <w:pPr>
        <w:spacing w:after="0" w:line="35" w:lineRule="exact"/>
        <w:rPr>
          <w:rFonts w:ascii="Arial" w:cs="Arial" w:eastAsia="Arial" w:hAnsi="Arial"/>
          <w:sz w:val="30"/>
          <w:szCs w:val="30"/>
          <w:color w:val="0071CE"/>
          <w:vertAlign w:val="subscript"/>
        </w:rPr>
      </w:pPr>
    </w:p>
    <w:p>
      <w:pPr>
        <w:ind w:left="340"/>
        <w:spacing w:after="0"/>
        <w:rPr>
          <w:rFonts w:ascii="Arial" w:cs="Arial" w:eastAsia="Arial" w:hAnsi="Arial"/>
          <w:sz w:val="30"/>
          <w:szCs w:val="30"/>
          <w:color w:val="0071CE"/>
          <w:vertAlign w:val="subscript"/>
        </w:rPr>
      </w:pPr>
      <w:r>
        <w:rPr>
          <w:rFonts w:ascii="Arial" w:cs="Arial" w:eastAsia="Arial" w:hAnsi="Arial"/>
          <w:sz w:val="20"/>
          <w:szCs w:val="20"/>
          <w:color w:val="00C1DE"/>
        </w:rPr>
        <w:t>•</w:t>
      </w:r>
      <w:r>
        <w:rPr>
          <w:rFonts w:ascii="Arial" w:cs="Arial" w:eastAsia="Arial" w:hAnsi="Arial"/>
          <w:sz w:val="14"/>
          <w:szCs w:val="14"/>
          <w:color w:val="3E3935"/>
        </w:rPr>
        <w:t xml:space="preserve">   Ranked as top manufacturer in overall loyalty by S&amp;P Global Mobility for the 8</w:t>
      </w:r>
      <w:r>
        <w:rPr>
          <w:rFonts w:ascii="Arial" w:cs="Arial" w:eastAsia="Arial" w:hAnsi="Arial"/>
          <w:sz w:val="20"/>
          <w:szCs w:val="20"/>
          <w:color w:val="3E3935"/>
          <w:vertAlign w:val="superscript"/>
        </w:rPr>
        <w:t>th</w:t>
      </w:r>
      <w:r>
        <w:rPr>
          <w:rFonts w:ascii="Arial" w:cs="Arial" w:eastAsia="Arial" w:hAnsi="Arial"/>
          <w:sz w:val="20"/>
          <w:szCs w:val="20"/>
          <w:color w:val="00C1DE"/>
        </w:rPr>
        <w:t xml:space="preserve"> </w:t>
      </w:r>
      <w:r>
        <w:rPr>
          <w:rFonts w:ascii="Arial" w:cs="Arial" w:eastAsia="Arial" w:hAnsi="Arial"/>
          <w:sz w:val="14"/>
          <w:szCs w:val="14"/>
          <w:color w:val="3E3935"/>
        </w:rPr>
        <w:t>consecutive year</w:t>
      </w:r>
    </w:p>
    <w:p>
      <w:pPr>
        <w:spacing w:after="0" w:line="20" w:lineRule="exact"/>
        <w:rPr>
          <w:rFonts w:ascii="Arial" w:cs="Arial" w:eastAsia="Arial" w:hAnsi="Arial"/>
          <w:sz w:val="30"/>
          <w:szCs w:val="30"/>
          <w:color w:val="0071CE"/>
          <w:vertAlign w:val="subscript"/>
        </w:rPr>
      </w:pPr>
    </w:p>
    <w:p>
      <w:pPr>
        <w:ind w:left="560" w:right="200" w:hanging="216"/>
        <w:spacing w:after="0" w:line="190" w:lineRule="auto"/>
        <w:rPr>
          <w:rFonts w:ascii="Arial" w:cs="Arial" w:eastAsia="Arial" w:hAnsi="Arial"/>
          <w:sz w:val="30"/>
          <w:szCs w:val="30"/>
          <w:color w:val="0071CE"/>
          <w:vertAlign w:val="subscript"/>
        </w:rPr>
      </w:pPr>
      <w:r>
        <w:rPr>
          <w:rFonts w:ascii="Arial" w:cs="Arial" w:eastAsia="Arial" w:hAnsi="Arial"/>
          <w:sz w:val="20"/>
          <w:szCs w:val="20"/>
          <w:color w:val="00C1DE"/>
        </w:rPr>
        <w:t>•</w:t>
      </w:r>
      <w:r>
        <w:rPr>
          <w:rFonts w:ascii="Arial" w:cs="Arial" w:eastAsia="Arial" w:hAnsi="Arial"/>
          <w:sz w:val="14"/>
          <w:szCs w:val="14"/>
          <w:color w:val="3E3935"/>
        </w:rPr>
        <w:t xml:space="preserve">   Announced GM Energy, a holistic ecosystem of energy management products and services for EV</w:t>
      </w:r>
      <w:r>
        <w:rPr>
          <w:rFonts w:ascii="Arial" w:cs="Arial" w:eastAsia="Arial" w:hAnsi="Arial"/>
          <w:sz w:val="20"/>
          <w:szCs w:val="20"/>
          <w:color w:val="00C1DE"/>
        </w:rPr>
        <w:t xml:space="preserve"> </w:t>
      </w:r>
      <w:r>
        <w:rPr>
          <w:rFonts w:ascii="Arial" w:cs="Arial" w:eastAsia="Arial" w:hAnsi="Arial"/>
          <w:sz w:val="14"/>
          <w:szCs w:val="14"/>
          <w:color w:val="3E3935"/>
        </w:rPr>
        <w:t xml:space="preserve">residential and commercial customers </w:t>
      </w:r>
      <w:r>
        <w:rPr>
          <w:rFonts w:ascii="Arial" w:cs="Arial" w:eastAsia="Arial" w:hAnsi="Arial"/>
          <w:sz w:val="1"/>
          <w:szCs w:val="1"/>
          <w:color w:val="0071CE"/>
          <w:vertAlign w:val="subscript"/>
        </w:rPr>
        <w:drawing>
          <wp:inline distT="0" distB="0" distL="0" distR="0">
            <wp:extent cx="77470" cy="76835"/>
            <wp:effectExtent l="0" t="0" r="0" b="0"/>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7470" cy="76835"/>
                    </a:xfrm>
                    <a:prstGeom prst="rect">
                      <a:avLst/>
                    </a:prstGeom>
                    <a:noFill/>
                    <a:ln>
                      <a:noFill/>
                    </a:ln>
                  </pic:spPr>
                </pic:pic>
              </a:graphicData>
            </a:graphic>
          </wp:inline>
        </w:drawing>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-4271645</wp:posOffset>
            </wp:positionV>
            <wp:extent cx="4543425" cy="432054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4543425" cy="43205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both"/>
        <w:ind w:right="20"/>
        <w:spacing w:after="0" w:line="249" w:lineRule="auto"/>
        <w:rPr>
          <w:sz w:val="20"/>
          <w:szCs w:val="20"/>
          <w:color w:val="auto"/>
        </w:rPr>
      </w:pPr>
      <w:r>
        <w:rPr>
          <w:rFonts w:ascii="Arial" w:cs="Arial" w:eastAsia="Arial" w:hAnsi="Arial"/>
          <w:sz w:val="14"/>
          <w:szCs w:val="14"/>
          <w:i w:val="1"/>
          <w:iCs w:val="1"/>
          <w:color w:val="3E3935"/>
        </w:rPr>
        <w:t>Despite accelerating the EV transformation and record financial performance in 2022, the Compensation Committee has determined to hold Ms. Barra’s 2023 target compensation constant in reflection of the 2022 TSR result and Ms. Barra’s current position versus peers.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-2911475</wp:posOffset>
            </wp:positionV>
            <wp:extent cx="2237105" cy="574357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2237105" cy="5743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both"/>
        <w:spacing w:after="0" w:line="261" w:lineRule="auto"/>
        <w:rPr>
          <w:sz w:val="20"/>
          <w:szCs w:val="20"/>
          <w:color w:val="auto"/>
        </w:rPr>
      </w:pPr>
      <w:r>
        <w:rPr>
          <w:rFonts w:ascii="Arial" w:cs="Arial" w:eastAsia="Arial" w:hAnsi="Arial"/>
          <w:sz w:val="14"/>
          <w:szCs w:val="14"/>
          <w:i w:val="1"/>
          <w:iCs w:val="1"/>
          <w:color w:val="3E3935"/>
        </w:rPr>
        <w:t>Awarded Value reflects the amount included in the Summary Compensation Table, excluding change in pension value and all other compensation.</w:t>
      </w:r>
    </w:p>
    <w:p>
      <w:pPr>
        <w:spacing w:after="0" w:line="466" w:lineRule="exact"/>
        <w:rPr>
          <w:sz w:val="20"/>
          <w:szCs w:val="20"/>
          <w:color w:val="auto"/>
        </w:rPr>
      </w:pPr>
    </w:p>
    <w:p>
      <w:pPr>
        <w:sectPr>
          <w:pgSz w:w="11900" w:h="16838" w:orient="portrait"/>
          <w:cols w:equalWidth="0" w:num="2">
            <w:col w:w="7280" w:space="320"/>
            <w:col w:w="3540"/>
          </w:cols>
          <w:pgMar w:left="320" w:top="482" w:right="439" w:bottom="133" w:gutter="0" w:footer="0" w:header="0"/>
        </w:sectPr>
      </w:pPr>
    </w:p>
    <w:p>
      <w:pPr>
        <w:ind w:left="120" w:right="3880"/>
        <w:spacing w:after="0" w:line="286" w:lineRule="auto"/>
        <w:rPr>
          <w:sz w:val="20"/>
          <w:szCs w:val="20"/>
          <w:color w:val="auto"/>
        </w:rPr>
      </w:pPr>
      <w:r>
        <w:rPr>
          <w:rFonts w:ascii="Arial" w:cs="Arial" w:eastAsia="Arial" w:hAnsi="Arial"/>
          <w:sz w:val="16"/>
          <w:szCs w:val="16"/>
          <w:b w:val="1"/>
          <w:bCs w:val="1"/>
          <w:color w:val="0071CE"/>
        </w:rPr>
        <w:t xml:space="preserve">Long-Term Incentive </w:t>
      </w:r>
      <w:r>
        <w:rPr>
          <w:rFonts w:ascii="Arial" w:cs="Arial" w:eastAsia="Arial" w:hAnsi="Arial"/>
          <w:sz w:val="16"/>
          <w:szCs w:val="16"/>
          <w:color w:val="3E3935"/>
        </w:rPr>
        <w:t>– In February 2022, awarded an annual LTIP grant of $19.5 million,</w:t>
      </w:r>
      <w:r>
        <w:rPr>
          <w:rFonts w:ascii="Arial" w:cs="Arial" w:eastAsia="Arial" w:hAnsi="Arial"/>
          <w:sz w:val="16"/>
          <w:szCs w:val="16"/>
          <w:b w:val="1"/>
          <w:bCs w:val="1"/>
          <w:color w:val="0071CE"/>
        </w:rPr>
        <w:t xml:space="preserve"> </w:t>
      </w:r>
      <w:r>
        <w:rPr>
          <w:rFonts w:ascii="Arial" w:cs="Arial" w:eastAsia="Arial" w:hAnsi="Arial"/>
          <w:sz w:val="16"/>
          <w:szCs w:val="16"/>
          <w:color w:val="3E3935"/>
        </w:rPr>
        <w:t>consisting of 75 percent PSUs and 25 percent stock options.</w:t>
      </w:r>
    </w:p>
    <w:p>
      <w:pPr>
        <w:spacing w:after="0" w:line="48" w:lineRule="exact"/>
        <w:rPr>
          <w:sz w:val="20"/>
          <w:szCs w:val="20"/>
          <w:color w:val="auto"/>
        </w:rPr>
      </w:pPr>
    </w:p>
    <w:p>
      <w:pPr>
        <w:ind w:left="120"/>
        <w:spacing w:after="0"/>
        <w:rPr>
          <w:sz w:val="20"/>
          <w:szCs w:val="20"/>
          <w:color w:val="auto"/>
        </w:rPr>
      </w:pPr>
      <w:r>
        <w:rPr>
          <w:rFonts w:ascii="Arial" w:cs="Arial" w:eastAsia="Arial" w:hAnsi="Arial"/>
          <w:sz w:val="16"/>
          <w:szCs w:val="16"/>
          <w:color w:val="3E3935"/>
        </w:rPr>
        <w:t>Total awarded compensation for 2022, including salary, STIP, and LTIP, is displayed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89535</wp:posOffset>
            </wp:positionV>
            <wp:extent cx="4543425" cy="889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4543425" cy="8890"/>
                    </a:xfrm>
                    <a:prstGeom prst="rect">
                      <a:avLst/>
                    </a:prstGeom>
                    <a:noFill/>
                  </pic:spPr>
                </pic:pic>
              </a:graphicData>
            </a:graphic>
          </wp:anchor>
        </w:drawing>
      </w:r>
    </w:p>
    <w:p>
      <w:pPr>
        <w:spacing w:after="0" w:line="174" w:lineRule="exact"/>
        <w:rPr>
          <w:sz w:val="20"/>
          <w:szCs w:val="20"/>
          <w:color w:val="auto"/>
        </w:rPr>
      </w:pPr>
    </w:p>
    <w:tbl>
      <w:tblPr>
        <w:tblLayout w:type="fixed"/>
        <w:tblInd w:w="120" w:type="dxa"/>
        <w:tblCellMar>
          <w:top w:w="0" w:type="dxa"/>
          <w:left w:w="0" w:type="dxa"/>
          <w:bottom w:w="0" w:type="dxa"/>
          <w:right w:w="0" w:type="dxa"/>
        </w:tblCellMar>
      </w:tblPr>
      <w:tr>
        <w:trPr>
          <w:trHeight w:val="226"/>
        </w:trPr>
        <w:tc>
          <w:tcPr>
            <w:tcW w:w="1500" w:type="dxa"/>
            <w:vAlign w:val="bottom"/>
            <w:tcBorders>
              <w:bottom w:val="single" w:sz="8" w:color="00C1DE"/>
            </w:tcBorders>
          </w:tcPr>
          <w:p>
            <w:pPr>
              <w:ind w:left="80"/>
              <w:spacing w:after="0"/>
              <w:rPr>
                <w:sz w:val="20"/>
                <w:szCs w:val="20"/>
                <w:color w:val="auto"/>
              </w:rPr>
            </w:pPr>
            <w:r>
              <w:rPr>
                <w:rFonts w:ascii="Arial" w:cs="Arial" w:eastAsia="Arial" w:hAnsi="Arial"/>
                <w:sz w:val="16"/>
                <w:szCs w:val="16"/>
                <w:b w:val="1"/>
                <w:bCs w:val="1"/>
                <w:color w:val="00C1DE"/>
              </w:rPr>
              <w:t>Pay Element</w:t>
            </w:r>
          </w:p>
        </w:tc>
        <w:tc>
          <w:tcPr>
            <w:tcW w:w="3840" w:type="dxa"/>
            <w:vAlign w:val="bottom"/>
            <w:tcBorders>
              <w:bottom w:val="single" w:sz="8" w:color="00C1DE"/>
            </w:tcBorders>
          </w:tcPr>
          <w:p>
            <w:pPr>
              <w:ind w:left="380"/>
              <w:spacing w:after="0"/>
              <w:rPr>
                <w:sz w:val="20"/>
                <w:szCs w:val="20"/>
                <w:color w:val="auto"/>
              </w:rPr>
            </w:pPr>
            <w:r>
              <w:rPr>
                <w:rFonts w:ascii="Arial" w:cs="Arial" w:eastAsia="Arial" w:hAnsi="Arial"/>
                <w:sz w:val="16"/>
                <w:szCs w:val="16"/>
                <w:b w:val="1"/>
                <w:bCs w:val="1"/>
                <w:color w:val="00C1DE"/>
              </w:rPr>
              <w:t>Majority of Pay Is At-Risk</w:t>
            </w:r>
          </w:p>
        </w:tc>
        <w:tc>
          <w:tcPr>
            <w:tcW w:w="1820" w:type="dxa"/>
            <w:vAlign w:val="bottom"/>
            <w:tcBorders>
              <w:bottom w:val="single" w:sz="8" w:color="00C1DE"/>
            </w:tcBorders>
          </w:tcPr>
          <w:p>
            <w:pPr>
              <w:jc w:val="right"/>
              <w:spacing w:after="0"/>
              <w:rPr>
                <w:sz w:val="20"/>
                <w:szCs w:val="20"/>
                <w:color w:val="auto"/>
              </w:rPr>
            </w:pPr>
            <w:r>
              <w:rPr>
                <w:rFonts w:ascii="Arial" w:cs="Arial" w:eastAsia="Arial" w:hAnsi="Arial"/>
                <w:sz w:val="16"/>
                <w:szCs w:val="16"/>
                <w:b w:val="1"/>
                <w:bCs w:val="1"/>
                <w:color w:val="00C1DE"/>
              </w:rPr>
              <w:t>Awarded Value</w:t>
            </w:r>
          </w:p>
        </w:tc>
      </w:tr>
      <w:tr>
        <w:trPr>
          <w:trHeight w:val="265"/>
        </w:trPr>
        <w:tc>
          <w:tcPr>
            <w:tcW w:w="1500" w:type="dxa"/>
            <w:vAlign w:val="bottom"/>
          </w:tcPr>
          <w:p>
            <w:pPr>
              <w:ind w:left="80"/>
              <w:spacing w:after="0"/>
              <w:rPr>
                <w:sz w:val="20"/>
                <w:szCs w:val="20"/>
                <w:color w:val="auto"/>
              </w:rPr>
            </w:pPr>
            <w:r>
              <w:rPr>
                <w:rFonts w:ascii="Arial" w:cs="Arial" w:eastAsia="Arial" w:hAnsi="Arial"/>
                <w:sz w:val="16"/>
                <w:szCs w:val="16"/>
                <w:color w:val="3E3935"/>
              </w:rPr>
              <w:t>Base Salary</w:t>
            </w:r>
          </w:p>
        </w:tc>
        <w:tc>
          <w:tcPr>
            <w:tcW w:w="3840" w:type="dxa"/>
            <w:vAlign w:val="bottom"/>
          </w:tcPr>
          <w:p>
            <w:pPr>
              <w:ind w:left="380"/>
              <w:spacing w:after="0"/>
              <w:rPr>
                <w:sz w:val="20"/>
                <w:szCs w:val="20"/>
                <w:color w:val="auto"/>
              </w:rPr>
            </w:pPr>
            <w:r>
              <w:rPr>
                <w:rFonts w:ascii="Arial" w:cs="Arial" w:eastAsia="Arial" w:hAnsi="Arial"/>
                <w:sz w:val="16"/>
                <w:szCs w:val="16"/>
                <w:color w:val="3E3935"/>
              </w:rPr>
              <w:t>Only Fixed Pay Element</w:t>
            </w:r>
          </w:p>
        </w:tc>
        <w:tc>
          <w:tcPr>
            <w:tcW w:w="1820" w:type="dxa"/>
            <w:vAlign w:val="bottom"/>
          </w:tcPr>
          <w:p>
            <w:pPr>
              <w:jc w:val="right"/>
              <w:spacing w:after="0"/>
              <w:rPr>
                <w:sz w:val="20"/>
                <w:szCs w:val="20"/>
                <w:color w:val="auto"/>
              </w:rPr>
            </w:pPr>
            <w:r>
              <w:rPr>
                <w:rFonts w:ascii="Arial" w:cs="Arial" w:eastAsia="Arial" w:hAnsi="Arial"/>
                <w:sz w:val="16"/>
                <w:szCs w:val="16"/>
                <w:color w:val="3E3935"/>
              </w:rPr>
              <w:t>$2,100,000</w:t>
            </w:r>
          </w:p>
        </w:tc>
      </w:tr>
      <w:tr>
        <w:trPr>
          <w:trHeight w:val="43"/>
        </w:trPr>
        <w:tc>
          <w:tcPr>
            <w:tcW w:w="1500" w:type="dxa"/>
            <w:vAlign w:val="bottom"/>
            <w:tcBorders>
              <w:bottom w:val="single" w:sz="8" w:color="3E3935"/>
            </w:tcBorders>
          </w:tcPr>
          <w:p>
            <w:pPr>
              <w:spacing w:after="0"/>
              <w:rPr>
                <w:sz w:val="3"/>
                <w:szCs w:val="3"/>
                <w:color w:val="auto"/>
              </w:rPr>
            </w:pPr>
          </w:p>
        </w:tc>
        <w:tc>
          <w:tcPr>
            <w:tcW w:w="3840" w:type="dxa"/>
            <w:vAlign w:val="bottom"/>
            <w:tcBorders>
              <w:bottom w:val="single" w:sz="8" w:color="3E3935"/>
            </w:tcBorders>
          </w:tcPr>
          <w:p>
            <w:pPr>
              <w:spacing w:after="0"/>
              <w:rPr>
                <w:sz w:val="3"/>
                <w:szCs w:val="3"/>
                <w:color w:val="auto"/>
              </w:rPr>
            </w:pPr>
          </w:p>
        </w:tc>
        <w:tc>
          <w:tcPr>
            <w:tcW w:w="1820" w:type="dxa"/>
            <w:vAlign w:val="bottom"/>
            <w:tcBorders>
              <w:bottom w:val="single" w:sz="8" w:color="3E3935"/>
            </w:tcBorders>
          </w:tcPr>
          <w:p>
            <w:pPr>
              <w:spacing w:after="0"/>
              <w:rPr>
                <w:sz w:val="3"/>
                <w:szCs w:val="3"/>
                <w:color w:val="auto"/>
              </w:rPr>
            </w:pPr>
          </w:p>
        </w:tc>
      </w:tr>
      <w:tr>
        <w:trPr>
          <w:trHeight w:val="261"/>
        </w:trPr>
        <w:tc>
          <w:tcPr>
            <w:tcW w:w="1500" w:type="dxa"/>
            <w:vAlign w:val="bottom"/>
          </w:tcPr>
          <w:p>
            <w:pPr>
              <w:ind w:left="80"/>
              <w:spacing w:after="0"/>
              <w:rPr>
                <w:sz w:val="20"/>
                <w:szCs w:val="20"/>
                <w:color w:val="auto"/>
              </w:rPr>
            </w:pPr>
            <w:r>
              <w:rPr>
                <w:rFonts w:ascii="Arial" w:cs="Arial" w:eastAsia="Arial" w:hAnsi="Arial"/>
                <w:sz w:val="16"/>
                <w:szCs w:val="16"/>
                <w:color w:val="3E3935"/>
              </w:rPr>
              <w:t>STIP</w:t>
            </w:r>
          </w:p>
        </w:tc>
        <w:tc>
          <w:tcPr>
            <w:tcW w:w="3840" w:type="dxa"/>
            <w:vAlign w:val="bottom"/>
          </w:tcPr>
          <w:p>
            <w:pPr>
              <w:ind w:left="380"/>
              <w:spacing w:after="0"/>
              <w:rPr>
                <w:sz w:val="20"/>
                <w:szCs w:val="20"/>
                <w:color w:val="auto"/>
              </w:rPr>
            </w:pPr>
            <w:r>
              <w:rPr>
                <w:rFonts w:ascii="Arial" w:cs="Arial" w:eastAsia="Arial" w:hAnsi="Arial"/>
                <w:sz w:val="16"/>
                <w:szCs w:val="16"/>
                <w:color w:val="3E3935"/>
              </w:rPr>
              <w:t>Performance to Metrics</w:t>
            </w:r>
          </w:p>
        </w:tc>
        <w:tc>
          <w:tcPr>
            <w:tcW w:w="1820" w:type="dxa"/>
            <w:vAlign w:val="bottom"/>
          </w:tcPr>
          <w:p>
            <w:pPr>
              <w:jc w:val="right"/>
              <w:spacing w:after="0"/>
              <w:rPr>
                <w:sz w:val="20"/>
                <w:szCs w:val="20"/>
                <w:color w:val="auto"/>
              </w:rPr>
            </w:pPr>
            <w:r>
              <w:rPr>
                <w:rFonts w:ascii="Arial" w:cs="Arial" w:eastAsia="Arial" w:hAnsi="Arial"/>
                <w:sz w:val="16"/>
                <w:szCs w:val="16"/>
                <w:color w:val="3E3935"/>
              </w:rPr>
              <w:t>$6,258,000</w:t>
            </w:r>
          </w:p>
        </w:tc>
      </w:tr>
      <w:tr>
        <w:trPr>
          <w:trHeight w:val="43"/>
        </w:trPr>
        <w:tc>
          <w:tcPr>
            <w:tcW w:w="1500" w:type="dxa"/>
            <w:vAlign w:val="bottom"/>
            <w:tcBorders>
              <w:bottom w:val="single" w:sz="8" w:color="3E3935"/>
            </w:tcBorders>
          </w:tcPr>
          <w:p>
            <w:pPr>
              <w:spacing w:after="0"/>
              <w:rPr>
                <w:sz w:val="3"/>
                <w:szCs w:val="3"/>
                <w:color w:val="auto"/>
              </w:rPr>
            </w:pPr>
          </w:p>
        </w:tc>
        <w:tc>
          <w:tcPr>
            <w:tcW w:w="3840" w:type="dxa"/>
            <w:vAlign w:val="bottom"/>
            <w:tcBorders>
              <w:bottom w:val="single" w:sz="8" w:color="3E3935"/>
            </w:tcBorders>
          </w:tcPr>
          <w:p>
            <w:pPr>
              <w:spacing w:after="0"/>
              <w:rPr>
                <w:sz w:val="3"/>
                <w:szCs w:val="3"/>
                <w:color w:val="auto"/>
              </w:rPr>
            </w:pPr>
          </w:p>
        </w:tc>
        <w:tc>
          <w:tcPr>
            <w:tcW w:w="1820" w:type="dxa"/>
            <w:vAlign w:val="bottom"/>
            <w:tcBorders>
              <w:bottom w:val="single" w:sz="8" w:color="3E3935"/>
            </w:tcBorders>
          </w:tcPr>
          <w:p>
            <w:pPr>
              <w:spacing w:after="0"/>
              <w:rPr>
                <w:sz w:val="3"/>
                <w:szCs w:val="3"/>
                <w:color w:val="auto"/>
              </w:rPr>
            </w:pPr>
          </w:p>
        </w:tc>
      </w:tr>
      <w:tr>
        <w:trPr>
          <w:trHeight w:val="261"/>
        </w:trPr>
        <w:tc>
          <w:tcPr>
            <w:tcW w:w="1500" w:type="dxa"/>
            <w:vAlign w:val="bottom"/>
          </w:tcPr>
          <w:p>
            <w:pPr>
              <w:ind w:left="80"/>
              <w:spacing w:after="0"/>
              <w:rPr>
                <w:sz w:val="20"/>
                <w:szCs w:val="20"/>
                <w:color w:val="auto"/>
              </w:rPr>
            </w:pPr>
            <w:r>
              <w:rPr>
                <w:rFonts w:ascii="Arial" w:cs="Arial" w:eastAsia="Arial" w:hAnsi="Arial"/>
                <w:sz w:val="16"/>
                <w:szCs w:val="16"/>
                <w:color w:val="3E3935"/>
              </w:rPr>
              <w:t>PSUs</w:t>
            </w:r>
          </w:p>
        </w:tc>
        <w:tc>
          <w:tcPr>
            <w:tcW w:w="3840" w:type="dxa"/>
            <w:vAlign w:val="bottom"/>
          </w:tcPr>
          <w:p>
            <w:pPr>
              <w:ind w:left="380"/>
              <w:spacing w:after="0"/>
              <w:rPr>
                <w:sz w:val="20"/>
                <w:szCs w:val="20"/>
                <w:color w:val="auto"/>
              </w:rPr>
            </w:pPr>
            <w:r>
              <w:rPr>
                <w:rFonts w:ascii="Arial" w:cs="Arial" w:eastAsia="Arial" w:hAnsi="Arial"/>
                <w:sz w:val="16"/>
                <w:szCs w:val="16"/>
                <w:color w:val="3E3935"/>
              </w:rPr>
              <w:t>Performance to Metrics and Stock Price</w:t>
            </w:r>
          </w:p>
        </w:tc>
        <w:tc>
          <w:tcPr>
            <w:tcW w:w="1820" w:type="dxa"/>
            <w:vAlign w:val="bottom"/>
          </w:tcPr>
          <w:p>
            <w:pPr>
              <w:jc w:val="right"/>
              <w:spacing w:after="0"/>
              <w:rPr>
                <w:sz w:val="20"/>
                <w:szCs w:val="20"/>
                <w:color w:val="auto"/>
              </w:rPr>
            </w:pPr>
            <w:r>
              <w:rPr>
                <w:rFonts w:ascii="Arial" w:cs="Arial" w:eastAsia="Arial" w:hAnsi="Arial"/>
                <w:sz w:val="16"/>
                <w:szCs w:val="16"/>
                <w:color w:val="3E3935"/>
              </w:rPr>
              <w:t>$14,625,000</w:t>
            </w:r>
          </w:p>
        </w:tc>
      </w:tr>
      <w:tr>
        <w:trPr>
          <w:trHeight w:val="43"/>
        </w:trPr>
        <w:tc>
          <w:tcPr>
            <w:tcW w:w="1500" w:type="dxa"/>
            <w:vAlign w:val="bottom"/>
            <w:tcBorders>
              <w:bottom w:val="single" w:sz="8" w:color="3E3935"/>
            </w:tcBorders>
          </w:tcPr>
          <w:p>
            <w:pPr>
              <w:spacing w:after="0"/>
              <w:rPr>
                <w:sz w:val="3"/>
                <w:szCs w:val="3"/>
                <w:color w:val="auto"/>
              </w:rPr>
            </w:pPr>
          </w:p>
        </w:tc>
        <w:tc>
          <w:tcPr>
            <w:tcW w:w="3840" w:type="dxa"/>
            <w:vAlign w:val="bottom"/>
            <w:tcBorders>
              <w:bottom w:val="single" w:sz="8" w:color="3E3935"/>
            </w:tcBorders>
          </w:tcPr>
          <w:p>
            <w:pPr>
              <w:spacing w:after="0"/>
              <w:rPr>
                <w:sz w:val="3"/>
                <w:szCs w:val="3"/>
                <w:color w:val="auto"/>
              </w:rPr>
            </w:pPr>
          </w:p>
        </w:tc>
        <w:tc>
          <w:tcPr>
            <w:tcW w:w="1820" w:type="dxa"/>
            <w:vAlign w:val="bottom"/>
            <w:tcBorders>
              <w:bottom w:val="single" w:sz="8" w:color="3E3935"/>
            </w:tcBorders>
          </w:tcPr>
          <w:p>
            <w:pPr>
              <w:spacing w:after="0"/>
              <w:rPr>
                <w:sz w:val="3"/>
                <w:szCs w:val="3"/>
                <w:color w:val="auto"/>
              </w:rPr>
            </w:pPr>
          </w:p>
        </w:tc>
      </w:tr>
      <w:tr>
        <w:trPr>
          <w:trHeight w:val="261"/>
        </w:trPr>
        <w:tc>
          <w:tcPr>
            <w:tcW w:w="1500" w:type="dxa"/>
            <w:vAlign w:val="bottom"/>
          </w:tcPr>
          <w:p>
            <w:pPr>
              <w:ind w:left="80"/>
              <w:spacing w:after="0"/>
              <w:rPr>
                <w:sz w:val="20"/>
                <w:szCs w:val="20"/>
                <w:color w:val="auto"/>
              </w:rPr>
            </w:pPr>
            <w:r>
              <w:rPr>
                <w:rFonts w:ascii="Arial" w:cs="Arial" w:eastAsia="Arial" w:hAnsi="Arial"/>
                <w:sz w:val="16"/>
                <w:szCs w:val="16"/>
                <w:color w:val="3E3935"/>
              </w:rPr>
              <w:t>Stock Options</w:t>
            </w:r>
          </w:p>
        </w:tc>
        <w:tc>
          <w:tcPr>
            <w:tcW w:w="3840" w:type="dxa"/>
            <w:vAlign w:val="bottom"/>
          </w:tcPr>
          <w:p>
            <w:pPr>
              <w:ind w:left="380"/>
              <w:spacing w:after="0"/>
              <w:rPr>
                <w:sz w:val="20"/>
                <w:szCs w:val="20"/>
                <w:color w:val="auto"/>
              </w:rPr>
            </w:pPr>
            <w:r>
              <w:rPr>
                <w:rFonts w:ascii="Arial" w:cs="Arial" w:eastAsia="Arial" w:hAnsi="Arial"/>
                <w:sz w:val="16"/>
                <w:szCs w:val="16"/>
                <w:color w:val="3E3935"/>
              </w:rPr>
              <w:t>Performance to Stock Price</w:t>
            </w:r>
          </w:p>
        </w:tc>
        <w:tc>
          <w:tcPr>
            <w:tcW w:w="1820" w:type="dxa"/>
            <w:vAlign w:val="bottom"/>
          </w:tcPr>
          <w:p>
            <w:pPr>
              <w:jc w:val="right"/>
              <w:spacing w:after="0"/>
              <w:rPr>
                <w:sz w:val="20"/>
                <w:szCs w:val="20"/>
                <w:color w:val="auto"/>
              </w:rPr>
            </w:pPr>
            <w:r>
              <w:rPr>
                <w:rFonts w:ascii="Arial" w:cs="Arial" w:eastAsia="Arial" w:hAnsi="Arial"/>
                <w:sz w:val="16"/>
                <w:szCs w:val="16"/>
                <w:color w:val="3E3935"/>
              </w:rPr>
              <w:t>$4,875,010</w:t>
            </w:r>
          </w:p>
        </w:tc>
      </w:tr>
      <w:tr>
        <w:trPr>
          <w:trHeight w:val="43"/>
        </w:trPr>
        <w:tc>
          <w:tcPr>
            <w:tcW w:w="1500" w:type="dxa"/>
            <w:vAlign w:val="bottom"/>
            <w:tcBorders>
              <w:bottom w:val="single" w:sz="8" w:color="3E3935"/>
            </w:tcBorders>
          </w:tcPr>
          <w:p>
            <w:pPr>
              <w:spacing w:after="0"/>
              <w:rPr>
                <w:sz w:val="3"/>
                <w:szCs w:val="3"/>
                <w:color w:val="auto"/>
              </w:rPr>
            </w:pPr>
          </w:p>
        </w:tc>
        <w:tc>
          <w:tcPr>
            <w:tcW w:w="3840" w:type="dxa"/>
            <w:vAlign w:val="bottom"/>
            <w:tcBorders>
              <w:bottom w:val="single" w:sz="8" w:color="3E3935"/>
            </w:tcBorders>
          </w:tcPr>
          <w:p>
            <w:pPr>
              <w:spacing w:after="0"/>
              <w:rPr>
                <w:sz w:val="3"/>
                <w:szCs w:val="3"/>
                <w:color w:val="auto"/>
              </w:rPr>
            </w:pPr>
          </w:p>
        </w:tc>
        <w:tc>
          <w:tcPr>
            <w:tcW w:w="1820" w:type="dxa"/>
            <w:vAlign w:val="bottom"/>
            <w:tcBorders>
              <w:bottom w:val="single" w:sz="8" w:color="3E3935"/>
            </w:tcBorders>
          </w:tcPr>
          <w:p>
            <w:pPr>
              <w:spacing w:after="0"/>
              <w:rPr>
                <w:sz w:val="3"/>
                <w:szCs w:val="3"/>
                <w:color w:val="auto"/>
              </w:rPr>
            </w:pPr>
          </w:p>
        </w:tc>
      </w:tr>
      <w:tr>
        <w:trPr>
          <w:trHeight w:val="269"/>
        </w:trPr>
        <w:tc>
          <w:tcPr>
            <w:tcW w:w="1500" w:type="dxa"/>
            <w:vAlign w:val="bottom"/>
          </w:tcPr>
          <w:p>
            <w:pPr>
              <w:ind w:left="80"/>
              <w:spacing w:after="0"/>
              <w:rPr>
                <w:sz w:val="20"/>
                <w:szCs w:val="20"/>
                <w:color w:val="auto"/>
              </w:rPr>
            </w:pPr>
            <w:r>
              <w:rPr>
                <w:rFonts w:ascii="Arial" w:cs="Arial" w:eastAsia="Arial" w:hAnsi="Arial"/>
                <w:sz w:val="16"/>
                <w:szCs w:val="16"/>
                <w:b w:val="1"/>
                <w:bCs w:val="1"/>
                <w:color w:val="0071CE"/>
              </w:rPr>
              <w:t>TOTAL</w:t>
            </w:r>
          </w:p>
        </w:tc>
        <w:tc>
          <w:tcPr>
            <w:tcW w:w="3840" w:type="dxa"/>
            <w:vAlign w:val="bottom"/>
          </w:tcPr>
          <w:p>
            <w:pPr>
              <w:spacing w:after="0"/>
              <w:rPr>
                <w:sz w:val="23"/>
                <w:szCs w:val="23"/>
                <w:color w:val="auto"/>
              </w:rPr>
            </w:pPr>
          </w:p>
        </w:tc>
        <w:tc>
          <w:tcPr>
            <w:tcW w:w="1820" w:type="dxa"/>
            <w:vAlign w:val="bottom"/>
          </w:tcPr>
          <w:p>
            <w:pPr>
              <w:jc w:val="right"/>
              <w:spacing w:after="0"/>
              <w:rPr>
                <w:sz w:val="20"/>
                <w:szCs w:val="20"/>
                <w:color w:val="auto"/>
              </w:rPr>
            </w:pPr>
            <w:r>
              <w:rPr>
                <w:rFonts w:ascii="Arial" w:cs="Arial" w:eastAsia="Arial" w:hAnsi="Arial"/>
                <w:sz w:val="16"/>
                <w:szCs w:val="16"/>
                <w:b w:val="1"/>
                <w:bCs w:val="1"/>
                <w:color w:val="0071CE"/>
              </w:rPr>
              <w:t>$27,858,010</w:t>
            </w:r>
          </w:p>
        </w:tc>
      </w:tr>
      <w:tr>
        <w:trPr>
          <w:trHeight w:val="34"/>
        </w:trPr>
        <w:tc>
          <w:tcPr>
            <w:tcW w:w="1500" w:type="dxa"/>
            <w:vAlign w:val="bottom"/>
            <w:tcBorders>
              <w:bottom w:val="single" w:sz="8" w:color="0071CE"/>
            </w:tcBorders>
          </w:tcPr>
          <w:p>
            <w:pPr>
              <w:spacing w:after="0"/>
              <w:rPr>
                <w:sz w:val="3"/>
                <w:szCs w:val="3"/>
                <w:color w:val="auto"/>
              </w:rPr>
            </w:pPr>
          </w:p>
        </w:tc>
        <w:tc>
          <w:tcPr>
            <w:tcW w:w="3840" w:type="dxa"/>
            <w:vAlign w:val="bottom"/>
            <w:tcBorders>
              <w:bottom w:val="single" w:sz="8" w:color="0071CE"/>
            </w:tcBorders>
          </w:tcPr>
          <w:p>
            <w:pPr>
              <w:spacing w:after="0"/>
              <w:rPr>
                <w:sz w:val="3"/>
                <w:szCs w:val="3"/>
                <w:color w:val="auto"/>
              </w:rPr>
            </w:pPr>
          </w:p>
        </w:tc>
        <w:tc>
          <w:tcPr>
            <w:tcW w:w="1820" w:type="dxa"/>
            <w:vAlign w:val="bottom"/>
            <w:tcBorders>
              <w:bottom w:val="single" w:sz="8" w:color="0071CE"/>
            </w:tcBorders>
          </w:tcPr>
          <w:p>
            <w:pPr>
              <w:spacing w:after="0"/>
              <w:rPr>
                <w:sz w:val="3"/>
                <w:szCs w:val="3"/>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right"/>
        <w:ind w:right="1160"/>
        <w:spacing w:after="0"/>
        <w:rPr>
          <w:sz w:val="20"/>
          <w:szCs w:val="20"/>
          <w:color w:val="auto"/>
        </w:rPr>
      </w:pPr>
      <w:r>
        <w:rPr>
          <w:sz w:val="1"/>
          <w:szCs w:val="1"/>
          <w:color w:val="auto"/>
        </w:rPr>
        <w:drawing>
          <wp:inline distT="0" distB="0" distL="0" distR="0">
            <wp:extent cx="77470" cy="76835"/>
            <wp:effectExtent l="0" t="0" r="0" b="0"/>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7470" cy="76835"/>
                    </a:xfrm>
                    <a:prstGeom prst="rect">
                      <a:avLst/>
                    </a:prstGeom>
                    <a:noFill/>
                    <a:ln>
                      <a:noFill/>
                    </a:ln>
                  </pic:spPr>
                </pic:pic>
              </a:graphicData>
            </a:graphic>
          </wp:inline>
        </w:drawing>
      </w:r>
      <w:r>
        <w:rPr>
          <w:rFonts w:ascii="Arial" w:cs="Arial" w:eastAsia="Arial" w:hAnsi="Arial"/>
          <w:sz w:val="20"/>
          <w:szCs w:val="20"/>
          <w:i w:val="1"/>
          <w:iCs w:val="1"/>
          <w:color w:val="3E3935"/>
        </w:rPr>
        <w:t xml:space="preserve"> Represents ESG Results</w:t>
      </w:r>
    </w:p>
    <w:p>
      <w:pPr>
        <w:sectPr>
          <w:pgSz w:w="11900" w:h="16838" w:orient="portrait"/>
          <w:cols w:equalWidth="0" w:num="1">
            <w:col w:w="11140"/>
          </w:cols>
          <w:pgMar w:left="320" w:top="482" w:right="439" w:bottom="133" w:gutter="0" w:footer="0" w:header="0"/>
          <w:type w:val="continuous"/>
        </w:sectPr>
      </w:pPr>
    </w:p>
    <w:p>
      <w:pPr>
        <w:spacing w:after="0" w:line="295" w:lineRule="exact"/>
        <w:rPr>
          <w:sz w:val="20"/>
          <w:szCs w:val="20"/>
          <w:color w:val="auto"/>
        </w:rPr>
      </w:pPr>
    </w:p>
    <w:p>
      <w:pPr>
        <w:ind w:left="10660"/>
        <w:spacing w:after="0"/>
        <w:rPr>
          <w:sz w:val="20"/>
          <w:szCs w:val="20"/>
          <w:color w:val="auto"/>
        </w:rPr>
      </w:pPr>
      <w:r>
        <w:rPr>
          <w:rFonts w:ascii="Arial" w:cs="Arial" w:eastAsia="Arial" w:hAnsi="Arial"/>
          <w:sz w:val="14"/>
          <w:szCs w:val="14"/>
          <w:color w:val="0071CE"/>
        </w:rPr>
        <w:t>65</w:t>
      </w:r>
    </w:p>
    <w:p>
      <w:pPr>
        <w:sectPr>
          <w:pgSz w:w="11900" w:h="16838" w:orient="portrait"/>
          <w:cols w:equalWidth="0" w:num="1">
            <w:col w:w="11140"/>
          </w:cols>
          <w:pgMar w:left="320" w:top="482" w:right="439" w:bottom="133" w:gutter="0" w:footer="0" w:header="0"/>
          <w:type w:val="continuous"/>
        </w:sectPr>
      </w:pPr>
    </w:p>
    <w:bookmarkStart w:id="71" w:name="page72"/>
    <w:bookmarkEnd w:id="7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59" w:lineRule="exact"/>
        <w:rPr>
          <w:sz w:val="20"/>
          <w:szCs w:val="20"/>
          <w:color w:val="auto"/>
        </w:rPr>
      </w:pPr>
    </w:p>
    <w:p>
      <w:pPr>
        <w:ind w:left="560" w:hanging="444"/>
        <w:spacing w:after="0"/>
        <w:tabs>
          <w:tab w:leader="none" w:pos="560" w:val="left"/>
        </w:tabs>
        <w:numPr>
          <w:ilvl w:val="0"/>
          <w:numId w:val="103"/>
        </w:numPr>
        <w:rPr>
          <w:rFonts w:ascii="Times New Roman" w:cs="Times New Roman" w:eastAsia="Times New Roman" w:hAnsi="Times New Roman"/>
          <w:sz w:val="19"/>
          <w:szCs w:val="19"/>
          <w:color w:val="0071CE"/>
        </w:rPr>
      </w:pPr>
      <w:r>
        <w:rPr>
          <w:rFonts w:ascii="Arial" w:cs="Arial" w:eastAsia="Arial" w:hAnsi="Arial"/>
          <w:sz w:val="25"/>
          <w:szCs w:val="25"/>
          <w:color w:val="3E3935"/>
        </w:rPr>
        <w:t>Compensation Decisions for Paul A. Jacobson</w:t>
      </w:r>
    </w:p>
    <w:p>
      <w:pPr>
        <w:spacing w:after="0" w:line="116" w:lineRule="exact"/>
        <w:rPr>
          <w:sz w:val="20"/>
          <w:szCs w:val="20"/>
          <w:color w:val="auto"/>
        </w:rPr>
      </w:pPr>
    </w:p>
    <w:p>
      <w:pPr>
        <w:ind w:left="180"/>
        <w:spacing w:after="0"/>
        <w:rPr>
          <w:sz w:val="20"/>
          <w:szCs w:val="20"/>
          <w:color w:val="auto"/>
        </w:rPr>
      </w:pPr>
      <w:r>
        <w:rPr>
          <w:rFonts w:ascii="Arial" w:cs="Arial" w:eastAsia="Arial" w:hAnsi="Arial"/>
          <w:sz w:val="20"/>
          <w:szCs w:val="20"/>
          <w:b w:val="1"/>
          <w:bCs w:val="1"/>
          <w:color w:val="3E3935"/>
        </w:rPr>
        <w:t>Executive Vice President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23495</wp:posOffset>
            </wp:positionV>
            <wp:extent cx="4543425" cy="171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4543425" cy="17145"/>
                    </a:xfrm>
                    <a:prstGeom prst="rect">
                      <a:avLst/>
                    </a:prstGeom>
                    <a:noFill/>
                  </pic:spPr>
                </pic:pic>
              </a:graphicData>
            </a:graphic>
          </wp:anchor>
        </w:drawing>
      </w:r>
    </w:p>
    <w:p>
      <w:pPr>
        <w:spacing w:after="0" w:line="111" w:lineRule="exact"/>
        <w:rPr>
          <w:sz w:val="20"/>
          <w:szCs w:val="20"/>
          <w:color w:val="auto"/>
        </w:rPr>
      </w:pPr>
    </w:p>
    <w:p>
      <w:pPr>
        <w:jc w:val="both"/>
        <w:ind w:left="120"/>
        <w:spacing w:after="0" w:line="275" w:lineRule="auto"/>
        <w:rPr>
          <w:sz w:val="20"/>
          <w:szCs w:val="20"/>
          <w:color w:val="auto"/>
        </w:rPr>
      </w:pPr>
      <w:r>
        <w:rPr>
          <w:rFonts w:ascii="Arial" w:cs="Arial" w:eastAsia="Arial" w:hAnsi="Arial"/>
          <w:sz w:val="16"/>
          <w:szCs w:val="16"/>
          <w:color w:val="3E3935"/>
        </w:rPr>
        <w:t>The Compensation Committee made the following pay decisions based on performance, competitive market data, and feedback from its independent compensation consultant and management:</w:t>
      </w:r>
    </w:p>
    <w:p>
      <w:pPr>
        <w:spacing w:after="0" w:line="253"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0071CE"/>
        </w:rPr>
        <w:t xml:space="preserve">Base Salary </w:t>
      </w:r>
      <w:r>
        <w:rPr>
          <w:rFonts w:ascii="Arial" w:cs="Arial" w:eastAsia="Arial" w:hAnsi="Arial"/>
          <w:sz w:val="16"/>
          <w:szCs w:val="16"/>
          <w:color w:val="3E3935"/>
        </w:rPr>
        <w:t>– Held base salary at $1,000,000.</w:t>
      </w:r>
    </w:p>
    <w:p>
      <w:pPr>
        <w:spacing w:after="0" w:line="113" w:lineRule="exact"/>
        <w:rPr>
          <w:sz w:val="20"/>
          <w:szCs w:val="20"/>
          <w:color w:val="auto"/>
        </w:rPr>
      </w:pPr>
    </w:p>
    <w:p>
      <w:pPr>
        <w:jc w:val="both"/>
        <w:ind w:left="120"/>
        <w:spacing w:after="0" w:line="257" w:lineRule="auto"/>
        <w:rPr>
          <w:sz w:val="20"/>
          <w:szCs w:val="20"/>
          <w:color w:val="auto"/>
        </w:rPr>
      </w:pPr>
      <w:r>
        <w:rPr>
          <w:rFonts w:ascii="Arial" w:cs="Arial" w:eastAsia="Arial" w:hAnsi="Arial"/>
          <w:sz w:val="16"/>
          <w:szCs w:val="16"/>
          <w:b w:val="1"/>
          <w:bCs w:val="1"/>
          <w:color w:val="0071CE"/>
        </w:rPr>
        <w:t xml:space="preserve">Short-Term Incentive </w:t>
      </w:r>
      <w:r>
        <w:rPr>
          <w:rFonts w:ascii="Arial" w:cs="Arial" w:eastAsia="Arial" w:hAnsi="Arial"/>
          <w:sz w:val="16"/>
          <w:szCs w:val="16"/>
          <w:color w:val="3E3935"/>
        </w:rPr>
        <w:t>– Awarded 30 points out of a 25-point target and 50-point maximum for the</w:t>
      </w:r>
      <w:r>
        <w:rPr>
          <w:rFonts w:ascii="Arial" w:cs="Arial" w:eastAsia="Arial" w:hAnsi="Arial"/>
          <w:sz w:val="16"/>
          <w:szCs w:val="16"/>
          <w:b w:val="1"/>
          <w:bCs w:val="1"/>
          <w:color w:val="0071CE"/>
        </w:rPr>
        <w:t xml:space="preserve"> </w:t>
      </w:r>
      <w:r>
        <w:rPr>
          <w:rFonts w:ascii="Arial" w:cs="Arial" w:eastAsia="Arial" w:hAnsi="Arial"/>
          <w:sz w:val="16"/>
          <w:szCs w:val="16"/>
          <w:color w:val="3E3935"/>
        </w:rPr>
        <w:t>strategic goals portion for the 2022 STIP performance year. In determining the number of points earned, the Compensation Committee considered these results for Mr. Jacobson:</w:t>
      </w:r>
    </w:p>
    <w:p>
      <w:pPr>
        <w:spacing w:after="0" w:line="97" w:lineRule="exact"/>
        <w:rPr>
          <w:sz w:val="20"/>
          <w:szCs w:val="20"/>
          <w:color w:val="auto"/>
        </w:rPr>
      </w:pPr>
    </w:p>
    <w:p>
      <w:pPr>
        <w:jc w:val="both"/>
        <w:ind w:left="360" w:right="20" w:hanging="244"/>
        <w:spacing w:after="0" w:line="184" w:lineRule="auto"/>
        <w:tabs>
          <w:tab w:leader="none" w:pos="360" w:val="left"/>
        </w:tabs>
        <w:numPr>
          <w:ilvl w:val="0"/>
          <w:numId w:val="104"/>
        </w:numPr>
        <w:rPr>
          <w:rFonts w:ascii="Arial" w:cs="Arial" w:eastAsia="Arial" w:hAnsi="Arial"/>
          <w:sz w:val="36"/>
          <w:szCs w:val="36"/>
          <w:color w:val="0071CE"/>
          <w:vertAlign w:val="subscript"/>
        </w:rPr>
      </w:pPr>
      <w:r>
        <w:rPr>
          <w:rFonts w:ascii="Arial" w:cs="Arial" w:eastAsia="Arial" w:hAnsi="Arial"/>
          <w:sz w:val="15"/>
          <w:szCs w:val="15"/>
          <w:color w:val="3E3935"/>
        </w:rPr>
        <w:t>Generated record revenue of $156.7 billion, strong net income attributable to stockholders of $9.9 billion, and record EBIT-adjusted of $14.5 billion, driven by the team overcoming numerous challenges in 2022 and offsetting more than $5 billion of commodity and logistics headwinds;</w:t>
      </w:r>
    </w:p>
    <w:p>
      <w:pPr>
        <w:spacing w:after="0" w:line="1" w:lineRule="exact"/>
        <w:rPr>
          <w:rFonts w:ascii="Arial" w:cs="Arial" w:eastAsia="Arial" w:hAnsi="Arial"/>
          <w:sz w:val="36"/>
          <w:szCs w:val="36"/>
          <w:color w:val="0071CE"/>
          <w:vertAlign w:val="subscript"/>
        </w:rPr>
      </w:pPr>
    </w:p>
    <w:p>
      <w:pPr>
        <w:ind w:left="360" w:right="20" w:hanging="244"/>
        <w:spacing w:after="0" w:line="219" w:lineRule="auto"/>
        <w:tabs>
          <w:tab w:leader="none" w:pos="360" w:val="left"/>
        </w:tabs>
        <w:numPr>
          <w:ilvl w:val="0"/>
          <w:numId w:val="104"/>
        </w:numPr>
        <w:rPr>
          <w:rFonts w:ascii="Arial" w:cs="Arial" w:eastAsia="Arial" w:hAnsi="Arial"/>
          <w:sz w:val="36"/>
          <w:szCs w:val="36"/>
          <w:color w:val="0071CE"/>
          <w:vertAlign w:val="subscript"/>
        </w:rPr>
      </w:pPr>
      <w:r>
        <w:rPr>
          <w:rFonts w:ascii="Arial" w:cs="Arial" w:eastAsia="Arial" w:hAnsi="Arial"/>
          <w:sz w:val="15"/>
          <w:szCs w:val="15"/>
          <w:color w:val="3E3935"/>
        </w:rPr>
        <w:t>Drove exceptional cash flow while internally funding $9.8 billion of investment into the Company; and</w:t>
      </w:r>
    </w:p>
    <w:p>
      <w:pPr>
        <w:ind w:left="360" w:right="20" w:hanging="244"/>
        <w:spacing w:after="0" w:line="183" w:lineRule="auto"/>
        <w:tabs>
          <w:tab w:leader="none" w:pos="360" w:val="left"/>
        </w:tabs>
        <w:numPr>
          <w:ilvl w:val="0"/>
          <w:numId w:val="104"/>
        </w:numPr>
        <w:rPr>
          <w:rFonts w:ascii="Arial" w:cs="Arial" w:eastAsia="Arial" w:hAnsi="Arial"/>
          <w:sz w:val="30"/>
          <w:szCs w:val="30"/>
          <w:color w:val="0071CE"/>
          <w:vertAlign w:val="subscript"/>
        </w:rPr>
      </w:pPr>
      <w:r>
        <w:rPr>
          <w:rFonts w:ascii="Arial" w:cs="Arial" w:eastAsia="Arial" w:hAnsi="Arial"/>
          <w:sz w:val="14"/>
          <w:szCs w:val="14"/>
          <w:color w:val="3E3935"/>
        </w:rPr>
        <w:t>Achieved GM Financial EBT-adjusted of $4.1 billion and $1.7 billion in dividends paid back to GM, as well as other highlights below.</w:t>
      </w:r>
    </w:p>
    <w:p>
      <w:pPr>
        <w:spacing w:after="0" w:line="143" w:lineRule="exact"/>
        <w:rPr>
          <w:rFonts w:ascii="Arial" w:cs="Arial" w:eastAsia="Arial" w:hAnsi="Arial"/>
          <w:sz w:val="30"/>
          <w:szCs w:val="30"/>
          <w:color w:val="0071CE"/>
          <w:vertAlign w:val="subscript"/>
        </w:rPr>
      </w:pPr>
    </w:p>
    <w:p>
      <w:pPr>
        <w:ind w:left="340"/>
        <w:spacing w:after="0"/>
        <w:rPr>
          <w:rFonts w:ascii="Arial" w:cs="Arial" w:eastAsia="Arial" w:hAnsi="Arial"/>
          <w:sz w:val="30"/>
          <w:szCs w:val="30"/>
          <w:color w:val="0071CE"/>
          <w:vertAlign w:val="subscript"/>
        </w:rPr>
      </w:pPr>
      <w:r>
        <w:rPr>
          <w:rFonts w:ascii="Arial" w:cs="Arial" w:eastAsia="Arial" w:hAnsi="Arial"/>
          <w:sz w:val="14"/>
          <w:szCs w:val="14"/>
          <w:b w:val="1"/>
          <w:bCs w:val="1"/>
          <w:color w:val="3E3935"/>
        </w:rPr>
        <w:t>Our People</w:t>
      </w:r>
    </w:p>
    <w:p>
      <w:pPr>
        <w:spacing w:after="0" w:line="35" w:lineRule="exact"/>
        <w:rPr>
          <w:rFonts w:ascii="Arial" w:cs="Arial" w:eastAsia="Arial" w:hAnsi="Arial"/>
          <w:sz w:val="30"/>
          <w:szCs w:val="30"/>
          <w:color w:val="0071CE"/>
          <w:vertAlign w:val="subscript"/>
        </w:rPr>
      </w:pPr>
    </w:p>
    <w:p>
      <w:pPr>
        <w:ind w:left="560" w:right="220" w:hanging="216"/>
        <w:spacing w:after="0" w:line="236" w:lineRule="auto"/>
        <w:rPr>
          <w:rFonts w:ascii="Arial" w:cs="Arial" w:eastAsia="Arial" w:hAnsi="Arial"/>
          <w:sz w:val="30"/>
          <w:szCs w:val="30"/>
          <w:color w:val="0071CE"/>
          <w:vertAlign w:val="subscript"/>
        </w:rPr>
      </w:pPr>
      <w:r>
        <w:rPr>
          <w:rFonts w:ascii="Arial" w:cs="Arial" w:eastAsia="Arial" w:hAnsi="Arial"/>
          <w:sz w:val="20"/>
          <w:szCs w:val="20"/>
          <w:color w:val="00C1DE"/>
        </w:rPr>
        <w:t>•</w:t>
      </w:r>
      <w:r>
        <w:rPr>
          <w:rFonts w:ascii="Arial" w:cs="Arial" w:eastAsia="Arial" w:hAnsi="Arial"/>
          <w:sz w:val="14"/>
          <w:szCs w:val="14"/>
          <w:color w:val="3E3935"/>
        </w:rPr>
        <w:t xml:space="preserve">   Continued to prioritize our safety culture resulting in reductions in permanently disabling injuries and</w:t>
      </w:r>
      <w:r>
        <w:rPr>
          <w:rFonts w:ascii="Arial" w:cs="Arial" w:eastAsia="Arial" w:hAnsi="Arial"/>
          <w:sz w:val="20"/>
          <w:szCs w:val="20"/>
          <w:color w:val="00C1DE"/>
        </w:rPr>
        <w:t xml:space="preserve"> </w:t>
      </w:r>
      <w:r>
        <w:rPr>
          <w:rFonts w:ascii="Arial" w:cs="Arial" w:eastAsia="Arial" w:hAnsi="Arial"/>
          <w:sz w:val="14"/>
          <w:szCs w:val="14"/>
          <w:color w:val="3E3935"/>
        </w:rPr>
        <w:t xml:space="preserve">lost workdays </w:t>
      </w:r>
      <w:r>
        <w:rPr>
          <w:rFonts w:ascii="Arial" w:cs="Arial" w:eastAsia="Arial" w:hAnsi="Arial"/>
          <w:sz w:val="1"/>
          <w:szCs w:val="1"/>
          <w:color w:val="0071CE"/>
          <w:vertAlign w:val="subscript"/>
        </w:rPr>
        <w:drawing>
          <wp:inline distT="0" distB="0" distL="0" distR="0">
            <wp:extent cx="76835" cy="77470"/>
            <wp:effectExtent l="0" t="0" r="0" b="0"/>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6835" cy="77470"/>
                    </a:xfrm>
                    <a:prstGeom prst="rect">
                      <a:avLst/>
                    </a:prstGeom>
                    <a:noFill/>
                    <a:ln>
                      <a:noFill/>
                    </a:ln>
                  </pic:spPr>
                </pic:pic>
              </a:graphicData>
            </a:graphic>
          </wp:inline>
        </w:drawing>
      </w:r>
    </w:p>
    <w:p>
      <w:pPr>
        <w:spacing w:after="0" w:line="1" w:lineRule="exact"/>
        <w:rPr>
          <w:rFonts w:ascii="Arial" w:cs="Arial" w:eastAsia="Arial" w:hAnsi="Arial"/>
          <w:sz w:val="30"/>
          <w:szCs w:val="30"/>
          <w:color w:val="0071CE"/>
          <w:vertAlign w:val="subscript"/>
        </w:rPr>
      </w:pPr>
    </w:p>
    <w:p>
      <w:pPr>
        <w:ind w:left="560" w:right="220" w:hanging="216"/>
        <w:spacing w:after="0" w:line="211" w:lineRule="auto"/>
        <w:rPr>
          <w:rFonts w:ascii="Arial" w:cs="Arial" w:eastAsia="Arial" w:hAnsi="Arial"/>
          <w:sz w:val="30"/>
          <w:szCs w:val="30"/>
          <w:color w:val="0071CE"/>
          <w:vertAlign w:val="subscript"/>
        </w:rPr>
      </w:pPr>
      <w:r>
        <w:rPr>
          <w:rFonts w:ascii="Arial" w:cs="Arial" w:eastAsia="Arial" w:hAnsi="Arial"/>
          <w:sz w:val="20"/>
          <w:szCs w:val="20"/>
          <w:color w:val="00C1DE"/>
        </w:rPr>
        <w:t>•</w:t>
      </w:r>
      <w:r>
        <w:rPr>
          <w:rFonts w:ascii="Arial" w:cs="Arial" w:eastAsia="Arial" w:hAnsi="Arial"/>
          <w:sz w:val="14"/>
          <w:szCs w:val="14"/>
          <w:color w:val="3E3935"/>
        </w:rPr>
        <w:t xml:space="preserve">   Served as executive champion of GM’s African Ancestry Network employee resource group which has</w:t>
      </w:r>
      <w:r>
        <w:rPr>
          <w:rFonts w:ascii="Arial" w:cs="Arial" w:eastAsia="Arial" w:hAnsi="Arial"/>
          <w:sz w:val="20"/>
          <w:szCs w:val="20"/>
          <w:color w:val="00C1DE"/>
        </w:rPr>
        <w:t xml:space="preserve"> </w:t>
      </w:r>
      <w:r>
        <w:rPr>
          <w:rFonts w:ascii="Arial" w:cs="Arial" w:eastAsia="Arial" w:hAnsi="Arial"/>
          <w:sz w:val="14"/>
          <w:szCs w:val="14"/>
          <w:color w:val="3E3935"/>
        </w:rPr>
        <w:t xml:space="preserve">chapters across the globe </w:t>
      </w:r>
      <w:r>
        <w:rPr>
          <w:rFonts w:ascii="Arial" w:cs="Arial" w:eastAsia="Arial" w:hAnsi="Arial"/>
          <w:sz w:val="1"/>
          <w:szCs w:val="1"/>
          <w:color w:val="0071CE"/>
          <w:vertAlign w:val="subscript"/>
        </w:rPr>
        <w:drawing>
          <wp:inline distT="0" distB="0" distL="0" distR="0">
            <wp:extent cx="77470" cy="77470"/>
            <wp:effectExtent l="0" t="0" r="0" b="0"/>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7470" cy="77470"/>
                    </a:xfrm>
                    <a:prstGeom prst="rect">
                      <a:avLst/>
                    </a:prstGeom>
                    <a:noFill/>
                    <a:ln>
                      <a:noFill/>
                    </a:ln>
                  </pic:spPr>
                </pic:pic>
              </a:graphicData>
            </a:graphic>
          </wp:inline>
        </w:drawing>
      </w:r>
    </w:p>
    <w:p>
      <w:pPr>
        <w:spacing w:after="0" w:line="39" w:lineRule="exact"/>
        <w:rPr>
          <w:rFonts w:ascii="Arial" w:cs="Arial" w:eastAsia="Arial" w:hAnsi="Arial"/>
          <w:sz w:val="30"/>
          <w:szCs w:val="30"/>
          <w:color w:val="0071CE"/>
          <w:vertAlign w:val="subscript"/>
        </w:rPr>
      </w:pPr>
    </w:p>
    <w:p>
      <w:pPr>
        <w:ind w:left="340"/>
        <w:spacing w:after="0"/>
        <w:rPr>
          <w:rFonts w:ascii="Arial" w:cs="Arial" w:eastAsia="Arial" w:hAnsi="Arial"/>
          <w:sz w:val="30"/>
          <w:szCs w:val="30"/>
          <w:color w:val="0071CE"/>
          <w:vertAlign w:val="subscript"/>
        </w:rPr>
      </w:pPr>
      <w:r>
        <w:rPr>
          <w:rFonts w:ascii="Arial" w:cs="Arial" w:eastAsia="Arial" w:hAnsi="Arial"/>
          <w:sz w:val="14"/>
          <w:szCs w:val="14"/>
          <w:b w:val="1"/>
          <w:bCs w:val="1"/>
          <w:color w:val="3E3935"/>
        </w:rPr>
        <w:t>Products, Software, and Services</w:t>
      </w:r>
    </w:p>
    <w:p>
      <w:pPr>
        <w:spacing w:after="0" w:line="35" w:lineRule="exact"/>
        <w:rPr>
          <w:rFonts w:ascii="Arial" w:cs="Arial" w:eastAsia="Arial" w:hAnsi="Arial"/>
          <w:sz w:val="30"/>
          <w:szCs w:val="30"/>
          <w:color w:val="0071CE"/>
          <w:vertAlign w:val="subscript"/>
        </w:rPr>
      </w:pPr>
    </w:p>
    <w:p>
      <w:pPr>
        <w:ind w:left="560" w:right="220" w:hanging="216"/>
        <w:spacing w:after="0" w:line="201" w:lineRule="auto"/>
        <w:rPr>
          <w:rFonts w:ascii="Arial" w:cs="Arial" w:eastAsia="Arial" w:hAnsi="Arial"/>
          <w:sz w:val="30"/>
          <w:szCs w:val="30"/>
          <w:color w:val="0071CE"/>
          <w:vertAlign w:val="subscript"/>
        </w:rPr>
      </w:pPr>
      <w:r>
        <w:rPr>
          <w:rFonts w:ascii="Arial" w:cs="Arial" w:eastAsia="Arial" w:hAnsi="Arial"/>
          <w:sz w:val="20"/>
          <w:szCs w:val="20"/>
          <w:color w:val="00C1DE"/>
        </w:rPr>
        <w:t>•</w:t>
      </w:r>
      <w:r>
        <w:rPr>
          <w:rFonts w:ascii="Arial" w:cs="Arial" w:eastAsia="Arial" w:hAnsi="Arial"/>
          <w:sz w:val="14"/>
          <w:szCs w:val="14"/>
          <w:color w:val="3E3935"/>
        </w:rPr>
        <w:t xml:space="preserve">   Provided investors with a new set of Key Performance Indicators for the 2023-2025 timeframe to track</w:t>
      </w:r>
      <w:r>
        <w:rPr>
          <w:rFonts w:ascii="Arial" w:cs="Arial" w:eastAsia="Arial" w:hAnsi="Arial"/>
          <w:sz w:val="20"/>
          <w:szCs w:val="20"/>
          <w:color w:val="00C1DE"/>
        </w:rPr>
        <w:t xml:space="preserve"> </w:t>
      </w:r>
      <w:r>
        <w:rPr>
          <w:rFonts w:ascii="Arial" w:cs="Arial" w:eastAsia="Arial" w:hAnsi="Arial"/>
          <w:sz w:val="14"/>
          <w:szCs w:val="14"/>
          <w:color w:val="3E3935"/>
        </w:rPr>
        <w:t xml:space="preserve">Company progress on key priorities such as targets for EV growth and profitability </w:t>
      </w:r>
      <w:r>
        <w:rPr>
          <w:rFonts w:ascii="Arial" w:cs="Arial" w:eastAsia="Arial" w:hAnsi="Arial"/>
          <w:sz w:val="1"/>
          <w:szCs w:val="1"/>
          <w:color w:val="0071CE"/>
          <w:vertAlign w:val="subscript"/>
        </w:rPr>
        <w:drawing>
          <wp:inline distT="0" distB="0" distL="0" distR="0">
            <wp:extent cx="76835" cy="77470"/>
            <wp:effectExtent l="0" t="0" r="0" b="0"/>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6835" cy="77470"/>
                    </a:xfrm>
                    <a:prstGeom prst="rect">
                      <a:avLst/>
                    </a:prstGeom>
                    <a:noFill/>
                    <a:ln>
                      <a:noFill/>
                    </a:ln>
                  </pic:spPr>
                </pic:pic>
              </a:graphicData>
            </a:graphic>
          </wp:inline>
        </w:drawing>
      </w:r>
    </w:p>
    <w:p>
      <w:pPr>
        <w:ind w:left="560" w:right="220" w:hanging="216"/>
        <w:spacing w:after="0" w:line="204" w:lineRule="auto"/>
        <w:rPr>
          <w:rFonts w:ascii="Arial" w:cs="Arial" w:eastAsia="Arial" w:hAnsi="Arial"/>
          <w:sz w:val="30"/>
          <w:szCs w:val="30"/>
          <w:color w:val="0071CE"/>
          <w:vertAlign w:val="subscript"/>
        </w:rPr>
      </w:pPr>
      <w:r>
        <w:rPr>
          <w:rFonts w:ascii="Arial" w:cs="Arial" w:eastAsia="Arial" w:hAnsi="Arial"/>
          <w:sz w:val="20"/>
          <w:szCs w:val="20"/>
          <w:color w:val="00C1DE"/>
        </w:rPr>
        <w:t>•</w:t>
      </w:r>
      <w:r>
        <w:rPr>
          <w:rFonts w:ascii="Arial" w:cs="Arial" w:eastAsia="Arial" w:hAnsi="Arial"/>
          <w:sz w:val="14"/>
          <w:szCs w:val="14"/>
          <w:color w:val="3E3935"/>
        </w:rPr>
        <w:t xml:space="preserve">   Attracted the biggest companies in package delivery through BrightDrop business, including Walmart,</w:t>
      </w:r>
      <w:r>
        <w:rPr>
          <w:rFonts w:ascii="Arial" w:cs="Arial" w:eastAsia="Arial" w:hAnsi="Arial"/>
          <w:sz w:val="20"/>
          <w:szCs w:val="20"/>
          <w:color w:val="00C1DE"/>
        </w:rPr>
        <w:t xml:space="preserve"> </w:t>
      </w:r>
      <w:r>
        <w:rPr>
          <w:rFonts w:ascii="Arial" w:cs="Arial" w:eastAsia="Arial" w:hAnsi="Arial"/>
          <w:sz w:val="14"/>
          <w:szCs w:val="14"/>
          <w:color w:val="3E3935"/>
        </w:rPr>
        <w:t>Hertz, Verizon, and FedEx; BrightDrop is on track to reach $1 billion in revenue in 2023</w:t>
      </w:r>
    </w:p>
    <w:p>
      <w:pPr>
        <w:spacing w:after="0" w:line="39" w:lineRule="exact"/>
        <w:rPr>
          <w:rFonts w:ascii="Arial" w:cs="Arial" w:eastAsia="Arial" w:hAnsi="Arial"/>
          <w:sz w:val="30"/>
          <w:szCs w:val="30"/>
          <w:color w:val="0071CE"/>
          <w:vertAlign w:val="subscript"/>
        </w:rPr>
      </w:pPr>
    </w:p>
    <w:p>
      <w:pPr>
        <w:ind w:left="340"/>
        <w:spacing w:after="0"/>
        <w:rPr>
          <w:rFonts w:ascii="Arial" w:cs="Arial" w:eastAsia="Arial" w:hAnsi="Arial"/>
          <w:sz w:val="30"/>
          <w:szCs w:val="30"/>
          <w:color w:val="0071CE"/>
          <w:vertAlign w:val="subscript"/>
        </w:rPr>
      </w:pPr>
      <w:r>
        <w:rPr>
          <w:rFonts w:ascii="Arial" w:cs="Arial" w:eastAsia="Arial" w:hAnsi="Arial"/>
          <w:sz w:val="14"/>
          <w:szCs w:val="14"/>
          <w:b w:val="1"/>
          <w:bCs w:val="1"/>
          <w:color w:val="3E3935"/>
        </w:rPr>
        <w:t>Citizenship</w:t>
      </w:r>
    </w:p>
    <w:p>
      <w:pPr>
        <w:spacing w:after="0" w:line="35" w:lineRule="exact"/>
        <w:rPr>
          <w:rFonts w:ascii="Arial" w:cs="Arial" w:eastAsia="Arial" w:hAnsi="Arial"/>
          <w:sz w:val="30"/>
          <w:szCs w:val="30"/>
          <w:color w:val="0071CE"/>
          <w:vertAlign w:val="subscript"/>
        </w:rPr>
      </w:pPr>
    </w:p>
    <w:p>
      <w:pPr>
        <w:ind w:left="560" w:right="220" w:hanging="216"/>
        <w:spacing w:after="0" w:line="211" w:lineRule="auto"/>
        <w:rPr>
          <w:rFonts w:ascii="Arial" w:cs="Arial" w:eastAsia="Arial" w:hAnsi="Arial"/>
          <w:sz w:val="30"/>
          <w:szCs w:val="30"/>
          <w:color w:val="0071CE"/>
          <w:vertAlign w:val="subscript"/>
        </w:rPr>
      </w:pPr>
      <w:r>
        <w:rPr>
          <w:rFonts w:ascii="Arial" w:cs="Arial" w:eastAsia="Arial" w:hAnsi="Arial"/>
          <w:sz w:val="20"/>
          <w:szCs w:val="20"/>
          <w:color w:val="00C1DE"/>
        </w:rPr>
        <w:t>•</w:t>
      </w:r>
      <w:r>
        <w:rPr>
          <w:rFonts w:ascii="Arial" w:cs="Arial" w:eastAsia="Arial" w:hAnsi="Arial"/>
          <w:sz w:val="14"/>
          <w:szCs w:val="14"/>
          <w:color w:val="3E3935"/>
        </w:rPr>
        <w:t xml:space="preserve">   Led the Company’s first Green Bond offering of $2.25 billion in investment-grade Green Bonds – the</w:t>
      </w:r>
      <w:r>
        <w:rPr>
          <w:rFonts w:ascii="Arial" w:cs="Arial" w:eastAsia="Arial" w:hAnsi="Arial"/>
          <w:sz w:val="20"/>
          <w:szCs w:val="20"/>
          <w:color w:val="00C1DE"/>
        </w:rPr>
        <w:t xml:space="preserve"> </w:t>
      </w:r>
      <w:r>
        <w:rPr>
          <w:rFonts w:ascii="Arial" w:cs="Arial" w:eastAsia="Arial" w:hAnsi="Arial"/>
          <w:sz w:val="14"/>
          <w:szCs w:val="14"/>
          <w:color w:val="3E3935"/>
        </w:rPr>
        <w:t xml:space="preserve">second-largest green deal offering from a corporation outside the financial industry – aligning GM’s balance sheet with its ESG strategy </w:t>
      </w:r>
      <w:r>
        <w:rPr>
          <w:rFonts w:ascii="Arial" w:cs="Arial" w:eastAsia="Arial" w:hAnsi="Arial"/>
          <w:sz w:val="1"/>
          <w:szCs w:val="1"/>
          <w:color w:val="0071CE"/>
          <w:vertAlign w:val="subscript"/>
        </w:rPr>
        <w:drawing>
          <wp:inline distT="0" distB="0" distL="0" distR="0">
            <wp:extent cx="76835" cy="77470"/>
            <wp:effectExtent l="0" t="0" r="0" b="0"/>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6835" cy="77470"/>
                    </a:xfrm>
                    <a:prstGeom prst="rect">
                      <a:avLst/>
                    </a:prstGeom>
                    <a:noFill/>
                    <a:ln>
                      <a:noFill/>
                    </a:ln>
                  </pic:spPr>
                </pic:pic>
              </a:graphicData>
            </a:graphic>
          </wp:inline>
        </w:drawing>
      </w:r>
    </w:p>
    <w:p>
      <w:pPr>
        <w:spacing w:after="0" w:line="1" w:lineRule="exact"/>
        <w:rPr>
          <w:rFonts w:ascii="Arial" w:cs="Arial" w:eastAsia="Arial" w:hAnsi="Arial"/>
          <w:sz w:val="30"/>
          <w:szCs w:val="30"/>
          <w:color w:val="0071CE"/>
          <w:vertAlign w:val="subscript"/>
        </w:rPr>
      </w:pPr>
    </w:p>
    <w:p>
      <w:pPr>
        <w:ind w:left="340"/>
        <w:spacing w:after="0"/>
        <w:rPr>
          <w:rFonts w:ascii="Arial" w:cs="Arial" w:eastAsia="Arial" w:hAnsi="Arial"/>
          <w:sz w:val="30"/>
          <w:szCs w:val="30"/>
          <w:color w:val="0071CE"/>
          <w:vertAlign w:val="subscript"/>
        </w:rPr>
      </w:pPr>
      <w:r>
        <w:rPr>
          <w:rFonts w:ascii="Arial" w:cs="Arial" w:eastAsia="Arial" w:hAnsi="Arial"/>
          <w:sz w:val="20"/>
          <w:szCs w:val="20"/>
          <w:color w:val="00C1DE"/>
        </w:rPr>
        <w:t>•</w:t>
      </w:r>
      <w:r>
        <w:rPr>
          <w:rFonts w:ascii="Arial" w:cs="Arial" w:eastAsia="Arial" w:hAnsi="Arial"/>
          <w:sz w:val="14"/>
          <w:szCs w:val="14"/>
          <w:color w:val="3E3935"/>
        </w:rPr>
        <w:t xml:space="preserve">   Recognized in the S&amp;P’s Sustainability Yearbook under a Gold Class Distinction </w:t>
      </w:r>
      <w:r>
        <w:rPr>
          <w:rFonts w:ascii="Arial" w:cs="Arial" w:eastAsia="Arial" w:hAnsi="Arial"/>
          <w:sz w:val="1"/>
          <w:szCs w:val="1"/>
          <w:color w:val="0071CE"/>
          <w:vertAlign w:val="subscript"/>
        </w:rPr>
        <w:drawing>
          <wp:inline distT="0" distB="0" distL="0" distR="0">
            <wp:extent cx="76835" cy="76835"/>
            <wp:effectExtent l="0" t="0" r="0" b="0"/>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6835" cy="76835"/>
                    </a:xfrm>
                    <a:prstGeom prst="rect">
                      <a:avLst/>
                    </a:prstGeom>
                    <a:noFill/>
                    <a:ln>
                      <a:noFill/>
                    </a:ln>
                  </pic:spPr>
                </pic:pic>
              </a:graphicData>
            </a:graphic>
          </wp:inline>
        </w:drawing>
      </w:r>
    </w:p>
    <w:p>
      <w:pPr>
        <w:spacing w:after="0" w:line="38" w:lineRule="exact"/>
        <w:rPr>
          <w:rFonts w:ascii="Arial" w:cs="Arial" w:eastAsia="Arial" w:hAnsi="Arial"/>
          <w:sz w:val="30"/>
          <w:szCs w:val="30"/>
          <w:color w:val="0071CE"/>
          <w:vertAlign w:val="subscript"/>
        </w:rPr>
      </w:pPr>
    </w:p>
    <w:p>
      <w:pPr>
        <w:ind w:left="340"/>
        <w:spacing w:after="0"/>
        <w:rPr>
          <w:rFonts w:ascii="Arial" w:cs="Arial" w:eastAsia="Arial" w:hAnsi="Arial"/>
          <w:sz w:val="30"/>
          <w:szCs w:val="30"/>
          <w:color w:val="0071CE"/>
          <w:vertAlign w:val="subscript"/>
        </w:rPr>
      </w:pPr>
      <w:r>
        <w:rPr>
          <w:rFonts w:ascii="Arial" w:cs="Arial" w:eastAsia="Arial" w:hAnsi="Arial"/>
          <w:sz w:val="14"/>
          <w:szCs w:val="14"/>
          <w:b w:val="1"/>
          <w:bCs w:val="1"/>
          <w:color w:val="3E3935"/>
        </w:rPr>
        <w:t>Enterprise</w:t>
      </w:r>
    </w:p>
    <w:p>
      <w:pPr>
        <w:spacing w:after="0" w:line="35" w:lineRule="exact"/>
        <w:rPr>
          <w:rFonts w:ascii="Arial" w:cs="Arial" w:eastAsia="Arial" w:hAnsi="Arial"/>
          <w:sz w:val="30"/>
          <w:szCs w:val="30"/>
          <w:color w:val="0071CE"/>
          <w:vertAlign w:val="subscript"/>
        </w:rPr>
      </w:pPr>
    </w:p>
    <w:p>
      <w:pPr>
        <w:ind w:left="560" w:right="220" w:hanging="216"/>
        <w:spacing w:after="0" w:line="201" w:lineRule="auto"/>
        <w:rPr>
          <w:rFonts w:ascii="Arial" w:cs="Arial" w:eastAsia="Arial" w:hAnsi="Arial"/>
          <w:sz w:val="30"/>
          <w:szCs w:val="30"/>
          <w:color w:val="0071CE"/>
          <w:vertAlign w:val="subscript"/>
        </w:rPr>
      </w:pPr>
      <w:r>
        <w:rPr>
          <w:rFonts w:ascii="Arial" w:cs="Arial" w:eastAsia="Arial" w:hAnsi="Arial"/>
          <w:sz w:val="20"/>
          <w:szCs w:val="20"/>
          <w:color w:val="00C1DE"/>
        </w:rPr>
        <w:t>•</w:t>
      </w:r>
      <w:r>
        <w:rPr>
          <w:rFonts w:ascii="Arial" w:cs="Arial" w:eastAsia="Arial" w:hAnsi="Arial"/>
          <w:sz w:val="14"/>
          <w:szCs w:val="14"/>
          <w:color w:val="3E3935"/>
        </w:rPr>
        <w:t xml:space="preserve">   Maintained investment-grade balance sheet and returned significant capital to shareholders by</w:t>
      </w:r>
      <w:r>
        <w:rPr>
          <w:rFonts w:ascii="Arial" w:cs="Arial" w:eastAsia="Arial" w:hAnsi="Arial"/>
          <w:sz w:val="20"/>
          <w:szCs w:val="20"/>
          <w:color w:val="00C1DE"/>
        </w:rPr>
        <w:t xml:space="preserve"> </w:t>
      </w:r>
      <w:r>
        <w:rPr>
          <w:rFonts w:ascii="Arial" w:cs="Arial" w:eastAsia="Arial" w:hAnsi="Arial"/>
          <w:sz w:val="14"/>
          <w:szCs w:val="14"/>
          <w:color w:val="3E3935"/>
        </w:rPr>
        <w:t>establishing a quarterly dividend, repurchasing $2.5 billion of stock, and retiring 64 million shares</w:t>
      </w:r>
    </w:p>
    <w:p>
      <w:pPr>
        <w:ind w:left="560" w:right="220" w:hanging="216"/>
        <w:spacing w:after="0"/>
        <w:rPr>
          <w:rFonts w:ascii="Arial" w:cs="Arial" w:eastAsia="Arial" w:hAnsi="Arial"/>
          <w:sz w:val="30"/>
          <w:szCs w:val="30"/>
          <w:color w:val="0071CE"/>
          <w:vertAlign w:val="subscript"/>
        </w:rPr>
      </w:pPr>
      <w:r>
        <w:rPr>
          <w:rFonts w:ascii="Arial" w:cs="Arial" w:eastAsia="Arial" w:hAnsi="Arial"/>
          <w:sz w:val="20"/>
          <w:szCs w:val="20"/>
          <w:color w:val="00C1DE"/>
        </w:rPr>
        <w:t>•</w:t>
      </w:r>
      <w:r>
        <w:rPr>
          <w:rFonts w:ascii="Arial" w:cs="Arial" w:eastAsia="Arial" w:hAnsi="Arial"/>
          <w:sz w:val="14"/>
          <w:szCs w:val="14"/>
          <w:color w:val="3E3935"/>
        </w:rPr>
        <w:t xml:space="preserve">   Established partnership agreements and alliances with companies including Honda, POSCO</w:t>
      </w:r>
      <w:r>
        <w:rPr>
          <w:rFonts w:ascii="Arial" w:cs="Arial" w:eastAsia="Arial" w:hAnsi="Arial"/>
          <w:sz w:val="20"/>
          <w:szCs w:val="20"/>
          <w:color w:val="00C1DE"/>
        </w:rPr>
        <w:t xml:space="preserve"> </w:t>
      </w:r>
      <w:r>
        <w:rPr>
          <w:rFonts w:ascii="Arial" w:cs="Arial" w:eastAsia="Arial" w:hAnsi="Arial"/>
          <w:sz w:val="14"/>
          <w:szCs w:val="14"/>
          <w:color w:val="3E3935"/>
        </w:rPr>
        <w:t xml:space="preserve">Chemical, Pilot Company, and others to advance key Company initiatives in building technical capabilities, enhancing supply chain resiliency, and driving EV adoption </w:t>
      </w:r>
      <w:r>
        <w:rPr>
          <w:rFonts w:ascii="Arial" w:cs="Arial" w:eastAsia="Arial" w:hAnsi="Arial"/>
          <w:sz w:val="1"/>
          <w:szCs w:val="1"/>
          <w:color w:val="0071CE"/>
          <w:vertAlign w:val="subscript"/>
        </w:rPr>
        <w:drawing>
          <wp:inline distT="0" distB="0" distL="0" distR="0">
            <wp:extent cx="77470" cy="76835"/>
            <wp:effectExtent l="0" t="0" r="0" b="0"/>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7470" cy="76835"/>
                    </a:xfrm>
                    <a:prstGeom prst="rect">
                      <a:avLst/>
                    </a:prstGeom>
                    <a:noFill/>
                    <a:ln>
                      <a:noFill/>
                    </a:ln>
                  </pic:spPr>
                </pic:pic>
              </a:graphicData>
            </a:graphic>
          </wp:inline>
        </w:drawing>
      </w:r>
    </w:p>
    <w:p>
      <w:pPr>
        <w:spacing w:after="0" w:line="1" w:lineRule="exact"/>
        <w:rPr>
          <w:rFonts w:ascii="Arial" w:cs="Arial" w:eastAsia="Arial" w:hAnsi="Arial"/>
          <w:sz w:val="30"/>
          <w:szCs w:val="30"/>
          <w:color w:val="0071CE"/>
          <w:vertAlign w:val="subscript"/>
        </w:rPr>
      </w:pPr>
    </w:p>
    <w:p>
      <w:pPr>
        <w:ind w:left="560" w:right="220" w:hanging="216"/>
        <w:spacing w:after="0" w:line="213" w:lineRule="auto"/>
        <w:rPr>
          <w:rFonts w:ascii="Arial" w:cs="Arial" w:eastAsia="Arial" w:hAnsi="Arial"/>
          <w:sz w:val="30"/>
          <w:szCs w:val="30"/>
          <w:color w:val="0071CE"/>
          <w:vertAlign w:val="subscript"/>
        </w:rPr>
      </w:pPr>
      <w:r>
        <w:rPr>
          <w:rFonts w:ascii="Arial" w:cs="Arial" w:eastAsia="Arial" w:hAnsi="Arial"/>
          <w:sz w:val="20"/>
          <w:szCs w:val="20"/>
          <w:color w:val="00C1DE"/>
        </w:rPr>
        <w:t>•</w:t>
      </w:r>
      <w:r>
        <w:rPr>
          <w:rFonts w:ascii="Arial" w:cs="Arial" w:eastAsia="Arial" w:hAnsi="Arial"/>
          <w:sz w:val="14"/>
          <w:szCs w:val="14"/>
          <w:color w:val="3E3935"/>
        </w:rPr>
        <w:t xml:space="preserve">   Supported Ultium Cells Holdings LLC’s successful application of a $2.5 billion loan from the U.S.</w:t>
      </w:r>
      <w:r>
        <w:rPr>
          <w:rFonts w:ascii="Arial" w:cs="Arial" w:eastAsia="Arial" w:hAnsi="Arial"/>
          <w:sz w:val="20"/>
          <w:szCs w:val="20"/>
          <w:color w:val="00C1DE"/>
        </w:rPr>
        <w:t xml:space="preserve"> </w:t>
      </w:r>
      <w:r>
        <w:rPr>
          <w:rFonts w:ascii="Arial" w:cs="Arial" w:eastAsia="Arial" w:hAnsi="Arial"/>
          <w:sz w:val="14"/>
          <w:szCs w:val="14"/>
          <w:color w:val="3E3935"/>
        </w:rPr>
        <w:t xml:space="preserve">Department of Energy to help finance construction of battery cell plants in Ohio, Tennessee, and Michigan </w:t>
      </w:r>
      <w:r>
        <w:rPr>
          <w:rFonts w:ascii="Arial" w:cs="Arial" w:eastAsia="Arial" w:hAnsi="Arial"/>
          <w:sz w:val="1"/>
          <w:szCs w:val="1"/>
          <w:color w:val="0071CE"/>
          <w:vertAlign w:val="subscript"/>
        </w:rPr>
        <w:drawing>
          <wp:inline distT="0" distB="0" distL="0" distR="0">
            <wp:extent cx="76835" cy="77470"/>
            <wp:effectExtent l="0" t="0" r="0" b="0"/>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6835" cy="77470"/>
                    </a:xfrm>
                    <a:prstGeom prst="rect">
                      <a:avLst/>
                    </a:prstGeom>
                    <a:noFill/>
                    <a:ln>
                      <a:noFill/>
                    </a:ln>
                  </pic:spPr>
                </pic:pic>
              </a:graphicData>
            </a:graphic>
          </wp:inline>
        </w:drawing>
      </w:r>
    </w:p>
    <w:p>
      <w:pPr>
        <w:spacing w:after="0" w:line="41" w:lineRule="exact"/>
        <w:rPr>
          <w:rFonts w:ascii="Arial" w:cs="Arial" w:eastAsia="Arial" w:hAnsi="Arial"/>
          <w:sz w:val="30"/>
          <w:szCs w:val="30"/>
          <w:color w:val="0071CE"/>
          <w:vertAlign w:val="subscript"/>
        </w:rPr>
      </w:pPr>
    </w:p>
    <w:p>
      <w:pPr>
        <w:ind w:left="340"/>
        <w:spacing w:after="0"/>
        <w:rPr>
          <w:rFonts w:ascii="Arial" w:cs="Arial" w:eastAsia="Arial" w:hAnsi="Arial"/>
          <w:sz w:val="30"/>
          <w:szCs w:val="30"/>
          <w:color w:val="0071CE"/>
          <w:vertAlign w:val="subscript"/>
        </w:rPr>
      </w:pPr>
      <w:r>
        <w:rPr>
          <w:rFonts w:ascii="Arial" w:cs="Arial" w:eastAsia="Arial" w:hAnsi="Arial"/>
          <w:sz w:val="14"/>
          <w:szCs w:val="14"/>
          <w:b w:val="1"/>
          <w:bCs w:val="1"/>
          <w:color w:val="3E3935"/>
        </w:rPr>
        <w:t>Customer Experience</w:t>
      </w:r>
    </w:p>
    <w:p>
      <w:pPr>
        <w:spacing w:after="0" w:line="35" w:lineRule="exact"/>
        <w:rPr>
          <w:rFonts w:ascii="Arial" w:cs="Arial" w:eastAsia="Arial" w:hAnsi="Arial"/>
          <w:sz w:val="30"/>
          <w:szCs w:val="30"/>
          <w:color w:val="0071CE"/>
          <w:vertAlign w:val="subscript"/>
        </w:rPr>
      </w:pPr>
    </w:p>
    <w:p>
      <w:pPr>
        <w:ind w:left="560" w:right="220" w:hanging="216"/>
        <w:spacing w:after="0" w:line="201" w:lineRule="auto"/>
        <w:rPr>
          <w:rFonts w:ascii="Arial" w:cs="Arial" w:eastAsia="Arial" w:hAnsi="Arial"/>
          <w:sz w:val="30"/>
          <w:szCs w:val="30"/>
          <w:color w:val="0071CE"/>
          <w:vertAlign w:val="subscript"/>
        </w:rPr>
      </w:pPr>
      <w:r>
        <w:rPr>
          <w:rFonts w:ascii="Arial" w:cs="Arial" w:eastAsia="Arial" w:hAnsi="Arial"/>
          <w:sz w:val="20"/>
          <w:szCs w:val="20"/>
          <w:color w:val="00C1DE"/>
        </w:rPr>
        <w:t>•</w:t>
      </w:r>
      <w:r>
        <w:rPr>
          <w:rFonts w:ascii="Arial" w:cs="Arial" w:eastAsia="Arial" w:hAnsi="Arial"/>
          <w:sz w:val="14"/>
          <w:szCs w:val="14"/>
          <w:color w:val="3E3935"/>
        </w:rPr>
        <w:t xml:space="preserve">   Achieved largest number of vehicle models receiving the highest segment ranking in J.D. Power 2022</w:t>
      </w:r>
      <w:r>
        <w:rPr>
          <w:rFonts w:ascii="Arial" w:cs="Arial" w:eastAsia="Arial" w:hAnsi="Arial"/>
          <w:sz w:val="20"/>
          <w:szCs w:val="20"/>
          <w:color w:val="00C1DE"/>
        </w:rPr>
        <w:t xml:space="preserve"> </w:t>
      </w:r>
      <w:r>
        <w:rPr>
          <w:rFonts w:ascii="Arial" w:cs="Arial" w:eastAsia="Arial" w:hAnsi="Arial"/>
          <w:sz w:val="14"/>
          <w:szCs w:val="14"/>
          <w:color w:val="3E3935"/>
        </w:rPr>
        <w:t>U.S. Initial Quality Study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-3423285</wp:posOffset>
            </wp:positionV>
            <wp:extent cx="4543425" cy="34715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4543425" cy="3471545"/>
                    </a:xfrm>
                    <a:prstGeom prst="rect">
                      <a:avLst/>
                    </a:prstGeom>
                    <a:noFill/>
                  </pic:spPr>
                </pic:pic>
              </a:graphicData>
            </a:graphic>
          </wp:anchor>
        </w:drawing>
      </w:r>
    </w:p>
    <w:p>
      <w:pPr>
        <w:spacing w:after="0" w:line="150" w:lineRule="exact"/>
        <w:rPr>
          <w:sz w:val="20"/>
          <w:szCs w:val="20"/>
          <w:color w:val="auto"/>
        </w:rPr>
      </w:pPr>
    </w:p>
    <w:p>
      <w:pPr>
        <w:ind w:left="120" w:right="20"/>
        <w:spacing w:after="0" w:line="286" w:lineRule="auto"/>
        <w:rPr>
          <w:sz w:val="20"/>
          <w:szCs w:val="20"/>
          <w:color w:val="auto"/>
        </w:rPr>
      </w:pPr>
      <w:r>
        <w:rPr>
          <w:rFonts w:ascii="Arial" w:cs="Arial" w:eastAsia="Arial" w:hAnsi="Arial"/>
          <w:sz w:val="16"/>
          <w:szCs w:val="16"/>
          <w:b w:val="1"/>
          <w:bCs w:val="1"/>
          <w:color w:val="0071CE"/>
        </w:rPr>
        <w:t xml:space="preserve">Long-Term Incentive </w:t>
      </w:r>
      <w:r>
        <w:rPr>
          <w:rFonts w:ascii="Arial" w:cs="Arial" w:eastAsia="Arial" w:hAnsi="Arial"/>
          <w:sz w:val="16"/>
          <w:szCs w:val="16"/>
          <w:color w:val="3E3935"/>
        </w:rPr>
        <w:t>– In February 2022, awarded an annual LTIP grant of $7.15 million,</w:t>
      </w:r>
      <w:r>
        <w:rPr>
          <w:rFonts w:ascii="Arial" w:cs="Arial" w:eastAsia="Arial" w:hAnsi="Arial"/>
          <w:sz w:val="16"/>
          <w:szCs w:val="16"/>
          <w:b w:val="1"/>
          <w:bCs w:val="1"/>
          <w:color w:val="0071CE"/>
        </w:rPr>
        <w:t xml:space="preserve"> </w:t>
      </w:r>
      <w:r>
        <w:rPr>
          <w:rFonts w:ascii="Arial" w:cs="Arial" w:eastAsia="Arial" w:hAnsi="Arial"/>
          <w:sz w:val="16"/>
          <w:szCs w:val="16"/>
          <w:color w:val="3E3935"/>
        </w:rPr>
        <w:t>consisting of 75 percent PSUs and 25 percent stock options.</w:t>
      </w:r>
    </w:p>
    <w:p>
      <w:pPr>
        <w:spacing w:after="0" w:line="48" w:lineRule="exact"/>
        <w:rPr>
          <w:sz w:val="20"/>
          <w:szCs w:val="20"/>
          <w:color w:val="auto"/>
        </w:rPr>
      </w:pPr>
    </w:p>
    <w:p>
      <w:pPr>
        <w:ind w:left="120"/>
        <w:spacing w:after="0"/>
        <w:rPr>
          <w:sz w:val="20"/>
          <w:szCs w:val="20"/>
          <w:color w:val="auto"/>
        </w:rPr>
      </w:pPr>
      <w:r>
        <w:rPr>
          <w:rFonts w:ascii="Arial" w:cs="Arial" w:eastAsia="Arial" w:hAnsi="Arial"/>
          <w:sz w:val="16"/>
          <w:szCs w:val="16"/>
          <w:color w:val="3E3935"/>
        </w:rPr>
        <w:t>Total awarded compensation for 2022, including salary, STIP, and LTIP, is displayed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89535</wp:posOffset>
            </wp:positionV>
            <wp:extent cx="4543425" cy="889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4543425" cy="8890"/>
                    </a:xfrm>
                    <a:prstGeom prst="rect">
                      <a:avLst/>
                    </a:prstGeom>
                    <a:noFill/>
                  </pic:spPr>
                </pic:pic>
              </a:graphicData>
            </a:graphic>
          </wp:anchor>
        </w:drawing>
      </w:r>
    </w:p>
    <w:p>
      <w:pPr>
        <w:spacing w:after="0" w:line="174" w:lineRule="exact"/>
        <w:rPr>
          <w:sz w:val="20"/>
          <w:szCs w:val="20"/>
          <w:color w:val="auto"/>
        </w:rPr>
      </w:pPr>
    </w:p>
    <w:tbl>
      <w:tblPr>
        <w:tblLayout w:type="fixed"/>
        <w:tblInd w:w="120" w:type="dxa"/>
        <w:tblCellMar>
          <w:top w:w="0" w:type="dxa"/>
          <w:left w:w="0" w:type="dxa"/>
          <w:bottom w:w="0" w:type="dxa"/>
          <w:right w:w="0" w:type="dxa"/>
        </w:tblCellMar>
      </w:tblPr>
      <w:tr>
        <w:trPr>
          <w:trHeight w:val="226"/>
        </w:trPr>
        <w:tc>
          <w:tcPr>
            <w:tcW w:w="1460" w:type="dxa"/>
            <w:vAlign w:val="bottom"/>
            <w:tcBorders>
              <w:bottom w:val="single" w:sz="8" w:color="00C1DE"/>
            </w:tcBorders>
          </w:tcPr>
          <w:p>
            <w:pPr>
              <w:ind w:left="80"/>
              <w:spacing w:after="0"/>
              <w:rPr>
                <w:sz w:val="20"/>
                <w:szCs w:val="20"/>
                <w:color w:val="auto"/>
              </w:rPr>
            </w:pPr>
            <w:r>
              <w:rPr>
                <w:rFonts w:ascii="Arial" w:cs="Arial" w:eastAsia="Arial" w:hAnsi="Arial"/>
                <w:sz w:val="16"/>
                <w:szCs w:val="16"/>
                <w:b w:val="1"/>
                <w:bCs w:val="1"/>
                <w:color w:val="00C1DE"/>
              </w:rPr>
              <w:t>Pay Element</w:t>
            </w:r>
          </w:p>
        </w:tc>
        <w:tc>
          <w:tcPr>
            <w:tcW w:w="3860" w:type="dxa"/>
            <w:vAlign w:val="bottom"/>
            <w:tcBorders>
              <w:bottom w:val="single" w:sz="8" w:color="00C1DE"/>
            </w:tcBorders>
          </w:tcPr>
          <w:p>
            <w:pPr>
              <w:ind w:left="360"/>
              <w:spacing w:after="0"/>
              <w:rPr>
                <w:sz w:val="20"/>
                <w:szCs w:val="20"/>
                <w:color w:val="auto"/>
              </w:rPr>
            </w:pPr>
            <w:r>
              <w:rPr>
                <w:rFonts w:ascii="Arial" w:cs="Arial" w:eastAsia="Arial" w:hAnsi="Arial"/>
                <w:sz w:val="16"/>
                <w:szCs w:val="16"/>
                <w:b w:val="1"/>
                <w:bCs w:val="1"/>
                <w:color w:val="00C1DE"/>
              </w:rPr>
              <w:t>Majority of Pay Is At-Risk</w:t>
            </w:r>
          </w:p>
        </w:tc>
        <w:tc>
          <w:tcPr>
            <w:tcW w:w="1840" w:type="dxa"/>
            <w:vAlign w:val="bottom"/>
            <w:tcBorders>
              <w:bottom w:val="single" w:sz="8" w:color="00C1DE"/>
            </w:tcBorders>
          </w:tcPr>
          <w:p>
            <w:pPr>
              <w:jc w:val="right"/>
              <w:spacing w:after="0"/>
              <w:rPr>
                <w:sz w:val="20"/>
                <w:szCs w:val="20"/>
                <w:color w:val="auto"/>
              </w:rPr>
            </w:pPr>
            <w:r>
              <w:rPr>
                <w:rFonts w:ascii="Arial" w:cs="Arial" w:eastAsia="Arial" w:hAnsi="Arial"/>
                <w:sz w:val="16"/>
                <w:szCs w:val="16"/>
                <w:b w:val="1"/>
                <w:bCs w:val="1"/>
                <w:color w:val="00C1DE"/>
              </w:rPr>
              <w:t>Awarded Value</w:t>
            </w:r>
          </w:p>
        </w:tc>
      </w:tr>
      <w:tr>
        <w:trPr>
          <w:trHeight w:val="265"/>
        </w:trPr>
        <w:tc>
          <w:tcPr>
            <w:tcW w:w="1460" w:type="dxa"/>
            <w:vAlign w:val="bottom"/>
          </w:tcPr>
          <w:p>
            <w:pPr>
              <w:ind w:left="80"/>
              <w:spacing w:after="0"/>
              <w:rPr>
                <w:sz w:val="20"/>
                <w:szCs w:val="20"/>
                <w:color w:val="auto"/>
              </w:rPr>
            </w:pPr>
            <w:r>
              <w:rPr>
                <w:rFonts w:ascii="Arial" w:cs="Arial" w:eastAsia="Arial" w:hAnsi="Arial"/>
                <w:sz w:val="16"/>
                <w:szCs w:val="16"/>
                <w:color w:val="3E3935"/>
              </w:rPr>
              <w:t>Base Salary</w:t>
            </w:r>
          </w:p>
        </w:tc>
        <w:tc>
          <w:tcPr>
            <w:tcW w:w="3860" w:type="dxa"/>
            <w:vAlign w:val="bottom"/>
          </w:tcPr>
          <w:p>
            <w:pPr>
              <w:ind w:left="360"/>
              <w:spacing w:after="0"/>
              <w:rPr>
                <w:sz w:val="20"/>
                <w:szCs w:val="20"/>
                <w:color w:val="auto"/>
              </w:rPr>
            </w:pPr>
            <w:r>
              <w:rPr>
                <w:rFonts w:ascii="Arial" w:cs="Arial" w:eastAsia="Arial" w:hAnsi="Arial"/>
                <w:sz w:val="16"/>
                <w:szCs w:val="16"/>
                <w:color w:val="3E3935"/>
              </w:rPr>
              <w:t>Only Fixed Pay Element</w:t>
            </w:r>
          </w:p>
        </w:tc>
        <w:tc>
          <w:tcPr>
            <w:tcW w:w="1840" w:type="dxa"/>
            <w:vAlign w:val="bottom"/>
          </w:tcPr>
          <w:p>
            <w:pPr>
              <w:jc w:val="right"/>
              <w:spacing w:after="0"/>
              <w:rPr>
                <w:sz w:val="20"/>
                <w:szCs w:val="20"/>
                <w:color w:val="auto"/>
              </w:rPr>
            </w:pPr>
            <w:r>
              <w:rPr>
                <w:rFonts w:ascii="Arial" w:cs="Arial" w:eastAsia="Arial" w:hAnsi="Arial"/>
                <w:sz w:val="16"/>
                <w:szCs w:val="16"/>
                <w:color w:val="3E3935"/>
              </w:rPr>
              <w:t>$1,000,000</w:t>
            </w:r>
          </w:p>
        </w:tc>
      </w:tr>
      <w:tr>
        <w:trPr>
          <w:trHeight w:val="42"/>
        </w:trPr>
        <w:tc>
          <w:tcPr>
            <w:tcW w:w="1460" w:type="dxa"/>
            <w:vAlign w:val="bottom"/>
            <w:tcBorders>
              <w:bottom w:val="single" w:sz="8" w:color="3E3935"/>
            </w:tcBorders>
          </w:tcPr>
          <w:p>
            <w:pPr>
              <w:spacing w:after="0"/>
              <w:rPr>
                <w:sz w:val="3"/>
                <w:szCs w:val="3"/>
                <w:color w:val="auto"/>
              </w:rPr>
            </w:pPr>
          </w:p>
        </w:tc>
        <w:tc>
          <w:tcPr>
            <w:tcW w:w="3860" w:type="dxa"/>
            <w:vAlign w:val="bottom"/>
            <w:tcBorders>
              <w:bottom w:val="single" w:sz="8" w:color="3E3935"/>
            </w:tcBorders>
          </w:tcPr>
          <w:p>
            <w:pPr>
              <w:spacing w:after="0"/>
              <w:rPr>
                <w:sz w:val="3"/>
                <w:szCs w:val="3"/>
                <w:color w:val="auto"/>
              </w:rPr>
            </w:pPr>
          </w:p>
        </w:tc>
        <w:tc>
          <w:tcPr>
            <w:tcW w:w="1840" w:type="dxa"/>
            <w:vAlign w:val="bottom"/>
            <w:tcBorders>
              <w:bottom w:val="single" w:sz="8" w:color="3E3935"/>
            </w:tcBorders>
          </w:tcPr>
          <w:p>
            <w:pPr>
              <w:spacing w:after="0"/>
              <w:rPr>
                <w:sz w:val="3"/>
                <w:szCs w:val="3"/>
                <w:color w:val="auto"/>
              </w:rPr>
            </w:pPr>
          </w:p>
        </w:tc>
      </w:tr>
      <w:tr>
        <w:trPr>
          <w:trHeight w:val="262"/>
        </w:trPr>
        <w:tc>
          <w:tcPr>
            <w:tcW w:w="1460" w:type="dxa"/>
            <w:vAlign w:val="bottom"/>
          </w:tcPr>
          <w:p>
            <w:pPr>
              <w:ind w:left="80"/>
              <w:spacing w:after="0"/>
              <w:rPr>
                <w:sz w:val="20"/>
                <w:szCs w:val="20"/>
                <w:color w:val="auto"/>
              </w:rPr>
            </w:pPr>
            <w:r>
              <w:rPr>
                <w:rFonts w:ascii="Arial" w:cs="Arial" w:eastAsia="Arial" w:hAnsi="Arial"/>
                <w:sz w:val="16"/>
                <w:szCs w:val="16"/>
                <w:color w:val="3E3935"/>
              </w:rPr>
              <w:t>STIP</w:t>
            </w:r>
          </w:p>
        </w:tc>
        <w:tc>
          <w:tcPr>
            <w:tcW w:w="3860" w:type="dxa"/>
            <w:vAlign w:val="bottom"/>
          </w:tcPr>
          <w:p>
            <w:pPr>
              <w:ind w:left="360"/>
              <w:spacing w:after="0"/>
              <w:rPr>
                <w:sz w:val="20"/>
                <w:szCs w:val="20"/>
                <w:color w:val="auto"/>
              </w:rPr>
            </w:pPr>
            <w:r>
              <w:rPr>
                <w:rFonts w:ascii="Arial" w:cs="Arial" w:eastAsia="Arial" w:hAnsi="Arial"/>
                <w:sz w:val="16"/>
                <w:szCs w:val="16"/>
                <w:color w:val="3E3935"/>
              </w:rPr>
              <w:t>Performance to Metrics</w:t>
            </w:r>
          </w:p>
        </w:tc>
        <w:tc>
          <w:tcPr>
            <w:tcW w:w="1840" w:type="dxa"/>
            <w:vAlign w:val="bottom"/>
          </w:tcPr>
          <w:p>
            <w:pPr>
              <w:jc w:val="right"/>
              <w:spacing w:after="0"/>
              <w:rPr>
                <w:sz w:val="20"/>
                <w:szCs w:val="20"/>
                <w:color w:val="auto"/>
              </w:rPr>
            </w:pPr>
            <w:r>
              <w:rPr>
                <w:rFonts w:ascii="Arial" w:cs="Arial" w:eastAsia="Arial" w:hAnsi="Arial"/>
                <w:sz w:val="16"/>
                <w:szCs w:val="16"/>
                <w:color w:val="3E3935"/>
              </w:rPr>
              <w:t>$1,862,500</w:t>
            </w:r>
          </w:p>
        </w:tc>
      </w:tr>
      <w:tr>
        <w:trPr>
          <w:trHeight w:val="42"/>
        </w:trPr>
        <w:tc>
          <w:tcPr>
            <w:tcW w:w="1460" w:type="dxa"/>
            <w:vAlign w:val="bottom"/>
            <w:tcBorders>
              <w:bottom w:val="single" w:sz="8" w:color="3E3935"/>
            </w:tcBorders>
          </w:tcPr>
          <w:p>
            <w:pPr>
              <w:spacing w:after="0"/>
              <w:rPr>
                <w:sz w:val="3"/>
                <w:szCs w:val="3"/>
                <w:color w:val="auto"/>
              </w:rPr>
            </w:pPr>
          </w:p>
        </w:tc>
        <w:tc>
          <w:tcPr>
            <w:tcW w:w="3860" w:type="dxa"/>
            <w:vAlign w:val="bottom"/>
            <w:tcBorders>
              <w:bottom w:val="single" w:sz="8" w:color="3E3935"/>
            </w:tcBorders>
          </w:tcPr>
          <w:p>
            <w:pPr>
              <w:spacing w:after="0"/>
              <w:rPr>
                <w:sz w:val="3"/>
                <w:szCs w:val="3"/>
                <w:color w:val="auto"/>
              </w:rPr>
            </w:pPr>
          </w:p>
        </w:tc>
        <w:tc>
          <w:tcPr>
            <w:tcW w:w="1840" w:type="dxa"/>
            <w:vAlign w:val="bottom"/>
            <w:tcBorders>
              <w:bottom w:val="single" w:sz="8" w:color="3E3935"/>
            </w:tcBorders>
          </w:tcPr>
          <w:p>
            <w:pPr>
              <w:spacing w:after="0"/>
              <w:rPr>
                <w:sz w:val="3"/>
                <w:szCs w:val="3"/>
                <w:color w:val="auto"/>
              </w:rPr>
            </w:pPr>
          </w:p>
        </w:tc>
      </w:tr>
      <w:tr>
        <w:trPr>
          <w:trHeight w:val="262"/>
        </w:trPr>
        <w:tc>
          <w:tcPr>
            <w:tcW w:w="1460" w:type="dxa"/>
            <w:vAlign w:val="bottom"/>
          </w:tcPr>
          <w:p>
            <w:pPr>
              <w:ind w:left="80"/>
              <w:spacing w:after="0"/>
              <w:rPr>
                <w:sz w:val="20"/>
                <w:szCs w:val="20"/>
                <w:color w:val="auto"/>
              </w:rPr>
            </w:pPr>
            <w:r>
              <w:rPr>
                <w:rFonts w:ascii="Arial" w:cs="Arial" w:eastAsia="Arial" w:hAnsi="Arial"/>
                <w:sz w:val="16"/>
                <w:szCs w:val="16"/>
                <w:color w:val="3E3935"/>
              </w:rPr>
              <w:t>PSUs</w:t>
            </w:r>
          </w:p>
        </w:tc>
        <w:tc>
          <w:tcPr>
            <w:tcW w:w="3860" w:type="dxa"/>
            <w:vAlign w:val="bottom"/>
          </w:tcPr>
          <w:p>
            <w:pPr>
              <w:ind w:left="360"/>
              <w:spacing w:after="0"/>
              <w:rPr>
                <w:sz w:val="20"/>
                <w:szCs w:val="20"/>
                <w:color w:val="auto"/>
              </w:rPr>
            </w:pPr>
            <w:r>
              <w:rPr>
                <w:rFonts w:ascii="Arial" w:cs="Arial" w:eastAsia="Arial" w:hAnsi="Arial"/>
                <w:sz w:val="16"/>
                <w:szCs w:val="16"/>
                <w:color w:val="3E3935"/>
              </w:rPr>
              <w:t>Performance to Metrics and Stock Price</w:t>
            </w:r>
          </w:p>
        </w:tc>
        <w:tc>
          <w:tcPr>
            <w:tcW w:w="1840" w:type="dxa"/>
            <w:vAlign w:val="bottom"/>
          </w:tcPr>
          <w:p>
            <w:pPr>
              <w:jc w:val="right"/>
              <w:spacing w:after="0"/>
              <w:rPr>
                <w:sz w:val="20"/>
                <w:szCs w:val="20"/>
                <w:color w:val="auto"/>
              </w:rPr>
            </w:pPr>
            <w:r>
              <w:rPr>
                <w:rFonts w:ascii="Arial" w:cs="Arial" w:eastAsia="Arial" w:hAnsi="Arial"/>
                <w:sz w:val="16"/>
                <w:szCs w:val="16"/>
                <w:color w:val="3E3935"/>
              </w:rPr>
              <w:t>$5,362,500</w:t>
            </w:r>
          </w:p>
        </w:tc>
      </w:tr>
      <w:tr>
        <w:trPr>
          <w:trHeight w:val="42"/>
        </w:trPr>
        <w:tc>
          <w:tcPr>
            <w:tcW w:w="1460" w:type="dxa"/>
            <w:vAlign w:val="bottom"/>
            <w:tcBorders>
              <w:bottom w:val="single" w:sz="8" w:color="3E3935"/>
            </w:tcBorders>
          </w:tcPr>
          <w:p>
            <w:pPr>
              <w:spacing w:after="0"/>
              <w:rPr>
                <w:sz w:val="3"/>
                <w:szCs w:val="3"/>
                <w:color w:val="auto"/>
              </w:rPr>
            </w:pPr>
          </w:p>
        </w:tc>
        <w:tc>
          <w:tcPr>
            <w:tcW w:w="3860" w:type="dxa"/>
            <w:vAlign w:val="bottom"/>
            <w:tcBorders>
              <w:bottom w:val="single" w:sz="8" w:color="3E3935"/>
            </w:tcBorders>
          </w:tcPr>
          <w:p>
            <w:pPr>
              <w:spacing w:after="0"/>
              <w:rPr>
                <w:sz w:val="3"/>
                <w:szCs w:val="3"/>
                <w:color w:val="auto"/>
              </w:rPr>
            </w:pPr>
          </w:p>
        </w:tc>
        <w:tc>
          <w:tcPr>
            <w:tcW w:w="1840" w:type="dxa"/>
            <w:vAlign w:val="bottom"/>
            <w:tcBorders>
              <w:bottom w:val="single" w:sz="8" w:color="3E3935"/>
            </w:tcBorders>
          </w:tcPr>
          <w:p>
            <w:pPr>
              <w:spacing w:after="0"/>
              <w:rPr>
                <w:sz w:val="3"/>
                <w:szCs w:val="3"/>
                <w:color w:val="auto"/>
              </w:rPr>
            </w:pPr>
          </w:p>
        </w:tc>
      </w:tr>
      <w:tr>
        <w:trPr>
          <w:trHeight w:val="262"/>
        </w:trPr>
        <w:tc>
          <w:tcPr>
            <w:tcW w:w="1460" w:type="dxa"/>
            <w:vAlign w:val="bottom"/>
          </w:tcPr>
          <w:p>
            <w:pPr>
              <w:ind w:left="80"/>
              <w:spacing w:after="0"/>
              <w:rPr>
                <w:sz w:val="20"/>
                <w:szCs w:val="20"/>
                <w:color w:val="auto"/>
              </w:rPr>
            </w:pPr>
            <w:r>
              <w:rPr>
                <w:rFonts w:ascii="Arial" w:cs="Arial" w:eastAsia="Arial" w:hAnsi="Arial"/>
                <w:sz w:val="16"/>
                <w:szCs w:val="16"/>
                <w:color w:val="3E3935"/>
              </w:rPr>
              <w:t>Stock Options</w:t>
            </w:r>
          </w:p>
        </w:tc>
        <w:tc>
          <w:tcPr>
            <w:tcW w:w="3860" w:type="dxa"/>
            <w:vAlign w:val="bottom"/>
          </w:tcPr>
          <w:p>
            <w:pPr>
              <w:ind w:left="360"/>
              <w:spacing w:after="0"/>
              <w:rPr>
                <w:sz w:val="20"/>
                <w:szCs w:val="20"/>
                <w:color w:val="auto"/>
              </w:rPr>
            </w:pPr>
            <w:r>
              <w:rPr>
                <w:rFonts w:ascii="Arial" w:cs="Arial" w:eastAsia="Arial" w:hAnsi="Arial"/>
                <w:sz w:val="16"/>
                <w:szCs w:val="16"/>
                <w:color w:val="3E3935"/>
              </w:rPr>
              <w:t>Performance to Stock Price</w:t>
            </w:r>
          </w:p>
        </w:tc>
        <w:tc>
          <w:tcPr>
            <w:tcW w:w="1840" w:type="dxa"/>
            <w:vAlign w:val="bottom"/>
          </w:tcPr>
          <w:p>
            <w:pPr>
              <w:jc w:val="right"/>
              <w:spacing w:after="0"/>
              <w:rPr>
                <w:sz w:val="20"/>
                <w:szCs w:val="20"/>
                <w:color w:val="auto"/>
              </w:rPr>
            </w:pPr>
            <w:r>
              <w:rPr>
                <w:rFonts w:ascii="Arial" w:cs="Arial" w:eastAsia="Arial" w:hAnsi="Arial"/>
                <w:sz w:val="16"/>
                <w:szCs w:val="16"/>
                <w:color w:val="3E3935"/>
              </w:rPr>
              <w:t>$1,787,513</w:t>
            </w:r>
          </w:p>
        </w:tc>
      </w:tr>
      <w:tr>
        <w:trPr>
          <w:trHeight w:val="42"/>
        </w:trPr>
        <w:tc>
          <w:tcPr>
            <w:tcW w:w="1460" w:type="dxa"/>
            <w:vAlign w:val="bottom"/>
            <w:tcBorders>
              <w:bottom w:val="single" w:sz="8" w:color="3E3935"/>
            </w:tcBorders>
          </w:tcPr>
          <w:p>
            <w:pPr>
              <w:spacing w:after="0"/>
              <w:rPr>
                <w:sz w:val="3"/>
                <w:szCs w:val="3"/>
                <w:color w:val="auto"/>
              </w:rPr>
            </w:pPr>
          </w:p>
        </w:tc>
        <w:tc>
          <w:tcPr>
            <w:tcW w:w="3860" w:type="dxa"/>
            <w:vAlign w:val="bottom"/>
            <w:tcBorders>
              <w:bottom w:val="single" w:sz="8" w:color="3E3935"/>
            </w:tcBorders>
          </w:tcPr>
          <w:p>
            <w:pPr>
              <w:spacing w:after="0"/>
              <w:rPr>
                <w:sz w:val="3"/>
                <w:szCs w:val="3"/>
                <w:color w:val="auto"/>
              </w:rPr>
            </w:pPr>
          </w:p>
        </w:tc>
        <w:tc>
          <w:tcPr>
            <w:tcW w:w="1840" w:type="dxa"/>
            <w:vAlign w:val="bottom"/>
            <w:tcBorders>
              <w:bottom w:val="single" w:sz="8" w:color="3E3935"/>
            </w:tcBorders>
          </w:tcPr>
          <w:p>
            <w:pPr>
              <w:spacing w:after="0"/>
              <w:rPr>
                <w:sz w:val="3"/>
                <w:szCs w:val="3"/>
                <w:color w:val="auto"/>
              </w:rPr>
            </w:pPr>
          </w:p>
        </w:tc>
      </w:tr>
      <w:tr>
        <w:trPr>
          <w:trHeight w:val="270"/>
        </w:trPr>
        <w:tc>
          <w:tcPr>
            <w:tcW w:w="1460" w:type="dxa"/>
            <w:vAlign w:val="bottom"/>
          </w:tcPr>
          <w:p>
            <w:pPr>
              <w:ind w:left="80"/>
              <w:spacing w:after="0"/>
              <w:rPr>
                <w:sz w:val="20"/>
                <w:szCs w:val="20"/>
                <w:color w:val="auto"/>
              </w:rPr>
            </w:pPr>
            <w:r>
              <w:rPr>
                <w:rFonts w:ascii="Arial" w:cs="Arial" w:eastAsia="Arial" w:hAnsi="Arial"/>
                <w:sz w:val="16"/>
                <w:szCs w:val="16"/>
                <w:b w:val="1"/>
                <w:bCs w:val="1"/>
                <w:color w:val="0071CE"/>
              </w:rPr>
              <w:t>TOTAL</w:t>
            </w:r>
          </w:p>
        </w:tc>
        <w:tc>
          <w:tcPr>
            <w:tcW w:w="3860" w:type="dxa"/>
            <w:vAlign w:val="bottom"/>
          </w:tcPr>
          <w:p>
            <w:pPr>
              <w:spacing w:after="0"/>
              <w:rPr>
                <w:sz w:val="23"/>
                <w:szCs w:val="23"/>
                <w:color w:val="auto"/>
              </w:rPr>
            </w:pPr>
          </w:p>
        </w:tc>
        <w:tc>
          <w:tcPr>
            <w:tcW w:w="1840" w:type="dxa"/>
            <w:vAlign w:val="bottom"/>
          </w:tcPr>
          <w:p>
            <w:pPr>
              <w:jc w:val="right"/>
              <w:spacing w:after="0"/>
              <w:rPr>
                <w:sz w:val="20"/>
                <w:szCs w:val="20"/>
                <w:color w:val="auto"/>
              </w:rPr>
            </w:pPr>
            <w:r>
              <w:rPr>
                <w:rFonts w:ascii="Arial" w:cs="Arial" w:eastAsia="Arial" w:hAnsi="Arial"/>
                <w:sz w:val="16"/>
                <w:szCs w:val="16"/>
                <w:b w:val="1"/>
                <w:bCs w:val="1"/>
                <w:color w:val="0071CE"/>
              </w:rPr>
              <w:t>$10,012,513</w:t>
            </w:r>
          </w:p>
        </w:tc>
      </w:tr>
      <w:tr>
        <w:trPr>
          <w:trHeight w:val="34"/>
        </w:trPr>
        <w:tc>
          <w:tcPr>
            <w:tcW w:w="1460" w:type="dxa"/>
            <w:vAlign w:val="bottom"/>
            <w:tcBorders>
              <w:bottom w:val="single" w:sz="8" w:color="0071CE"/>
            </w:tcBorders>
          </w:tcPr>
          <w:p>
            <w:pPr>
              <w:spacing w:after="0"/>
              <w:rPr>
                <w:sz w:val="3"/>
                <w:szCs w:val="3"/>
                <w:color w:val="auto"/>
              </w:rPr>
            </w:pPr>
          </w:p>
        </w:tc>
        <w:tc>
          <w:tcPr>
            <w:tcW w:w="3860" w:type="dxa"/>
            <w:vAlign w:val="bottom"/>
            <w:tcBorders>
              <w:bottom w:val="single" w:sz="8" w:color="0071CE"/>
            </w:tcBorders>
          </w:tcPr>
          <w:p>
            <w:pPr>
              <w:spacing w:after="0"/>
              <w:rPr>
                <w:sz w:val="3"/>
                <w:szCs w:val="3"/>
                <w:color w:val="auto"/>
              </w:rPr>
            </w:pPr>
          </w:p>
        </w:tc>
        <w:tc>
          <w:tcPr>
            <w:tcW w:w="1840" w:type="dxa"/>
            <w:vAlign w:val="bottom"/>
            <w:tcBorders>
              <w:bottom w:val="single" w:sz="8" w:color="0071CE"/>
            </w:tcBorders>
          </w:tcPr>
          <w:p>
            <w:pPr>
              <w:spacing w:after="0"/>
              <w:rPr>
                <w:sz w:val="3"/>
                <w:szCs w:val="3"/>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both"/>
        <w:spacing w:after="0" w:line="261" w:lineRule="auto"/>
        <w:rPr>
          <w:sz w:val="20"/>
          <w:szCs w:val="20"/>
          <w:color w:val="auto"/>
        </w:rPr>
      </w:pPr>
      <w:r>
        <w:rPr>
          <w:rFonts w:ascii="Arial" w:cs="Arial" w:eastAsia="Arial" w:hAnsi="Arial"/>
          <w:sz w:val="14"/>
          <w:szCs w:val="14"/>
          <w:i w:val="1"/>
          <w:iCs w:val="1"/>
          <w:color w:val="3E3935"/>
        </w:rPr>
        <w:t>Awarded Value reflects the amount included in the Summary Compensation Table, excluding change in pension value and all other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305435</wp:posOffset>
            </wp:positionH>
            <wp:positionV relativeFrom="paragraph">
              <wp:posOffset>-5197475</wp:posOffset>
            </wp:positionV>
            <wp:extent cx="1628775" cy="480060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1628775" cy="4800600"/>
                    </a:xfrm>
                    <a:prstGeom prst="rect">
                      <a:avLst/>
                    </a:prstGeom>
                    <a:noFill/>
                  </pic:spPr>
                </pic:pic>
              </a:graphicData>
            </a:graphic>
          </wp:anchor>
        </w:drawing>
      </w:r>
    </w:p>
    <w:p>
      <w:pPr>
        <w:spacing w:after="0" w:line="3542" w:lineRule="exact"/>
        <w:rPr>
          <w:sz w:val="20"/>
          <w:szCs w:val="20"/>
          <w:color w:val="auto"/>
        </w:rPr>
      </w:pPr>
    </w:p>
    <w:p>
      <w:pPr>
        <w:sectPr>
          <w:pgSz w:w="11900" w:h="16838" w:orient="portrait"/>
          <w:cols w:equalWidth="0" w:num="2">
            <w:col w:w="7280" w:space="320"/>
            <w:col w:w="3540"/>
          </w:cols>
          <w:pgMar w:left="320" w:top="482"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7600"/>
        <w:spacing w:after="0"/>
        <w:rPr>
          <w:sz w:val="20"/>
          <w:szCs w:val="20"/>
          <w:color w:val="auto"/>
        </w:rPr>
      </w:pPr>
      <w:r>
        <w:rPr>
          <w:sz w:val="1"/>
          <w:szCs w:val="1"/>
          <w:color w:val="auto"/>
        </w:rPr>
        <w:drawing>
          <wp:inline distT="0" distB="0" distL="0" distR="0">
            <wp:extent cx="77470" cy="76835"/>
            <wp:effectExtent l="0" t="0" r="0" b="0"/>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7470" cy="76835"/>
                    </a:xfrm>
                    <a:prstGeom prst="rect">
                      <a:avLst/>
                    </a:prstGeom>
                    <a:noFill/>
                    <a:ln>
                      <a:noFill/>
                    </a:ln>
                  </pic:spPr>
                </pic:pic>
              </a:graphicData>
            </a:graphic>
          </wp:inline>
        </w:drawing>
      </w:r>
      <w:r>
        <w:rPr>
          <w:rFonts w:ascii="Arial" w:cs="Arial" w:eastAsia="Arial" w:hAnsi="Arial"/>
          <w:sz w:val="17"/>
          <w:szCs w:val="17"/>
          <w:i w:val="1"/>
          <w:iCs w:val="1"/>
          <w:color w:val="3E3935"/>
        </w:rPr>
        <w:t xml:space="preserve"> Represents ESG Results</w:t>
      </w:r>
    </w:p>
    <w:p>
      <w:pPr>
        <w:spacing w:after="0" w:line="312" w:lineRule="exact"/>
        <w:rPr>
          <w:sz w:val="20"/>
          <w:szCs w:val="20"/>
          <w:color w:val="auto"/>
        </w:rPr>
      </w:pPr>
    </w:p>
    <w:p>
      <w:pPr>
        <w:ind w:left="120"/>
        <w:spacing w:after="0"/>
        <w:rPr>
          <w:sz w:val="20"/>
          <w:szCs w:val="20"/>
          <w:color w:val="auto"/>
        </w:rPr>
      </w:pPr>
      <w:r>
        <w:rPr>
          <w:rFonts w:ascii="Arial" w:cs="Arial" w:eastAsia="Arial" w:hAnsi="Arial"/>
          <w:sz w:val="14"/>
          <w:szCs w:val="14"/>
          <w:color w:val="0071CE"/>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wp:posOffset>
            </wp:positionH>
            <wp:positionV relativeFrom="paragraph">
              <wp:posOffset>-95885</wp:posOffset>
            </wp:positionV>
            <wp:extent cx="5983605" cy="10287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5983605" cy="102870"/>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type w:val="continuous"/>
        </w:sectPr>
      </w:pPr>
    </w:p>
    <w:bookmarkStart w:id="72" w:name="page73"/>
    <w:bookmarkEnd w:id="7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59" w:lineRule="exact"/>
        <w:rPr>
          <w:sz w:val="20"/>
          <w:szCs w:val="20"/>
          <w:color w:val="auto"/>
        </w:rPr>
      </w:pPr>
    </w:p>
    <w:p>
      <w:pPr>
        <w:ind w:left="560" w:hanging="444"/>
        <w:spacing w:after="0"/>
        <w:tabs>
          <w:tab w:leader="none" w:pos="560" w:val="left"/>
        </w:tabs>
        <w:numPr>
          <w:ilvl w:val="0"/>
          <w:numId w:val="105"/>
        </w:numPr>
        <w:rPr>
          <w:rFonts w:ascii="Times New Roman" w:cs="Times New Roman" w:eastAsia="Times New Roman" w:hAnsi="Times New Roman"/>
          <w:sz w:val="19"/>
          <w:szCs w:val="19"/>
          <w:color w:val="0071CE"/>
        </w:rPr>
      </w:pPr>
      <w:r>
        <w:rPr>
          <w:rFonts w:ascii="Arial" w:cs="Arial" w:eastAsia="Arial" w:hAnsi="Arial"/>
          <w:sz w:val="25"/>
          <w:szCs w:val="25"/>
          <w:color w:val="3E3935"/>
        </w:rPr>
        <w:t>Compensation Decisions for Mark L. Reuss</w:t>
      </w:r>
    </w:p>
    <w:p>
      <w:pPr>
        <w:spacing w:after="0" w:line="112" w:lineRule="exact"/>
        <w:rPr>
          <w:sz w:val="20"/>
          <w:szCs w:val="20"/>
          <w:color w:val="auto"/>
        </w:rPr>
      </w:pPr>
    </w:p>
    <w:p>
      <w:pPr>
        <w:ind w:left="180"/>
        <w:spacing w:after="0"/>
        <w:rPr>
          <w:sz w:val="20"/>
          <w:szCs w:val="20"/>
          <w:color w:val="auto"/>
        </w:rPr>
      </w:pPr>
      <w:r>
        <w:rPr>
          <w:rFonts w:ascii="Arial" w:cs="Arial" w:eastAsia="Arial" w:hAnsi="Arial"/>
          <w:sz w:val="22"/>
          <w:szCs w:val="22"/>
          <w:b w:val="1"/>
          <w:bCs w:val="1"/>
          <w:color w:val="3E3935"/>
        </w:rPr>
        <w:t>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80645</wp:posOffset>
            </wp:positionV>
            <wp:extent cx="4543425" cy="171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4543425" cy="17145"/>
                    </a:xfrm>
                    <a:prstGeom prst="rect">
                      <a:avLst/>
                    </a:prstGeom>
                    <a:noFill/>
                  </pic:spPr>
                </pic:pic>
              </a:graphicData>
            </a:graphic>
          </wp:anchor>
        </w:drawing>
      </w:r>
    </w:p>
    <w:p>
      <w:pPr>
        <w:spacing w:after="0" w:line="160" w:lineRule="exact"/>
        <w:rPr>
          <w:sz w:val="20"/>
          <w:szCs w:val="20"/>
          <w:color w:val="auto"/>
        </w:rPr>
      </w:pPr>
    </w:p>
    <w:p>
      <w:pPr>
        <w:jc w:val="both"/>
        <w:ind w:left="120"/>
        <w:spacing w:after="0" w:line="275" w:lineRule="auto"/>
        <w:rPr>
          <w:sz w:val="20"/>
          <w:szCs w:val="20"/>
          <w:color w:val="auto"/>
        </w:rPr>
      </w:pPr>
      <w:r>
        <w:rPr>
          <w:rFonts w:ascii="Arial" w:cs="Arial" w:eastAsia="Arial" w:hAnsi="Arial"/>
          <w:sz w:val="16"/>
          <w:szCs w:val="16"/>
          <w:color w:val="3E3935"/>
        </w:rPr>
        <w:t>The Compensation Committee made the following pay decisions based on performance, competitive market data, and feedback from its independent compensation consultant and management:</w:t>
      </w:r>
    </w:p>
    <w:p>
      <w:pPr>
        <w:spacing w:after="0" w:line="253"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0071CE"/>
        </w:rPr>
        <w:t xml:space="preserve">Base Salary </w:t>
      </w:r>
      <w:r>
        <w:rPr>
          <w:rFonts w:ascii="Arial" w:cs="Arial" w:eastAsia="Arial" w:hAnsi="Arial"/>
          <w:sz w:val="16"/>
          <w:szCs w:val="16"/>
          <w:color w:val="3E3935"/>
        </w:rPr>
        <w:t>– Effective January 1, 2022, increased base salary from $1,300,000 to $1,350,000.</w:t>
      </w:r>
    </w:p>
    <w:p>
      <w:pPr>
        <w:spacing w:after="0" w:line="113" w:lineRule="exact"/>
        <w:rPr>
          <w:sz w:val="20"/>
          <w:szCs w:val="20"/>
          <w:color w:val="auto"/>
        </w:rPr>
      </w:pPr>
    </w:p>
    <w:p>
      <w:pPr>
        <w:jc w:val="both"/>
        <w:ind w:left="120"/>
        <w:spacing w:after="0" w:line="257" w:lineRule="auto"/>
        <w:rPr>
          <w:sz w:val="20"/>
          <w:szCs w:val="20"/>
          <w:color w:val="auto"/>
        </w:rPr>
      </w:pPr>
      <w:r>
        <w:rPr>
          <w:rFonts w:ascii="Arial" w:cs="Arial" w:eastAsia="Arial" w:hAnsi="Arial"/>
          <w:sz w:val="16"/>
          <w:szCs w:val="16"/>
          <w:b w:val="1"/>
          <w:bCs w:val="1"/>
          <w:color w:val="0071CE"/>
        </w:rPr>
        <w:t xml:space="preserve">Short-Term Incentive </w:t>
      </w:r>
      <w:r>
        <w:rPr>
          <w:rFonts w:ascii="Arial" w:cs="Arial" w:eastAsia="Arial" w:hAnsi="Arial"/>
          <w:sz w:val="16"/>
          <w:szCs w:val="16"/>
          <w:color w:val="3E3935"/>
        </w:rPr>
        <w:t>– Awarded 35 points out of a 25-point target and 50-point maximum for the</w:t>
      </w:r>
      <w:r>
        <w:rPr>
          <w:rFonts w:ascii="Arial" w:cs="Arial" w:eastAsia="Arial" w:hAnsi="Arial"/>
          <w:sz w:val="16"/>
          <w:szCs w:val="16"/>
          <w:b w:val="1"/>
          <w:bCs w:val="1"/>
          <w:color w:val="0071CE"/>
        </w:rPr>
        <w:t xml:space="preserve"> </w:t>
      </w:r>
      <w:r>
        <w:rPr>
          <w:rFonts w:ascii="Arial" w:cs="Arial" w:eastAsia="Arial" w:hAnsi="Arial"/>
          <w:sz w:val="16"/>
          <w:szCs w:val="16"/>
          <w:color w:val="3E3935"/>
        </w:rPr>
        <w:t>strategic goals portion for the 2022 STIP performance year. In determining the number of points earned, the Compensation Committee considered these results for Mr. Reuss:</w:t>
      </w:r>
    </w:p>
    <w:p>
      <w:pPr>
        <w:spacing w:after="0" w:line="97" w:lineRule="exact"/>
        <w:rPr>
          <w:sz w:val="20"/>
          <w:szCs w:val="20"/>
          <w:color w:val="auto"/>
        </w:rPr>
      </w:pPr>
    </w:p>
    <w:p>
      <w:pPr>
        <w:ind w:left="360" w:right="20" w:hanging="244"/>
        <w:spacing w:after="0" w:line="182" w:lineRule="auto"/>
        <w:tabs>
          <w:tab w:leader="none" w:pos="360" w:val="left"/>
        </w:tabs>
        <w:numPr>
          <w:ilvl w:val="0"/>
          <w:numId w:val="106"/>
        </w:numPr>
        <w:rPr>
          <w:rFonts w:ascii="Arial" w:cs="Arial" w:eastAsia="Arial" w:hAnsi="Arial"/>
          <w:sz w:val="31"/>
          <w:szCs w:val="31"/>
          <w:color w:val="0071CE"/>
          <w:vertAlign w:val="subscript"/>
        </w:rPr>
      </w:pPr>
      <w:r>
        <w:rPr>
          <w:rFonts w:ascii="Arial" w:cs="Arial" w:eastAsia="Arial" w:hAnsi="Arial"/>
          <w:sz w:val="14"/>
          <w:szCs w:val="14"/>
          <w:color w:val="3E3935"/>
        </w:rPr>
        <w:t>Developed a winning product portfolio that has earned leadership in key segments, including pickups, full-size SUVs, sports cars, and affordable EVs;</w:t>
      </w:r>
    </w:p>
    <w:p>
      <w:pPr>
        <w:spacing w:after="0" w:line="1" w:lineRule="exact"/>
        <w:rPr>
          <w:rFonts w:ascii="Arial" w:cs="Arial" w:eastAsia="Arial" w:hAnsi="Arial"/>
          <w:sz w:val="31"/>
          <w:szCs w:val="31"/>
          <w:color w:val="0071CE"/>
          <w:vertAlign w:val="subscript"/>
        </w:rPr>
      </w:pPr>
    </w:p>
    <w:p>
      <w:pPr>
        <w:ind w:left="360" w:right="20" w:hanging="244"/>
        <w:spacing w:after="0" w:line="183" w:lineRule="auto"/>
        <w:tabs>
          <w:tab w:leader="none" w:pos="360" w:val="left"/>
        </w:tabs>
        <w:numPr>
          <w:ilvl w:val="0"/>
          <w:numId w:val="106"/>
        </w:numPr>
        <w:rPr>
          <w:rFonts w:ascii="Arial" w:cs="Arial" w:eastAsia="Arial" w:hAnsi="Arial"/>
          <w:sz w:val="29"/>
          <w:szCs w:val="29"/>
          <w:color w:val="0071CE"/>
          <w:vertAlign w:val="subscript"/>
        </w:rPr>
      </w:pPr>
      <w:r>
        <w:rPr>
          <w:rFonts w:ascii="Arial" w:cs="Arial" w:eastAsia="Arial" w:hAnsi="Arial"/>
          <w:sz w:val="14"/>
          <w:szCs w:val="14"/>
          <w:color w:val="3E3935"/>
        </w:rPr>
        <w:t>Optimized our EV volume acceleration plan to maximize volume and profitability to scale to 1 million units of annual EV capacity in North America in 2025; and</w:t>
      </w:r>
    </w:p>
    <w:p>
      <w:pPr>
        <w:ind w:left="360" w:right="20" w:hanging="244"/>
        <w:spacing w:after="0" w:line="183" w:lineRule="auto"/>
        <w:tabs>
          <w:tab w:leader="none" w:pos="360" w:val="left"/>
        </w:tabs>
        <w:numPr>
          <w:ilvl w:val="0"/>
          <w:numId w:val="106"/>
        </w:numPr>
        <w:rPr>
          <w:rFonts w:ascii="Arial" w:cs="Arial" w:eastAsia="Arial" w:hAnsi="Arial"/>
          <w:sz w:val="30"/>
          <w:szCs w:val="30"/>
          <w:color w:val="0071CE"/>
          <w:vertAlign w:val="subscript"/>
        </w:rPr>
      </w:pPr>
      <w:r>
        <w:rPr>
          <w:rFonts w:ascii="Arial" w:cs="Arial" w:eastAsia="Arial" w:hAnsi="Arial"/>
          <w:sz w:val="14"/>
          <w:szCs w:val="14"/>
          <w:color w:val="3E3935"/>
        </w:rPr>
        <w:t>Executed multi-brand, multi-price point ICE and EV strategy designed to earn new customers and bolster GM’s industry-leading loyalty, as well as other highlights below.</w:t>
      </w:r>
    </w:p>
    <w:p>
      <w:pPr>
        <w:spacing w:after="0" w:line="143" w:lineRule="exact"/>
        <w:rPr>
          <w:rFonts w:ascii="Arial" w:cs="Arial" w:eastAsia="Arial" w:hAnsi="Arial"/>
          <w:sz w:val="30"/>
          <w:szCs w:val="30"/>
          <w:color w:val="0071CE"/>
          <w:vertAlign w:val="subscript"/>
        </w:rPr>
      </w:pPr>
    </w:p>
    <w:p>
      <w:pPr>
        <w:ind w:left="340"/>
        <w:spacing w:after="0"/>
        <w:rPr>
          <w:rFonts w:ascii="Arial" w:cs="Arial" w:eastAsia="Arial" w:hAnsi="Arial"/>
          <w:sz w:val="30"/>
          <w:szCs w:val="30"/>
          <w:color w:val="0071CE"/>
          <w:vertAlign w:val="subscript"/>
        </w:rPr>
      </w:pPr>
      <w:r>
        <w:rPr>
          <w:rFonts w:ascii="Arial" w:cs="Arial" w:eastAsia="Arial" w:hAnsi="Arial"/>
          <w:sz w:val="14"/>
          <w:szCs w:val="14"/>
          <w:b w:val="1"/>
          <w:bCs w:val="1"/>
          <w:color w:val="3E3935"/>
        </w:rPr>
        <w:t>Our People</w:t>
      </w:r>
    </w:p>
    <w:p>
      <w:pPr>
        <w:spacing w:after="0" w:line="35" w:lineRule="exact"/>
        <w:rPr>
          <w:rFonts w:ascii="Arial" w:cs="Arial" w:eastAsia="Arial" w:hAnsi="Arial"/>
          <w:sz w:val="30"/>
          <w:szCs w:val="30"/>
          <w:color w:val="0071CE"/>
          <w:vertAlign w:val="subscript"/>
        </w:rPr>
      </w:pPr>
    </w:p>
    <w:p>
      <w:pPr>
        <w:ind w:left="560" w:right="220" w:hanging="216"/>
        <w:spacing w:after="0" w:line="236" w:lineRule="auto"/>
        <w:rPr>
          <w:rFonts w:ascii="Arial" w:cs="Arial" w:eastAsia="Arial" w:hAnsi="Arial"/>
          <w:sz w:val="30"/>
          <w:szCs w:val="30"/>
          <w:color w:val="0071CE"/>
          <w:vertAlign w:val="subscript"/>
        </w:rPr>
      </w:pPr>
      <w:r>
        <w:rPr>
          <w:rFonts w:ascii="Arial" w:cs="Arial" w:eastAsia="Arial" w:hAnsi="Arial"/>
          <w:sz w:val="20"/>
          <w:szCs w:val="20"/>
          <w:color w:val="00C1DE"/>
        </w:rPr>
        <w:t>•</w:t>
      </w:r>
      <w:r>
        <w:rPr>
          <w:rFonts w:ascii="Arial" w:cs="Arial" w:eastAsia="Arial" w:hAnsi="Arial"/>
          <w:sz w:val="14"/>
          <w:szCs w:val="14"/>
          <w:color w:val="3E3935"/>
        </w:rPr>
        <w:t xml:space="preserve">   Continued to prioritize our safety culture resulting in reductions in permanently disabling injuries and</w:t>
      </w:r>
      <w:r>
        <w:rPr>
          <w:rFonts w:ascii="Arial" w:cs="Arial" w:eastAsia="Arial" w:hAnsi="Arial"/>
          <w:sz w:val="20"/>
          <w:szCs w:val="20"/>
          <w:color w:val="00C1DE"/>
        </w:rPr>
        <w:t xml:space="preserve"> </w:t>
      </w:r>
      <w:r>
        <w:rPr>
          <w:rFonts w:ascii="Arial" w:cs="Arial" w:eastAsia="Arial" w:hAnsi="Arial"/>
          <w:sz w:val="14"/>
          <w:szCs w:val="14"/>
          <w:color w:val="3E3935"/>
        </w:rPr>
        <w:t xml:space="preserve">lost workdays </w:t>
      </w:r>
      <w:r>
        <w:rPr>
          <w:rFonts w:ascii="Arial" w:cs="Arial" w:eastAsia="Arial" w:hAnsi="Arial"/>
          <w:sz w:val="1"/>
          <w:szCs w:val="1"/>
          <w:color w:val="0071CE"/>
          <w:vertAlign w:val="subscript"/>
        </w:rPr>
        <w:drawing>
          <wp:inline distT="0" distB="0" distL="0" distR="0">
            <wp:extent cx="76835" cy="77470"/>
            <wp:effectExtent l="0" t="0" r="0" b="0"/>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6835" cy="77470"/>
                    </a:xfrm>
                    <a:prstGeom prst="rect">
                      <a:avLst/>
                    </a:prstGeom>
                    <a:noFill/>
                    <a:ln>
                      <a:noFill/>
                    </a:ln>
                  </pic:spPr>
                </pic:pic>
              </a:graphicData>
            </a:graphic>
          </wp:inline>
        </w:drawing>
      </w:r>
    </w:p>
    <w:p>
      <w:pPr>
        <w:spacing w:after="0" w:line="1" w:lineRule="exact"/>
        <w:rPr>
          <w:rFonts w:ascii="Arial" w:cs="Arial" w:eastAsia="Arial" w:hAnsi="Arial"/>
          <w:sz w:val="30"/>
          <w:szCs w:val="30"/>
          <w:color w:val="0071CE"/>
          <w:vertAlign w:val="subscript"/>
        </w:rPr>
      </w:pPr>
    </w:p>
    <w:p>
      <w:pPr>
        <w:ind w:left="340"/>
        <w:spacing w:after="0"/>
        <w:rPr>
          <w:rFonts w:ascii="Arial" w:cs="Arial" w:eastAsia="Arial" w:hAnsi="Arial"/>
          <w:sz w:val="30"/>
          <w:szCs w:val="30"/>
          <w:color w:val="0071CE"/>
          <w:vertAlign w:val="subscript"/>
        </w:rPr>
      </w:pPr>
      <w:r>
        <w:rPr>
          <w:rFonts w:ascii="Arial" w:cs="Arial" w:eastAsia="Arial" w:hAnsi="Arial"/>
          <w:sz w:val="20"/>
          <w:szCs w:val="20"/>
          <w:color w:val="00C1DE"/>
        </w:rPr>
        <w:t>•</w:t>
      </w:r>
      <w:r>
        <w:rPr>
          <w:rFonts w:ascii="Arial" w:cs="Arial" w:eastAsia="Arial" w:hAnsi="Arial"/>
          <w:sz w:val="14"/>
          <w:szCs w:val="14"/>
          <w:color w:val="3E3935"/>
        </w:rPr>
        <w:t xml:space="preserve">   Received top 2022 Rainbow PUSH Coalition Automotive Diversity Scorecard </w:t>
      </w:r>
      <w:r>
        <w:rPr>
          <w:rFonts w:ascii="Arial" w:cs="Arial" w:eastAsia="Arial" w:hAnsi="Arial"/>
          <w:sz w:val="1"/>
          <w:szCs w:val="1"/>
          <w:color w:val="0071CE"/>
          <w:vertAlign w:val="subscript"/>
        </w:rPr>
        <w:drawing>
          <wp:inline distT="0" distB="0" distL="0" distR="0">
            <wp:extent cx="77470" cy="77470"/>
            <wp:effectExtent l="0" t="0" r="0" b="0"/>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7470" cy="77470"/>
                    </a:xfrm>
                    <a:prstGeom prst="rect">
                      <a:avLst/>
                    </a:prstGeom>
                    <a:noFill/>
                    <a:ln>
                      <a:noFill/>
                    </a:ln>
                  </pic:spPr>
                </pic:pic>
              </a:graphicData>
            </a:graphic>
          </wp:inline>
        </w:drawing>
      </w:r>
    </w:p>
    <w:p>
      <w:pPr>
        <w:spacing w:after="0" w:line="52" w:lineRule="exact"/>
        <w:rPr>
          <w:rFonts w:ascii="Arial" w:cs="Arial" w:eastAsia="Arial" w:hAnsi="Arial"/>
          <w:sz w:val="30"/>
          <w:szCs w:val="30"/>
          <w:color w:val="0071CE"/>
          <w:vertAlign w:val="subscript"/>
        </w:rPr>
      </w:pPr>
    </w:p>
    <w:p>
      <w:pPr>
        <w:ind w:left="340"/>
        <w:spacing w:after="0"/>
        <w:rPr>
          <w:rFonts w:ascii="Arial" w:cs="Arial" w:eastAsia="Arial" w:hAnsi="Arial"/>
          <w:sz w:val="30"/>
          <w:szCs w:val="30"/>
          <w:color w:val="0071CE"/>
          <w:vertAlign w:val="subscript"/>
        </w:rPr>
      </w:pPr>
      <w:r>
        <w:rPr>
          <w:rFonts w:ascii="Arial" w:cs="Arial" w:eastAsia="Arial" w:hAnsi="Arial"/>
          <w:sz w:val="14"/>
          <w:szCs w:val="14"/>
          <w:b w:val="1"/>
          <w:bCs w:val="1"/>
          <w:color w:val="3E3935"/>
        </w:rPr>
        <w:t>Products, Software, and Services</w:t>
      </w:r>
    </w:p>
    <w:p>
      <w:pPr>
        <w:spacing w:after="0" w:line="35" w:lineRule="exact"/>
        <w:rPr>
          <w:rFonts w:ascii="Arial" w:cs="Arial" w:eastAsia="Arial" w:hAnsi="Arial"/>
          <w:sz w:val="30"/>
          <w:szCs w:val="30"/>
          <w:color w:val="0071CE"/>
          <w:vertAlign w:val="subscript"/>
        </w:rPr>
      </w:pPr>
    </w:p>
    <w:p>
      <w:pPr>
        <w:ind w:left="560" w:right="220" w:hanging="216"/>
        <w:spacing w:after="0" w:line="238" w:lineRule="auto"/>
        <w:rPr>
          <w:rFonts w:ascii="Arial" w:cs="Arial" w:eastAsia="Arial" w:hAnsi="Arial"/>
          <w:sz w:val="30"/>
          <w:szCs w:val="30"/>
          <w:color w:val="0071CE"/>
          <w:vertAlign w:val="subscript"/>
        </w:rPr>
      </w:pPr>
      <w:r>
        <w:rPr>
          <w:rFonts w:ascii="Arial" w:cs="Arial" w:eastAsia="Arial" w:hAnsi="Arial"/>
          <w:sz w:val="20"/>
          <w:szCs w:val="20"/>
          <w:color w:val="00C1DE"/>
        </w:rPr>
        <w:t>•</w:t>
      </w:r>
      <w:r>
        <w:rPr>
          <w:rFonts w:ascii="Arial" w:cs="Arial" w:eastAsia="Arial" w:hAnsi="Arial"/>
          <w:sz w:val="14"/>
          <w:szCs w:val="14"/>
          <w:color w:val="3E3935"/>
        </w:rPr>
        <w:t xml:space="preserve">   Led and improved rankings in initial quality, while the rest of the industry went backwards, according</w:t>
      </w:r>
      <w:r>
        <w:rPr>
          <w:rFonts w:ascii="Arial" w:cs="Arial" w:eastAsia="Arial" w:hAnsi="Arial"/>
          <w:sz w:val="20"/>
          <w:szCs w:val="20"/>
          <w:color w:val="00C1DE"/>
        </w:rPr>
        <w:t xml:space="preserve"> </w:t>
      </w:r>
      <w:r>
        <w:rPr>
          <w:rFonts w:ascii="Arial" w:cs="Arial" w:eastAsia="Arial" w:hAnsi="Arial"/>
          <w:sz w:val="14"/>
          <w:szCs w:val="14"/>
          <w:color w:val="3E3935"/>
        </w:rPr>
        <w:t>to J.D. Power’s annual Initial Quality Survey, with GM leading among all OEMs, Buick leading among brands, six top-ranked vehicles from Chevrolet, and the Corvette nameplate ranking highest overall</w:t>
      </w:r>
    </w:p>
    <w:p>
      <w:pPr>
        <w:ind w:left="560" w:right="220" w:hanging="216"/>
        <w:spacing w:after="0" w:line="204" w:lineRule="auto"/>
        <w:rPr>
          <w:rFonts w:ascii="Arial" w:cs="Arial" w:eastAsia="Arial" w:hAnsi="Arial"/>
          <w:sz w:val="30"/>
          <w:szCs w:val="30"/>
          <w:color w:val="0071CE"/>
          <w:vertAlign w:val="subscript"/>
        </w:rPr>
      </w:pPr>
      <w:r>
        <w:rPr>
          <w:rFonts w:ascii="Arial" w:cs="Arial" w:eastAsia="Arial" w:hAnsi="Arial"/>
          <w:sz w:val="20"/>
          <w:szCs w:val="20"/>
          <w:color w:val="00C1DE"/>
        </w:rPr>
        <w:t>•</w:t>
      </w:r>
      <w:r>
        <w:rPr>
          <w:rFonts w:ascii="Arial" w:cs="Arial" w:eastAsia="Arial" w:hAnsi="Arial"/>
          <w:sz w:val="14"/>
          <w:szCs w:val="14"/>
          <w:color w:val="3E3935"/>
        </w:rPr>
        <w:t xml:space="preserve">   Leveraged Ultium Platform to create a new portfolio of EVs for Chevrolet, Buick, GMC, Cadillac, and</w:t>
      </w:r>
      <w:r>
        <w:rPr>
          <w:rFonts w:ascii="Arial" w:cs="Arial" w:eastAsia="Arial" w:hAnsi="Arial"/>
          <w:sz w:val="20"/>
          <w:szCs w:val="20"/>
          <w:color w:val="00C1DE"/>
        </w:rPr>
        <w:t xml:space="preserve"> </w:t>
      </w:r>
      <w:r>
        <w:rPr>
          <w:rFonts w:ascii="Arial" w:cs="Arial" w:eastAsia="Arial" w:hAnsi="Arial"/>
          <w:sz w:val="14"/>
          <w:szCs w:val="14"/>
          <w:color w:val="3E3935"/>
        </w:rPr>
        <w:t xml:space="preserve">BrightDrop, enabling GM to compete in nearly 70% of U.S. vehicle segments by 2025 </w:t>
      </w:r>
      <w:r>
        <w:rPr>
          <w:rFonts w:ascii="Arial" w:cs="Arial" w:eastAsia="Arial" w:hAnsi="Arial"/>
          <w:sz w:val="1"/>
          <w:szCs w:val="1"/>
          <w:color w:val="0071CE"/>
          <w:vertAlign w:val="subscript"/>
        </w:rPr>
        <w:drawing>
          <wp:inline distT="0" distB="0" distL="0" distR="0">
            <wp:extent cx="76835" cy="77470"/>
            <wp:effectExtent l="0" t="0" r="0" b="0"/>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6835" cy="77470"/>
                    </a:xfrm>
                    <a:prstGeom prst="rect">
                      <a:avLst/>
                    </a:prstGeom>
                    <a:noFill/>
                    <a:ln>
                      <a:noFill/>
                    </a:ln>
                  </pic:spPr>
                </pic:pic>
              </a:graphicData>
            </a:graphic>
          </wp:inline>
        </w:drawing>
      </w:r>
    </w:p>
    <w:p>
      <w:pPr>
        <w:ind w:left="560" w:right="220" w:hanging="216"/>
        <w:spacing w:after="0" w:line="204" w:lineRule="auto"/>
        <w:rPr>
          <w:rFonts w:ascii="Arial" w:cs="Arial" w:eastAsia="Arial" w:hAnsi="Arial"/>
          <w:sz w:val="30"/>
          <w:szCs w:val="30"/>
          <w:color w:val="0071CE"/>
          <w:vertAlign w:val="subscript"/>
        </w:rPr>
      </w:pPr>
      <w:r>
        <w:rPr>
          <w:rFonts w:ascii="Arial" w:cs="Arial" w:eastAsia="Arial" w:hAnsi="Arial"/>
          <w:sz w:val="20"/>
          <w:szCs w:val="20"/>
          <w:color w:val="00C1DE"/>
        </w:rPr>
        <w:t>•</w:t>
      </w:r>
      <w:r>
        <w:rPr>
          <w:rFonts w:ascii="Arial" w:cs="Arial" w:eastAsia="Arial" w:hAnsi="Arial"/>
          <w:sz w:val="14"/>
          <w:szCs w:val="14"/>
          <w:color w:val="3E3935"/>
        </w:rPr>
        <w:t xml:space="preserve">   Introduced new generation of vehicles, including the Chevrolet Trax and Montana, with reduced</w:t>
      </w:r>
      <w:r>
        <w:rPr>
          <w:rFonts w:ascii="Arial" w:cs="Arial" w:eastAsia="Arial" w:hAnsi="Arial"/>
          <w:sz w:val="20"/>
          <w:szCs w:val="20"/>
          <w:color w:val="00C1DE"/>
        </w:rPr>
        <w:t xml:space="preserve"> </w:t>
      </w:r>
      <w:r>
        <w:rPr>
          <w:rFonts w:ascii="Arial" w:cs="Arial" w:eastAsia="Arial" w:hAnsi="Arial"/>
          <w:sz w:val="14"/>
          <w:szCs w:val="14"/>
          <w:color w:val="3E3935"/>
        </w:rPr>
        <w:t>operational complexity while still offering best-in-class performance in entry-level segments</w:t>
      </w:r>
    </w:p>
    <w:p>
      <w:pPr>
        <w:spacing w:after="0" w:line="39" w:lineRule="exact"/>
        <w:rPr>
          <w:rFonts w:ascii="Arial" w:cs="Arial" w:eastAsia="Arial" w:hAnsi="Arial"/>
          <w:sz w:val="30"/>
          <w:szCs w:val="30"/>
          <w:color w:val="0071CE"/>
          <w:vertAlign w:val="subscript"/>
        </w:rPr>
      </w:pPr>
    </w:p>
    <w:p>
      <w:pPr>
        <w:ind w:left="340"/>
        <w:spacing w:after="0"/>
        <w:rPr>
          <w:rFonts w:ascii="Arial" w:cs="Arial" w:eastAsia="Arial" w:hAnsi="Arial"/>
          <w:sz w:val="30"/>
          <w:szCs w:val="30"/>
          <w:color w:val="0071CE"/>
          <w:vertAlign w:val="subscript"/>
        </w:rPr>
      </w:pPr>
      <w:r>
        <w:rPr>
          <w:rFonts w:ascii="Arial" w:cs="Arial" w:eastAsia="Arial" w:hAnsi="Arial"/>
          <w:sz w:val="14"/>
          <w:szCs w:val="14"/>
          <w:b w:val="1"/>
          <w:bCs w:val="1"/>
          <w:color w:val="3E3935"/>
        </w:rPr>
        <w:t>Citizenship</w:t>
      </w:r>
    </w:p>
    <w:p>
      <w:pPr>
        <w:spacing w:after="0" w:line="35" w:lineRule="exact"/>
        <w:rPr>
          <w:rFonts w:ascii="Arial" w:cs="Arial" w:eastAsia="Arial" w:hAnsi="Arial"/>
          <w:sz w:val="30"/>
          <w:szCs w:val="30"/>
          <w:color w:val="0071CE"/>
          <w:vertAlign w:val="subscript"/>
        </w:rPr>
      </w:pPr>
    </w:p>
    <w:p>
      <w:pPr>
        <w:ind w:left="560" w:right="220" w:hanging="216"/>
        <w:spacing w:after="0" w:line="246" w:lineRule="auto"/>
        <w:rPr>
          <w:rFonts w:ascii="Arial" w:cs="Arial" w:eastAsia="Arial" w:hAnsi="Arial"/>
          <w:sz w:val="30"/>
          <w:szCs w:val="30"/>
          <w:color w:val="0071CE"/>
          <w:vertAlign w:val="subscript"/>
        </w:rPr>
      </w:pPr>
      <w:r>
        <w:rPr>
          <w:rFonts w:ascii="Arial" w:cs="Arial" w:eastAsia="Arial" w:hAnsi="Arial"/>
          <w:sz w:val="20"/>
          <w:szCs w:val="20"/>
          <w:color w:val="00C1DE"/>
        </w:rPr>
        <w:t>•</w:t>
      </w:r>
      <w:r>
        <w:rPr>
          <w:rFonts w:ascii="Arial" w:cs="Arial" w:eastAsia="Arial" w:hAnsi="Arial"/>
          <w:sz w:val="14"/>
          <w:szCs w:val="14"/>
          <w:color w:val="3E3935"/>
        </w:rPr>
        <w:t xml:space="preserve">   Named one of 2022’s Michiganians of the Year by the Detroit News for leading technology and</w:t>
      </w:r>
      <w:r>
        <w:rPr>
          <w:rFonts w:ascii="Arial" w:cs="Arial" w:eastAsia="Arial" w:hAnsi="Arial"/>
          <w:sz w:val="20"/>
          <w:szCs w:val="20"/>
          <w:color w:val="00C1DE"/>
        </w:rPr>
        <w:t xml:space="preserve"> </w:t>
      </w:r>
      <w:r>
        <w:rPr>
          <w:rFonts w:ascii="Arial" w:cs="Arial" w:eastAsia="Arial" w:hAnsi="Arial"/>
          <w:sz w:val="14"/>
          <w:szCs w:val="14"/>
          <w:color w:val="3E3935"/>
        </w:rPr>
        <w:t xml:space="preserve">manufacturing investment and job creation, and leadership in numerous regional non-profit organizations </w:t>
      </w:r>
      <w:r>
        <w:rPr>
          <w:rFonts w:ascii="Arial" w:cs="Arial" w:eastAsia="Arial" w:hAnsi="Arial"/>
          <w:sz w:val="1"/>
          <w:szCs w:val="1"/>
          <w:color w:val="0071CE"/>
          <w:vertAlign w:val="subscript"/>
        </w:rPr>
        <w:drawing>
          <wp:inline distT="0" distB="0" distL="0" distR="0">
            <wp:extent cx="77470" cy="47625"/>
            <wp:effectExtent l="0" t="0" r="0" b="0"/>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7470" cy="47625"/>
                    </a:xfrm>
                    <a:prstGeom prst="rect">
                      <a:avLst/>
                    </a:prstGeom>
                    <a:noFill/>
                    <a:ln>
                      <a:noFill/>
                    </a:ln>
                  </pic:spPr>
                </pic:pic>
              </a:graphicData>
            </a:graphic>
          </wp:inline>
        </w:drawing>
      </w:r>
    </w:p>
    <w:p>
      <w:pPr>
        <w:spacing w:after="0" w:line="1" w:lineRule="exact"/>
        <w:rPr>
          <w:rFonts w:ascii="Arial" w:cs="Arial" w:eastAsia="Arial" w:hAnsi="Arial"/>
          <w:sz w:val="30"/>
          <w:szCs w:val="30"/>
          <w:color w:val="0071CE"/>
          <w:vertAlign w:val="subscript"/>
        </w:rPr>
      </w:pPr>
    </w:p>
    <w:p>
      <w:pPr>
        <w:ind w:left="560" w:right="220" w:hanging="216"/>
        <w:spacing w:after="0" w:line="204" w:lineRule="auto"/>
        <w:rPr>
          <w:rFonts w:ascii="Arial" w:cs="Arial" w:eastAsia="Arial" w:hAnsi="Arial"/>
          <w:sz w:val="30"/>
          <w:szCs w:val="30"/>
          <w:color w:val="0071CE"/>
          <w:vertAlign w:val="subscript"/>
        </w:rPr>
      </w:pPr>
      <w:r>
        <w:rPr>
          <w:rFonts w:ascii="Arial" w:cs="Arial" w:eastAsia="Arial" w:hAnsi="Arial"/>
          <w:sz w:val="20"/>
          <w:szCs w:val="20"/>
          <w:color w:val="00C1DE"/>
        </w:rPr>
        <w:t>•</w:t>
      </w:r>
      <w:r>
        <w:rPr>
          <w:rFonts w:ascii="Arial" w:cs="Arial" w:eastAsia="Arial" w:hAnsi="Arial"/>
          <w:sz w:val="14"/>
          <w:szCs w:val="14"/>
          <w:color w:val="3E3935"/>
        </w:rPr>
        <w:t xml:space="preserve">   Provided $60 million in funding to nonprofit organizations working to help create inclusive solutions to</w:t>
      </w:r>
      <w:r>
        <w:rPr>
          <w:rFonts w:ascii="Arial" w:cs="Arial" w:eastAsia="Arial" w:hAnsi="Arial"/>
          <w:sz w:val="20"/>
          <w:szCs w:val="20"/>
          <w:color w:val="00C1DE"/>
        </w:rPr>
        <w:t xml:space="preserve"> </w:t>
      </w:r>
      <w:r>
        <w:rPr>
          <w:rFonts w:ascii="Arial" w:cs="Arial" w:eastAsia="Arial" w:hAnsi="Arial"/>
          <w:sz w:val="14"/>
          <w:szCs w:val="14"/>
          <w:color w:val="3E3935"/>
        </w:rPr>
        <w:t xml:space="preserve">social issues around the world </w:t>
      </w:r>
      <w:r>
        <w:rPr>
          <w:rFonts w:ascii="Arial" w:cs="Arial" w:eastAsia="Arial" w:hAnsi="Arial"/>
          <w:sz w:val="1"/>
          <w:szCs w:val="1"/>
          <w:color w:val="0071CE"/>
          <w:vertAlign w:val="subscript"/>
        </w:rPr>
        <w:drawing>
          <wp:inline distT="0" distB="0" distL="0" distR="0">
            <wp:extent cx="76835" cy="76835"/>
            <wp:effectExtent l="0" t="0" r="0" b="0"/>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6835" cy="76835"/>
                    </a:xfrm>
                    <a:prstGeom prst="rect">
                      <a:avLst/>
                    </a:prstGeom>
                    <a:noFill/>
                    <a:ln>
                      <a:noFill/>
                    </a:ln>
                  </pic:spPr>
                </pic:pic>
              </a:graphicData>
            </a:graphic>
          </wp:inline>
        </w:drawing>
      </w:r>
    </w:p>
    <w:p>
      <w:pPr>
        <w:spacing w:after="0" w:line="39" w:lineRule="exact"/>
        <w:rPr>
          <w:rFonts w:ascii="Arial" w:cs="Arial" w:eastAsia="Arial" w:hAnsi="Arial"/>
          <w:sz w:val="30"/>
          <w:szCs w:val="30"/>
          <w:color w:val="0071CE"/>
          <w:vertAlign w:val="subscript"/>
        </w:rPr>
      </w:pPr>
    </w:p>
    <w:p>
      <w:pPr>
        <w:ind w:left="340"/>
        <w:spacing w:after="0"/>
        <w:rPr>
          <w:rFonts w:ascii="Arial" w:cs="Arial" w:eastAsia="Arial" w:hAnsi="Arial"/>
          <w:sz w:val="30"/>
          <w:szCs w:val="30"/>
          <w:color w:val="0071CE"/>
          <w:vertAlign w:val="subscript"/>
        </w:rPr>
      </w:pPr>
      <w:r>
        <w:rPr>
          <w:rFonts w:ascii="Arial" w:cs="Arial" w:eastAsia="Arial" w:hAnsi="Arial"/>
          <w:sz w:val="14"/>
          <w:szCs w:val="14"/>
          <w:b w:val="1"/>
          <w:bCs w:val="1"/>
          <w:color w:val="3E3935"/>
        </w:rPr>
        <w:t>Enterprise</w:t>
      </w:r>
    </w:p>
    <w:p>
      <w:pPr>
        <w:spacing w:after="0" w:line="35" w:lineRule="exact"/>
        <w:rPr>
          <w:rFonts w:ascii="Arial" w:cs="Arial" w:eastAsia="Arial" w:hAnsi="Arial"/>
          <w:sz w:val="30"/>
          <w:szCs w:val="30"/>
          <w:color w:val="0071CE"/>
          <w:vertAlign w:val="subscript"/>
        </w:rPr>
      </w:pPr>
    </w:p>
    <w:p>
      <w:pPr>
        <w:ind w:left="560" w:right="200" w:hanging="216"/>
        <w:spacing w:after="0" w:line="201" w:lineRule="auto"/>
        <w:rPr>
          <w:rFonts w:ascii="Arial" w:cs="Arial" w:eastAsia="Arial" w:hAnsi="Arial"/>
          <w:sz w:val="30"/>
          <w:szCs w:val="30"/>
          <w:color w:val="0071CE"/>
          <w:vertAlign w:val="subscript"/>
        </w:rPr>
      </w:pPr>
      <w:r>
        <w:rPr>
          <w:rFonts w:ascii="Arial" w:cs="Arial" w:eastAsia="Arial" w:hAnsi="Arial"/>
          <w:sz w:val="20"/>
          <w:szCs w:val="20"/>
          <w:color w:val="00C1DE"/>
        </w:rPr>
        <w:t>•</w:t>
      </w:r>
      <w:r>
        <w:rPr>
          <w:rFonts w:ascii="Arial" w:cs="Arial" w:eastAsia="Arial" w:hAnsi="Arial"/>
          <w:sz w:val="14"/>
          <w:szCs w:val="14"/>
          <w:color w:val="3E3935"/>
        </w:rPr>
        <w:t xml:space="preserve">   Developed the Ultium and Ultifi Platforms launching now, which support rapid growth of electric and</w:t>
      </w:r>
      <w:r>
        <w:rPr>
          <w:rFonts w:ascii="Arial" w:cs="Arial" w:eastAsia="Arial" w:hAnsi="Arial"/>
          <w:sz w:val="20"/>
          <w:szCs w:val="20"/>
          <w:color w:val="00C1DE"/>
        </w:rPr>
        <w:t xml:space="preserve"> </w:t>
      </w:r>
      <w:r>
        <w:rPr>
          <w:rFonts w:ascii="Arial" w:cs="Arial" w:eastAsia="Arial" w:hAnsi="Arial"/>
          <w:sz w:val="14"/>
          <w:szCs w:val="14"/>
          <w:color w:val="3E3935"/>
        </w:rPr>
        <w:t xml:space="preserve">software-defined vehicles, creating new revenue and profit opportunities </w:t>
      </w:r>
      <w:r>
        <w:rPr>
          <w:rFonts w:ascii="Arial" w:cs="Arial" w:eastAsia="Arial" w:hAnsi="Arial"/>
          <w:sz w:val="1"/>
          <w:szCs w:val="1"/>
          <w:color w:val="0071CE"/>
          <w:vertAlign w:val="subscript"/>
        </w:rPr>
        <w:drawing>
          <wp:inline distT="0" distB="0" distL="0" distR="0">
            <wp:extent cx="76835" cy="77470"/>
            <wp:effectExtent l="0" t="0" r="0" b="0"/>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6835" cy="77470"/>
                    </a:xfrm>
                    <a:prstGeom prst="rect">
                      <a:avLst/>
                    </a:prstGeom>
                    <a:noFill/>
                    <a:ln>
                      <a:noFill/>
                    </a:ln>
                  </pic:spPr>
                </pic:pic>
              </a:graphicData>
            </a:graphic>
          </wp:inline>
        </w:drawing>
      </w:r>
    </w:p>
    <w:p>
      <w:pPr>
        <w:ind w:left="560" w:right="220" w:hanging="216"/>
        <w:spacing w:after="0"/>
        <w:rPr>
          <w:rFonts w:ascii="Arial" w:cs="Arial" w:eastAsia="Arial" w:hAnsi="Arial"/>
          <w:sz w:val="30"/>
          <w:szCs w:val="30"/>
          <w:color w:val="0071CE"/>
          <w:vertAlign w:val="subscript"/>
        </w:rPr>
      </w:pPr>
      <w:r>
        <w:rPr>
          <w:rFonts w:ascii="Arial" w:cs="Arial" w:eastAsia="Arial" w:hAnsi="Arial"/>
          <w:sz w:val="20"/>
          <w:szCs w:val="20"/>
          <w:color w:val="00C1DE"/>
        </w:rPr>
        <w:t>•</w:t>
      </w:r>
      <w:r>
        <w:rPr>
          <w:rFonts w:ascii="Arial" w:cs="Arial" w:eastAsia="Arial" w:hAnsi="Arial"/>
          <w:sz w:val="14"/>
          <w:szCs w:val="14"/>
          <w:color w:val="3E3935"/>
        </w:rPr>
        <w:t xml:space="preserve">   Executed plan to increase manufacturing capacity for HD pickups, enabling GM to expand lead over</w:t>
      </w:r>
      <w:r>
        <w:rPr>
          <w:rFonts w:ascii="Arial" w:cs="Arial" w:eastAsia="Arial" w:hAnsi="Arial"/>
          <w:sz w:val="20"/>
          <w:szCs w:val="20"/>
          <w:color w:val="00C1DE"/>
        </w:rPr>
        <w:t xml:space="preserve"> </w:t>
      </w:r>
      <w:r>
        <w:rPr>
          <w:rFonts w:ascii="Arial" w:cs="Arial" w:eastAsia="Arial" w:hAnsi="Arial"/>
          <w:sz w:val="14"/>
          <w:szCs w:val="14"/>
          <w:color w:val="3E3935"/>
        </w:rPr>
        <w:t>the nearest competitor to approximately 115,000 units</w:t>
      </w:r>
    </w:p>
    <w:p>
      <w:pPr>
        <w:ind w:left="340"/>
        <w:spacing w:after="0"/>
        <w:rPr>
          <w:rFonts w:ascii="Arial" w:cs="Arial" w:eastAsia="Arial" w:hAnsi="Arial"/>
          <w:sz w:val="30"/>
          <w:szCs w:val="30"/>
          <w:color w:val="0071CE"/>
          <w:vertAlign w:val="subscript"/>
        </w:rPr>
      </w:pPr>
      <w:r>
        <w:rPr>
          <w:rFonts w:ascii="Arial" w:cs="Arial" w:eastAsia="Arial" w:hAnsi="Arial"/>
          <w:sz w:val="20"/>
          <w:szCs w:val="20"/>
          <w:color w:val="00C1DE"/>
        </w:rPr>
        <w:t>•</w:t>
      </w:r>
      <w:r>
        <w:rPr>
          <w:rFonts w:ascii="Arial" w:cs="Arial" w:eastAsia="Arial" w:hAnsi="Arial"/>
          <w:sz w:val="14"/>
          <w:szCs w:val="14"/>
          <w:color w:val="3E3935"/>
        </w:rPr>
        <w:t xml:space="preserve">   Announced plans for five assembly plants in the U.S., Canada, and Mexico to be building EVs </w:t>
      </w:r>
      <w:r>
        <w:rPr>
          <w:rFonts w:ascii="Arial" w:cs="Arial" w:eastAsia="Arial" w:hAnsi="Arial"/>
          <w:sz w:val="1"/>
          <w:szCs w:val="1"/>
          <w:color w:val="0071CE"/>
          <w:vertAlign w:val="subscript"/>
        </w:rPr>
        <w:drawing>
          <wp:inline distT="0" distB="0" distL="0" distR="0">
            <wp:extent cx="77470" cy="77470"/>
            <wp:effectExtent l="0" t="0" r="0" b="0"/>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7470" cy="77470"/>
                    </a:xfrm>
                    <a:prstGeom prst="rect">
                      <a:avLst/>
                    </a:prstGeom>
                    <a:noFill/>
                    <a:ln>
                      <a:noFill/>
                    </a:ln>
                  </pic:spPr>
                </pic:pic>
              </a:graphicData>
            </a:graphic>
          </wp:inline>
        </w:drawing>
      </w:r>
    </w:p>
    <w:p>
      <w:pPr>
        <w:spacing w:after="0" w:line="38" w:lineRule="exact"/>
        <w:rPr>
          <w:rFonts w:ascii="Arial" w:cs="Arial" w:eastAsia="Arial" w:hAnsi="Arial"/>
          <w:sz w:val="30"/>
          <w:szCs w:val="30"/>
          <w:color w:val="0071CE"/>
          <w:vertAlign w:val="subscript"/>
        </w:rPr>
      </w:pPr>
    </w:p>
    <w:p>
      <w:pPr>
        <w:ind w:left="340"/>
        <w:spacing w:after="0"/>
        <w:rPr>
          <w:rFonts w:ascii="Arial" w:cs="Arial" w:eastAsia="Arial" w:hAnsi="Arial"/>
          <w:sz w:val="30"/>
          <w:szCs w:val="30"/>
          <w:color w:val="0071CE"/>
          <w:vertAlign w:val="subscript"/>
        </w:rPr>
      </w:pPr>
      <w:r>
        <w:rPr>
          <w:rFonts w:ascii="Arial" w:cs="Arial" w:eastAsia="Arial" w:hAnsi="Arial"/>
          <w:sz w:val="14"/>
          <w:szCs w:val="14"/>
          <w:b w:val="1"/>
          <w:bCs w:val="1"/>
          <w:color w:val="3E3935"/>
        </w:rPr>
        <w:t>Customer Experience</w:t>
      </w:r>
    </w:p>
    <w:p>
      <w:pPr>
        <w:spacing w:after="0" w:line="35" w:lineRule="exact"/>
        <w:rPr>
          <w:rFonts w:ascii="Arial" w:cs="Arial" w:eastAsia="Arial" w:hAnsi="Arial"/>
          <w:sz w:val="30"/>
          <w:szCs w:val="30"/>
          <w:color w:val="0071CE"/>
          <w:vertAlign w:val="subscript"/>
        </w:rPr>
      </w:pPr>
    </w:p>
    <w:p>
      <w:pPr>
        <w:ind w:left="560" w:right="220" w:hanging="216"/>
        <w:spacing w:after="0" w:line="238" w:lineRule="auto"/>
        <w:rPr>
          <w:rFonts w:ascii="Arial" w:cs="Arial" w:eastAsia="Arial" w:hAnsi="Arial"/>
          <w:sz w:val="30"/>
          <w:szCs w:val="30"/>
          <w:color w:val="0071CE"/>
          <w:vertAlign w:val="subscript"/>
        </w:rPr>
      </w:pPr>
      <w:r>
        <w:rPr>
          <w:rFonts w:ascii="Arial" w:cs="Arial" w:eastAsia="Arial" w:hAnsi="Arial"/>
          <w:sz w:val="20"/>
          <w:szCs w:val="20"/>
          <w:color w:val="00C1DE"/>
        </w:rPr>
        <w:t>•</w:t>
      </w:r>
      <w:r>
        <w:rPr>
          <w:rFonts w:ascii="Arial" w:cs="Arial" w:eastAsia="Arial" w:hAnsi="Arial"/>
          <w:sz w:val="14"/>
          <w:szCs w:val="14"/>
          <w:color w:val="3E3935"/>
        </w:rPr>
        <w:t xml:space="preserve">   Launched new digital retail platform with our U.S. dealer partners to enhance the shopping and</w:t>
      </w:r>
      <w:r>
        <w:rPr>
          <w:rFonts w:ascii="Arial" w:cs="Arial" w:eastAsia="Arial" w:hAnsi="Arial"/>
          <w:sz w:val="20"/>
          <w:szCs w:val="20"/>
          <w:color w:val="00C1DE"/>
        </w:rPr>
        <w:t xml:space="preserve"> </w:t>
      </w:r>
      <w:r>
        <w:rPr>
          <w:rFonts w:ascii="Arial" w:cs="Arial" w:eastAsia="Arial" w:hAnsi="Arial"/>
          <w:sz w:val="14"/>
          <w:szCs w:val="14"/>
          <w:color w:val="3E3935"/>
        </w:rPr>
        <w:t>purchase experience for customers, while achieving faster order-to-delivery times and reducing inventory costs for GM and its dealers</w:t>
      </w:r>
    </w:p>
    <w:p>
      <w:pPr>
        <w:ind w:left="560" w:right="220" w:hanging="216"/>
        <w:spacing w:after="0"/>
        <w:rPr>
          <w:rFonts w:ascii="Arial" w:cs="Arial" w:eastAsia="Arial" w:hAnsi="Arial"/>
          <w:sz w:val="30"/>
          <w:szCs w:val="30"/>
          <w:color w:val="0071CE"/>
          <w:vertAlign w:val="subscript"/>
        </w:rPr>
      </w:pPr>
      <w:r>
        <w:rPr>
          <w:rFonts w:ascii="Arial" w:cs="Arial" w:eastAsia="Arial" w:hAnsi="Arial"/>
          <w:sz w:val="20"/>
          <w:szCs w:val="20"/>
          <w:color w:val="00C1DE"/>
        </w:rPr>
        <w:t>•</w:t>
      </w:r>
      <w:r>
        <w:rPr>
          <w:rFonts w:ascii="Arial" w:cs="Arial" w:eastAsia="Arial" w:hAnsi="Arial"/>
          <w:sz w:val="14"/>
          <w:szCs w:val="14"/>
          <w:color w:val="3E3935"/>
        </w:rPr>
        <w:t xml:space="preserve">   Extended OnStar Guardian skill for Amazon Alexa to all OnStar Guardian Members in the U.S. with</w:t>
      </w:r>
      <w:r>
        <w:rPr>
          <w:rFonts w:ascii="Arial" w:cs="Arial" w:eastAsia="Arial" w:hAnsi="Arial"/>
          <w:sz w:val="20"/>
          <w:szCs w:val="20"/>
          <w:color w:val="00C1DE"/>
        </w:rPr>
        <w:t xml:space="preserve"> </w:t>
      </w:r>
      <w:r>
        <w:rPr>
          <w:rFonts w:ascii="Arial" w:cs="Arial" w:eastAsia="Arial" w:hAnsi="Arial"/>
          <w:sz w:val="14"/>
          <w:szCs w:val="14"/>
          <w:color w:val="3E3935"/>
        </w:rPr>
        <w:t xml:space="preserve">an Alexa-enabled device </w:t>
      </w:r>
      <w:r>
        <w:rPr>
          <w:rFonts w:ascii="Arial" w:cs="Arial" w:eastAsia="Arial" w:hAnsi="Arial"/>
          <w:sz w:val="1"/>
          <w:szCs w:val="1"/>
          <w:color w:val="0071CE"/>
          <w:vertAlign w:val="subscript"/>
        </w:rPr>
        <w:drawing>
          <wp:inline distT="0" distB="0" distL="0" distR="0">
            <wp:extent cx="77470" cy="77470"/>
            <wp:effectExtent l="0" t="0" r="0" b="0"/>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7470" cy="77470"/>
                    </a:xfrm>
                    <a:prstGeom prst="rect">
                      <a:avLst/>
                    </a:prstGeom>
                    <a:noFill/>
                    <a:ln>
                      <a:noFill/>
                    </a:ln>
                  </pic:spPr>
                </pic:pic>
              </a:graphicData>
            </a:graphic>
          </wp:inline>
        </w:drawing>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-3816985</wp:posOffset>
            </wp:positionV>
            <wp:extent cx="4543425" cy="386588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4543425" cy="3865880"/>
                    </a:xfrm>
                    <a:prstGeom prst="rect">
                      <a:avLst/>
                    </a:prstGeom>
                    <a:noFill/>
                  </pic:spPr>
                </pic:pic>
              </a:graphicData>
            </a:graphic>
          </wp:anchor>
        </w:drawing>
      </w:r>
    </w:p>
    <w:p>
      <w:pPr>
        <w:spacing w:after="0" w:line="150" w:lineRule="exact"/>
        <w:rPr>
          <w:sz w:val="20"/>
          <w:szCs w:val="20"/>
          <w:color w:val="auto"/>
        </w:rPr>
      </w:pPr>
    </w:p>
    <w:p>
      <w:pPr>
        <w:ind w:left="120" w:right="20"/>
        <w:spacing w:after="0" w:line="286" w:lineRule="auto"/>
        <w:rPr>
          <w:sz w:val="20"/>
          <w:szCs w:val="20"/>
          <w:color w:val="auto"/>
        </w:rPr>
      </w:pPr>
      <w:r>
        <w:rPr>
          <w:rFonts w:ascii="Arial" w:cs="Arial" w:eastAsia="Arial" w:hAnsi="Arial"/>
          <w:sz w:val="16"/>
          <w:szCs w:val="16"/>
          <w:b w:val="1"/>
          <w:bCs w:val="1"/>
          <w:color w:val="0071CE"/>
        </w:rPr>
        <w:t xml:space="preserve">Long-Term Incentive </w:t>
      </w:r>
      <w:r>
        <w:rPr>
          <w:rFonts w:ascii="Arial" w:cs="Arial" w:eastAsia="Arial" w:hAnsi="Arial"/>
          <w:sz w:val="16"/>
          <w:szCs w:val="16"/>
          <w:color w:val="3E3935"/>
        </w:rPr>
        <w:t>– In February 2022, awarded an annual LTIP grant of $9.96 million,</w:t>
      </w:r>
      <w:r>
        <w:rPr>
          <w:rFonts w:ascii="Arial" w:cs="Arial" w:eastAsia="Arial" w:hAnsi="Arial"/>
          <w:sz w:val="16"/>
          <w:szCs w:val="16"/>
          <w:b w:val="1"/>
          <w:bCs w:val="1"/>
          <w:color w:val="0071CE"/>
        </w:rPr>
        <w:t xml:space="preserve"> </w:t>
      </w:r>
      <w:r>
        <w:rPr>
          <w:rFonts w:ascii="Arial" w:cs="Arial" w:eastAsia="Arial" w:hAnsi="Arial"/>
          <w:sz w:val="16"/>
          <w:szCs w:val="16"/>
          <w:color w:val="3E3935"/>
        </w:rPr>
        <w:t>consisting of 75 percent PSUs and 25 percent stock options.</w:t>
      </w:r>
    </w:p>
    <w:p>
      <w:pPr>
        <w:spacing w:after="0" w:line="48" w:lineRule="exact"/>
        <w:rPr>
          <w:sz w:val="20"/>
          <w:szCs w:val="20"/>
          <w:color w:val="auto"/>
        </w:rPr>
      </w:pPr>
    </w:p>
    <w:p>
      <w:pPr>
        <w:ind w:left="120"/>
        <w:spacing w:after="0"/>
        <w:rPr>
          <w:sz w:val="20"/>
          <w:szCs w:val="20"/>
          <w:color w:val="auto"/>
        </w:rPr>
      </w:pPr>
      <w:r>
        <w:rPr>
          <w:rFonts w:ascii="Arial" w:cs="Arial" w:eastAsia="Arial" w:hAnsi="Arial"/>
          <w:sz w:val="16"/>
          <w:szCs w:val="16"/>
          <w:color w:val="3E3935"/>
        </w:rPr>
        <w:t>Total awarded compensation for 2022, including salary, STIP, and LTIP, is displayed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89535</wp:posOffset>
            </wp:positionV>
            <wp:extent cx="4543425" cy="889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4543425" cy="8890"/>
                    </a:xfrm>
                    <a:prstGeom prst="rect">
                      <a:avLst/>
                    </a:prstGeom>
                    <a:noFill/>
                  </pic:spPr>
                </pic:pic>
              </a:graphicData>
            </a:graphic>
          </wp:anchor>
        </w:drawing>
      </w:r>
    </w:p>
    <w:p>
      <w:pPr>
        <w:spacing w:after="0" w:line="174" w:lineRule="exact"/>
        <w:rPr>
          <w:sz w:val="20"/>
          <w:szCs w:val="20"/>
          <w:color w:val="auto"/>
        </w:rPr>
      </w:pPr>
    </w:p>
    <w:tbl>
      <w:tblPr>
        <w:tblLayout w:type="fixed"/>
        <w:tblInd w:w="120" w:type="dxa"/>
        <w:tblCellMar>
          <w:top w:w="0" w:type="dxa"/>
          <w:left w:w="0" w:type="dxa"/>
          <w:bottom w:w="0" w:type="dxa"/>
          <w:right w:w="0" w:type="dxa"/>
        </w:tblCellMar>
      </w:tblPr>
      <w:tr>
        <w:trPr>
          <w:trHeight w:val="226"/>
        </w:trPr>
        <w:tc>
          <w:tcPr>
            <w:tcW w:w="1520" w:type="dxa"/>
            <w:vAlign w:val="bottom"/>
            <w:tcBorders>
              <w:bottom w:val="single" w:sz="8" w:color="00C1DE"/>
            </w:tcBorders>
          </w:tcPr>
          <w:p>
            <w:pPr>
              <w:ind w:left="80"/>
              <w:spacing w:after="0"/>
              <w:rPr>
                <w:sz w:val="20"/>
                <w:szCs w:val="20"/>
                <w:color w:val="auto"/>
              </w:rPr>
            </w:pPr>
            <w:r>
              <w:rPr>
                <w:rFonts w:ascii="Arial" w:cs="Arial" w:eastAsia="Arial" w:hAnsi="Arial"/>
                <w:sz w:val="16"/>
                <w:szCs w:val="16"/>
                <w:b w:val="1"/>
                <w:bCs w:val="1"/>
                <w:color w:val="00C1DE"/>
              </w:rPr>
              <w:t>Pay Element</w:t>
            </w:r>
          </w:p>
        </w:tc>
        <w:tc>
          <w:tcPr>
            <w:tcW w:w="3840" w:type="dxa"/>
            <w:vAlign w:val="bottom"/>
            <w:tcBorders>
              <w:bottom w:val="single" w:sz="8" w:color="00C1DE"/>
            </w:tcBorders>
          </w:tcPr>
          <w:p>
            <w:pPr>
              <w:ind w:left="400"/>
              <w:spacing w:after="0"/>
              <w:rPr>
                <w:sz w:val="20"/>
                <w:szCs w:val="20"/>
                <w:color w:val="auto"/>
              </w:rPr>
            </w:pPr>
            <w:r>
              <w:rPr>
                <w:rFonts w:ascii="Arial" w:cs="Arial" w:eastAsia="Arial" w:hAnsi="Arial"/>
                <w:sz w:val="16"/>
                <w:szCs w:val="16"/>
                <w:b w:val="1"/>
                <w:bCs w:val="1"/>
                <w:color w:val="00C1DE"/>
              </w:rPr>
              <w:t>Majority of Pay Is At-Risk</w:t>
            </w:r>
          </w:p>
        </w:tc>
        <w:tc>
          <w:tcPr>
            <w:tcW w:w="1800" w:type="dxa"/>
            <w:vAlign w:val="bottom"/>
            <w:tcBorders>
              <w:bottom w:val="single" w:sz="8" w:color="00C1DE"/>
            </w:tcBorders>
          </w:tcPr>
          <w:p>
            <w:pPr>
              <w:jc w:val="right"/>
              <w:spacing w:after="0"/>
              <w:rPr>
                <w:sz w:val="20"/>
                <w:szCs w:val="20"/>
                <w:color w:val="auto"/>
              </w:rPr>
            </w:pPr>
            <w:r>
              <w:rPr>
                <w:rFonts w:ascii="Arial" w:cs="Arial" w:eastAsia="Arial" w:hAnsi="Arial"/>
                <w:sz w:val="16"/>
                <w:szCs w:val="16"/>
                <w:b w:val="1"/>
                <w:bCs w:val="1"/>
                <w:color w:val="00C1DE"/>
              </w:rPr>
              <w:t>Awarded Value</w:t>
            </w:r>
          </w:p>
        </w:tc>
      </w:tr>
      <w:tr>
        <w:trPr>
          <w:trHeight w:val="265"/>
        </w:trPr>
        <w:tc>
          <w:tcPr>
            <w:tcW w:w="1520" w:type="dxa"/>
            <w:vAlign w:val="bottom"/>
          </w:tcPr>
          <w:p>
            <w:pPr>
              <w:ind w:left="80"/>
              <w:spacing w:after="0"/>
              <w:rPr>
                <w:sz w:val="20"/>
                <w:szCs w:val="20"/>
                <w:color w:val="auto"/>
              </w:rPr>
            </w:pPr>
            <w:r>
              <w:rPr>
                <w:rFonts w:ascii="Arial" w:cs="Arial" w:eastAsia="Arial" w:hAnsi="Arial"/>
                <w:sz w:val="16"/>
                <w:szCs w:val="16"/>
                <w:color w:val="3E3935"/>
              </w:rPr>
              <w:t>Base Salary</w:t>
            </w:r>
          </w:p>
        </w:tc>
        <w:tc>
          <w:tcPr>
            <w:tcW w:w="3840" w:type="dxa"/>
            <w:vAlign w:val="bottom"/>
          </w:tcPr>
          <w:p>
            <w:pPr>
              <w:ind w:left="400"/>
              <w:spacing w:after="0"/>
              <w:rPr>
                <w:sz w:val="20"/>
                <w:szCs w:val="20"/>
                <w:color w:val="auto"/>
              </w:rPr>
            </w:pPr>
            <w:r>
              <w:rPr>
                <w:rFonts w:ascii="Arial" w:cs="Arial" w:eastAsia="Arial" w:hAnsi="Arial"/>
                <w:sz w:val="16"/>
                <w:szCs w:val="16"/>
                <w:color w:val="3E3935"/>
              </w:rPr>
              <w:t>Only Fixed Pay Element</w:t>
            </w:r>
          </w:p>
        </w:tc>
        <w:tc>
          <w:tcPr>
            <w:tcW w:w="1800" w:type="dxa"/>
            <w:vAlign w:val="bottom"/>
          </w:tcPr>
          <w:p>
            <w:pPr>
              <w:jc w:val="right"/>
              <w:spacing w:after="0"/>
              <w:rPr>
                <w:sz w:val="20"/>
                <w:szCs w:val="20"/>
                <w:color w:val="auto"/>
              </w:rPr>
            </w:pPr>
            <w:r>
              <w:rPr>
                <w:rFonts w:ascii="Arial" w:cs="Arial" w:eastAsia="Arial" w:hAnsi="Arial"/>
                <w:sz w:val="16"/>
                <w:szCs w:val="16"/>
                <w:color w:val="3E3935"/>
              </w:rPr>
              <w:t>$1,350,000</w:t>
            </w:r>
          </w:p>
        </w:tc>
      </w:tr>
      <w:tr>
        <w:trPr>
          <w:trHeight w:val="43"/>
        </w:trPr>
        <w:tc>
          <w:tcPr>
            <w:tcW w:w="1520" w:type="dxa"/>
            <w:vAlign w:val="bottom"/>
            <w:tcBorders>
              <w:bottom w:val="single" w:sz="8" w:color="3E3935"/>
            </w:tcBorders>
          </w:tcPr>
          <w:p>
            <w:pPr>
              <w:spacing w:after="0"/>
              <w:rPr>
                <w:sz w:val="3"/>
                <w:szCs w:val="3"/>
                <w:color w:val="auto"/>
              </w:rPr>
            </w:pPr>
          </w:p>
        </w:tc>
        <w:tc>
          <w:tcPr>
            <w:tcW w:w="3840" w:type="dxa"/>
            <w:vAlign w:val="bottom"/>
            <w:tcBorders>
              <w:bottom w:val="single" w:sz="8" w:color="3E3935"/>
            </w:tcBorders>
          </w:tcPr>
          <w:p>
            <w:pPr>
              <w:spacing w:after="0"/>
              <w:rPr>
                <w:sz w:val="3"/>
                <w:szCs w:val="3"/>
                <w:color w:val="auto"/>
              </w:rPr>
            </w:pPr>
          </w:p>
        </w:tc>
        <w:tc>
          <w:tcPr>
            <w:tcW w:w="1800" w:type="dxa"/>
            <w:vAlign w:val="bottom"/>
            <w:tcBorders>
              <w:bottom w:val="single" w:sz="8" w:color="3E3935"/>
            </w:tcBorders>
          </w:tcPr>
          <w:p>
            <w:pPr>
              <w:spacing w:after="0"/>
              <w:rPr>
                <w:sz w:val="3"/>
                <w:szCs w:val="3"/>
                <w:color w:val="auto"/>
              </w:rPr>
            </w:pPr>
          </w:p>
        </w:tc>
      </w:tr>
      <w:tr>
        <w:trPr>
          <w:trHeight w:val="261"/>
        </w:trPr>
        <w:tc>
          <w:tcPr>
            <w:tcW w:w="1520" w:type="dxa"/>
            <w:vAlign w:val="bottom"/>
          </w:tcPr>
          <w:p>
            <w:pPr>
              <w:ind w:left="80"/>
              <w:spacing w:after="0"/>
              <w:rPr>
                <w:sz w:val="20"/>
                <w:szCs w:val="20"/>
                <w:color w:val="auto"/>
              </w:rPr>
            </w:pPr>
            <w:r>
              <w:rPr>
                <w:rFonts w:ascii="Arial" w:cs="Arial" w:eastAsia="Arial" w:hAnsi="Arial"/>
                <w:sz w:val="16"/>
                <w:szCs w:val="16"/>
                <w:color w:val="3E3935"/>
              </w:rPr>
              <w:t>STIP</w:t>
            </w:r>
          </w:p>
        </w:tc>
        <w:tc>
          <w:tcPr>
            <w:tcW w:w="3840" w:type="dxa"/>
            <w:vAlign w:val="bottom"/>
          </w:tcPr>
          <w:p>
            <w:pPr>
              <w:ind w:left="400"/>
              <w:spacing w:after="0"/>
              <w:rPr>
                <w:sz w:val="20"/>
                <w:szCs w:val="20"/>
                <w:color w:val="auto"/>
              </w:rPr>
            </w:pPr>
            <w:r>
              <w:rPr>
                <w:rFonts w:ascii="Arial" w:cs="Arial" w:eastAsia="Arial" w:hAnsi="Arial"/>
                <w:sz w:val="16"/>
                <w:szCs w:val="16"/>
                <w:color w:val="3E3935"/>
              </w:rPr>
              <w:t>Performance to Metrics</w:t>
            </w:r>
          </w:p>
        </w:tc>
        <w:tc>
          <w:tcPr>
            <w:tcW w:w="1800" w:type="dxa"/>
            <w:vAlign w:val="bottom"/>
          </w:tcPr>
          <w:p>
            <w:pPr>
              <w:jc w:val="right"/>
              <w:spacing w:after="0"/>
              <w:rPr>
                <w:sz w:val="20"/>
                <w:szCs w:val="20"/>
                <w:color w:val="auto"/>
              </w:rPr>
            </w:pPr>
            <w:r>
              <w:rPr>
                <w:rFonts w:ascii="Arial" w:cs="Arial" w:eastAsia="Arial" w:hAnsi="Arial"/>
                <w:sz w:val="16"/>
                <w:szCs w:val="16"/>
                <w:color w:val="3E3935"/>
              </w:rPr>
              <w:t>$2,598,800</w:t>
            </w:r>
          </w:p>
        </w:tc>
      </w:tr>
      <w:tr>
        <w:trPr>
          <w:trHeight w:val="43"/>
        </w:trPr>
        <w:tc>
          <w:tcPr>
            <w:tcW w:w="1520" w:type="dxa"/>
            <w:vAlign w:val="bottom"/>
            <w:tcBorders>
              <w:bottom w:val="single" w:sz="8" w:color="3E3935"/>
            </w:tcBorders>
          </w:tcPr>
          <w:p>
            <w:pPr>
              <w:spacing w:after="0"/>
              <w:rPr>
                <w:sz w:val="3"/>
                <w:szCs w:val="3"/>
                <w:color w:val="auto"/>
              </w:rPr>
            </w:pPr>
          </w:p>
        </w:tc>
        <w:tc>
          <w:tcPr>
            <w:tcW w:w="3840" w:type="dxa"/>
            <w:vAlign w:val="bottom"/>
            <w:tcBorders>
              <w:bottom w:val="single" w:sz="8" w:color="3E3935"/>
            </w:tcBorders>
          </w:tcPr>
          <w:p>
            <w:pPr>
              <w:spacing w:after="0"/>
              <w:rPr>
                <w:sz w:val="3"/>
                <w:szCs w:val="3"/>
                <w:color w:val="auto"/>
              </w:rPr>
            </w:pPr>
          </w:p>
        </w:tc>
        <w:tc>
          <w:tcPr>
            <w:tcW w:w="1800" w:type="dxa"/>
            <w:vAlign w:val="bottom"/>
            <w:tcBorders>
              <w:bottom w:val="single" w:sz="8" w:color="3E3935"/>
            </w:tcBorders>
          </w:tcPr>
          <w:p>
            <w:pPr>
              <w:spacing w:after="0"/>
              <w:rPr>
                <w:sz w:val="3"/>
                <w:szCs w:val="3"/>
                <w:color w:val="auto"/>
              </w:rPr>
            </w:pPr>
          </w:p>
        </w:tc>
      </w:tr>
      <w:tr>
        <w:trPr>
          <w:trHeight w:val="261"/>
        </w:trPr>
        <w:tc>
          <w:tcPr>
            <w:tcW w:w="1520" w:type="dxa"/>
            <w:vAlign w:val="bottom"/>
          </w:tcPr>
          <w:p>
            <w:pPr>
              <w:ind w:left="80"/>
              <w:spacing w:after="0"/>
              <w:rPr>
                <w:sz w:val="20"/>
                <w:szCs w:val="20"/>
                <w:color w:val="auto"/>
              </w:rPr>
            </w:pPr>
            <w:r>
              <w:rPr>
                <w:rFonts w:ascii="Arial" w:cs="Arial" w:eastAsia="Arial" w:hAnsi="Arial"/>
                <w:sz w:val="16"/>
                <w:szCs w:val="16"/>
                <w:color w:val="3E3935"/>
              </w:rPr>
              <w:t>PSUs</w:t>
            </w:r>
          </w:p>
        </w:tc>
        <w:tc>
          <w:tcPr>
            <w:tcW w:w="3840" w:type="dxa"/>
            <w:vAlign w:val="bottom"/>
          </w:tcPr>
          <w:p>
            <w:pPr>
              <w:ind w:left="400"/>
              <w:spacing w:after="0"/>
              <w:rPr>
                <w:sz w:val="20"/>
                <w:szCs w:val="20"/>
                <w:color w:val="auto"/>
              </w:rPr>
            </w:pPr>
            <w:r>
              <w:rPr>
                <w:rFonts w:ascii="Arial" w:cs="Arial" w:eastAsia="Arial" w:hAnsi="Arial"/>
                <w:sz w:val="16"/>
                <w:szCs w:val="16"/>
                <w:color w:val="3E3935"/>
              </w:rPr>
              <w:t>Performance to Metrics and Stock Price</w:t>
            </w:r>
          </w:p>
        </w:tc>
        <w:tc>
          <w:tcPr>
            <w:tcW w:w="1800" w:type="dxa"/>
            <w:vAlign w:val="bottom"/>
          </w:tcPr>
          <w:p>
            <w:pPr>
              <w:jc w:val="right"/>
              <w:spacing w:after="0"/>
              <w:rPr>
                <w:sz w:val="20"/>
                <w:szCs w:val="20"/>
                <w:color w:val="auto"/>
              </w:rPr>
            </w:pPr>
            <w:r>
              <w:rPr>
                <w:rFonts w:ascii="Arial" w:cs="Arial" w:eastAsia="Arial" w:hAnsi="Arial"/>
                <w:sz w:val="16"/>
                <w:szCs w:val="16"/>
                <w:color w:val="3E3935"/>
              </w:rPr>
              <w:t>$7,471,875</w:t>
            </w:r>
          </w:p>
        </w:tc>
      </w:tr>
      <w:tr>
        <w:trPr>
          <w:trHeight w:val="43"/>
        </w:trPr>
        <w:tc>
          <w:tcPr>
            <w:tcW w:w="1520" w:type="dxa"/>
            <w:vAlign w:val="bottom"/>
            <w:tcBorders>
              <w:bottom w:val="single" w:sz="8" w:color="3E3935"/>
            </w:tcBorders>
          </w:tcPr>
          <w:p>
            <w:pPr>
              <w:spacing w:after="0"/>
              <w:rPr>
                <w:sz w:val="3"/>
                <w:szCs w:val="3"/>
                <w:color w:val="auto"/>
              </w:rPr>
            </w:pPr>
          </w:p>
        </w:tc>
        <w:tc>
          <w:tcPr>
            <w:tcW w:w="3840" w:type="dxa"/>
            <w:vAlign w:val="bottom"/>
            <w:tcBorders>
              <w:bottom w:val="single" w:sz="8" w:color="3E3935"/>
            </w:tcBorders>
          </w:tcPr>
          <w:p>
            <w:pPr>
              <w:spacing w:after="0"/>
              <w:rPr>
                <w:sz w:val="3"/>
                <w:szCs w:val="3"/>
                <w:color w:val="auto"/>
              </w:rPr>
            </w:pPr>
          </w:p>
        </w:tc>
        <w:tc>
          <w:tcPr>
            <w:tcW w:w="1800" w:type="dxa"/>
            <w:vAlign w:val="bottom"/>
            <w:tcBorders>
              <w:bottom w:val="single" w:sz="8" w:color="3E3935"/>
            </w:tcBorders>
          </w:tcPr>
          <w:p>
            <w:pPr>
              <w:spacing w:after="0"/>
              <w:rPr>
                <w:sz w:val="3"/>
                <w:szCs w:val="3"/>
                <w:color w:val="auto"/>
              </w:rPr>
            </w:pPr>
          </w:p>
        </w:tc>
      </w:tr>
      <w:tr>
        <w:trPr>
          <w:trHeight w:val="261"/>
        </w:trPr>
        <w:tc>
          <w:tcPr>
            <w:tcW w:w="1520" w:type="dxa"/>
            <w:vAlign w:val="bottom"/>
          </w:tcPr>
          <w:p>
            <w:pPr>
              <w:ind w:left="80"/>
              <w:spacing w:after="0"/>
              <w:rPr>
                <w:sz w:val="20"/>
                <w:szCs w:val="20"/>
                <w:color w:val="auto"/>
              </w:rPr>
            </w:pPr>
            <w:r>
              <w:rPr>
                <w:rFonts w:ascii="Arial" w:cs="Arial" w:eastAsia="Arial" w:hAnsi="Arial"/>
                <w:sz w:val="16"/>
                <w:szCs w:val="16"/>
                <w:color w:val="3E3935"/>
              </w:rPr>
              <w:t>Stock Options</w:t>
            </w:r>
          </w:p>
        </w:tc>
        <w:tc>
          <w:tcPr>
            <w:tcW w:w="3840" w:type="dxa"/>
            <w:vAlign w:val="bottom"/>
          </w:tcPr>
          <w:p>
            <w:pPr>
              <w:ind w:left="400"/>
              <w:spacing w:after="0"/>
              <w:rPr>
                <w:sz w:val="20"/>
                <w:szCs w:val="20"/>
                <w:color w:val="auto"/>
              </w:rPr>
            </w:pPr>
            <w:r>
              <w:rPr>
                <w:rFonts w:ascii="Arial" w:cs="Arial" w:eastAsia="Arial" w:hAnsi="Arial"/>
                <w:sz w:val="16"/>
                <w:szCs w:val="16"/>
                <w:color w:val="3E3935"/>
              </w:rPr>
              <w:t>Performance to Stock Price</w:t>
            </w:r>
          </w:p>
        </w:tc>
        <w:tc>
          <w:tcPr>
            <w:tcW w:w="1800" w:type="dxa"/>
            <w:vAlign w:val="bottom"/>
          </w:tcPr>
          <w:p>
            <w:pPr>
              <w:jc w:val="right"/>
              <w:spacing w:after="0"/>
              <w:rPr>
                <w:sz w:val="20"/>
                <w:szCs w:val="20"/>
                <w:color w:val="auto"/>
              </w:rPr>
            </w:pPr>
            <w:r>
              <w:rPr>
                <w:rFonts w:ascii="Arial" w:cs="Arial" w:eastAsia="Arial" w:hAnsi="Arial"/>
                <w:sz w:val="16"/>
                <w:szCs w:val="16"/>
                <w:color w:val="3E3935"/>
              </w:rPr>
              <w:t>$2,490,626</w:t>
            </w:r>
          </w:p>
        </w:tc>
      </w:tr>
      <w:tr>
        <w:trPr>
          <w:trHeight w:val="43"/>
        </w:trPr>
        <w:tc>
          <w:tcPr>
            <w:tcW w:w="1520" w:type="dxa"/>
            <w:vAlign w:val="bottom"/>
            <w:tcBorders>
              <w:bottom w:val="single" w:sz="8" w:color="3E3935"/>
            </w:tcBorders>
          </w:tcPr>
          <w:p>
            <w:pPr>
              <w:spacing w:after="0"/>
              <w:rPr>
                <w:sz w:val="3"/>
                <w:szCs w:val="3"/>
                <w:color w:val="auto"/>
              </w:rPr>
            </w:pPr>
          </w:p>
        </w:tc>
        <w:tc>
          <w:tcPr>
            <w:tcW w:w="3840" w:type="dxa"/>
            <w:vAlign w:val="bottom"/>
            <w:tcBorders>
              <w:bottom w:val="single" w:sz="8" w:color="3E3935"/>
            </w:tcBorders>
          </w:tcPr>
          <w:p>
            <w:pPr>
              <w:spacing w:after="0"/>
              <w:rPr>
                <w:sz w:val="3"/>
                <w:szCs w:val="3"/>
                <w:color w:val="auto"/>
              </w:rPr>
            </w:pPr>
          </w:p>
        </w:tc>
        <w:tc>
          <w:tcPr>
            <w:tcW w:w="1800" w:type="dxa"/>
            <w:vAlign w:val="bottom"/>
            <w:tcBorders>
              <w:bottom w:val="single" w:sz="8" w:color="3E3935"/>
            </w:tcBorders>
          </w:tcPr>
          <w:p>
            <w:pPr>
              <w:spacing w:after="0"/>
              <w:rPr>
                <w:sz w:val="3"/>
                <w:szCs w:val="3"/>
                <w:color w:val="auto"/>
              </w:rPr>
            </w:pPr>
          </w:p>
        </w:tc>
      </w:tr>
      <w:tr>
        <w:trPr>
          <w:trHeight w:val="269"/>
        </w:trPr>
        <w:tc>
          <w:tcPr>
            <w:tcW w:w="1520" w:type="dxa"/>
            <w:vAlign w:val="bottom"/>
          </w:tcPr>
          <w:p>
            <w:pPr>
              <w:ind w:left="80"/>
              <w:spacing w:after="0"/>
              <w:rPr>
                <w:sz w:val="20"/>
                <w:szCs w:val="20"/>
                <w:color w:val="auto"/>
              </w:rPr>
            </w:pPr>
            <w:r>
              <w:rPr>
                <w:rFonts w:ascii="Arial" w:cs="Arial" w:eastAsia="Arial" w:hAnsi="Arial"/>
                <w:sz w:val="16"/>
                <w:szCs w:val="16"/>
                <w:b w:val="1"/>
                <w:bCs w:val="1"/>
                <w:color w:val="0071CE"/>
              </w:rPr>
              <w:t>TOTAL</w:t>
            </w:r>
          </w:p>
        </w:tc>
        <w:tc>
          <w:tcPr>
            <w:tcW w:w="3840" w:type="dxa"/>
            <w:vAlign w:val="bottom"/>
          </w:tcPr>
          <w:p>
            <w:pPr>
              <w:spacing w:after="0"/>
              <w:rPr>
                <w:sz w:val="23"/>
                <w:szCs w:val="23"/>
                <w:color w:val="auto"/>
              </w:rPr>
            </w:pPr>
          </w:p>
        </w:tc>
        <w:tc>
          <w:tcPr>
            <w:tcW w:w="1800" w:type="dxa"/>
            <w:vAlign w:val="bottom"/>
          </w:tcPr>
          <w:p>
            <w:pPr>
              <w:jc w:val="right"/>
              <w:spacing w:after="0"/>
              <w:rPr>
                <w:sz w:val="20"/>
                <w:szCs w:val="20"/>
                <w:color w:val="auto"/>
              </w:rPr>
            </w:pPr>
            <w:r>
              <w:rPr>
                <w:rFonts w:ascii="Arial" w:cs="Arial" w:eastAsia="Arial" w:hAnsi="Arial"/>
                <w:sz w:val="16"/>
                <w:szCs w:val="16"/>
                <w:b w:val="1"/>
                <w:bCs w:val="1"/>
                <w:color w:val="0071CE"/>
              </w:rPr>
              <w:t>$13,911,301</w:t>
            </w:r>
          </w:p>
        </w:tc>
      </w:tr>
      <w:tr>
        <w:trPr>
          <w:trHeight w:val="35"/>
        </w:trPr>
        <w:tc>
          <w:tcPr>
            <w:tcW w:w="1520" w:type="dxa"/>
            <w:vAlign w:val="bottom"/>
            <w:tcBorders>
              <w:bottom w:val="single" w:sz="8" w:color="0071CE"/>
            </w:tcBorders>
          </w:tcPr>
          <w:p>
            <w:pPr>
              <w:spacing w:after="0"/>
              <w:rPr>
                <w:sz w:val="3"/>
                <w:szCs w:val="3"/>
                <w:color w:val="auto"/>
              </w:rPr>
            </w:pPr>
          </w:p>
        </w:tc>
        <w:tc>
          <w:tcPr>
            <w:tcW w:w="3840" w:type="dxa"/>
            <w:vAlign w:val="bottom"/>
            <w:tcBorders>
              <w:bottom w:val="single" w:sz="8" w:color="0071CE"/>
            </w:tcBorders>
          </w:tcPr>
          <w:p>
            <w:pPr>
              <w:spacing w:after="0"/>
              <w:rPr>
                <w:sz w:val="3"/>
                <w:szCs w:val="3"/>
                <w:color w:val="auto"/>
              </w:rPr>
            </w:pPr>
          </w:p>
        </w:tc>
        <w:tc>
          <w:tcPr>
            <w:tcW w:w="1800" w:type="dxa"/>
            <w:vAlign w:val="bottom"/>
            <w:tcBorders>
              <w:bottom w:val="single" w:sz="8" w:color="0071CE"/>
            </w:tcBorders>
          </w:tcPr>
          <w:p>
            <w:pPr>
              <w:spacing w:after="0"/>
              <w:rPr>
                <w:sz w:val="3"/>
                <w:szCs w:val="3"/>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both"/>
        <w:spacing w:after="0" w:line="261" w:lineRule="auto"/>
        <w:rPr>
          <w:sz w:val="20"/>
          <w:szCs w:val="20"/>
          <w:color w:val="auto"/>
        </w:rPr>
      </w:pPr>
      <w:r>
        <w:rPr>
          <w:rFonts w:ascii="Arial" w:cs="Arial" w:eastAsia="Arial" w:hAnsi="Arial"/>
          <w:sz w:val="14"/>
          <w:szCs w:val="14"/>
          <w:i w:val="1"/>
          <w:iCs w:val="1"/>
          <w:color w:val="3E3935"/>
        </w:rPr>
        <w:t>Awarded Value reflects the amount included in the Summary Compensation Table, excluding change in pension value and all other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330835</wp:posOffset>
            </wp:positionH>
            <wp:positionV relativeFrom="paragraph">
              <wp:posOffset>-5197475</wp:posOffset>
            </wp:positionV>
            <wp:extent cx="1585595" cy="480060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1585595" cy="4800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sz w:val="1"/>
          <w:szCs w:val="1"/>
          <w:color w:val="auto"/>
        </w:rPr>
        <w:drawing>
          <wp:inline distT="0" distB="0" distL="0" distR="0">
            <wp:extent cx="77470" cy="76835"/>
            <wp:effectExtent l="0" t="0" r="0" b="0"/>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7470" cy="76835"/>
                    </a:xfrm>
                    <a:prstGeom prst="rect">
                      <a:avLst/>
                    </a:prstGeom>
                    <a:noFill/>
                    <a:ln>
                      <a:noFill/>
                    </a:ln>
                  </pic:spPr>
                </pic:pic>
              </a:graphicData>
            </a:graphic>
          </wp:inline>
        </w:drawing>
      </w:r>
      <w:r>
        <w:rPr>
          <w:rFonts w:ascii="Arial" w:cs="Arial" w:eastAsia="Arial" w:hAnsi="Arial"/>
          <w:sz w:val="18"/>
          <w:szCs w:val="18"/>
          <w:i w:val="1"/>
          <w:iCs w:val="1"/>
          <w:color w:val="3E3935"/>
        </w:rPr>
        <w:t xml:space="preserve"> Represents ESG Results</w:t>
      </w:r>
    </w:p>
    <w:p>
      <w:pPr>
        <w:spacing w:after="0" w:line="200" w:lineRule="exact"/>
        <w:rPr>
          <w:sz w:val="20"/>
          <w:szCs w:val="20"/>
          <w:color w:val="auto"/>
        </w:rPr>
      </w:pPr>
    </w:p>
    <w:p>
      <w:pPr>
        <w:sectPr>
          <w:pgSz w:w="11900" w:h="16838" w:orient="portrait"/>
          <w:cols w:equalWidth="0" w:num="2">
            <w:col w:w="7280" w:space="320"/>
            <w:col w:w="3540"/>
          </w:cols>
          <w:pgMar w:left="320" w:top="482" w:right="439" w:bottom="1440" w:gutter="0" w:footer="0" w:header="0"/>
        </w:sectPr>
      </w:pPr>
    </w:p>
    <w:p>
      <w:pPr>
        <w:spacing w:after="0" w:line="87" w:lineRule="exact"/>
        <w:rPr>
          <w:sz w:val="20"/>
          <w:szCs w:val="20"/>
          <w:color w:val="auto"/>
        </w:rPr>
      </w:pPr>
    </w:p>
    <w:p>
      <w:pPr>
        <w:ind w:left="10660"/>
        <w:spacing w:after="0"/>
        <w:rPr>
          <w:sz w:val="20"/>
          <w:szCs w:val="20"/>
          <w:color w:val="auto"/>
        </w:rPr>
      </w:pPr>
      <w:r>
        <w:rPr>
          <w:rFonts w:ascii="Arial" w:cs="Arial" w:eastAsia="Arial" w:hAnsi="Arial"/>
          <w:sz w:val="14"/>
          <w:szCs w:val="14"/>
          <w:color w:val="0071CE"/>
        </w:rPr>
        <w:t>67</w:t>
      </w:r>
    </w:p>
    <w:p>
      <w:pPr>
        <w:sectPr>
          <w:pgSz w:w="11900" w:h="16838" w:orient="portrait"/>
          <w:cols w:equalWidth="0" w:num="1">
            <w:col w:w="11140"/>
          </w:cols>
          <w:pgMar w:left="320" w:top="482" w:right="439" w:bottom="1440" w:gutter="0" w:footer="0" w:header="0"/>
          <w:type w:val="continuous"/>
        </w:sectPr>
      </w:pPr>
    </w:p>
    <w:bookmarkStart w:id="73" w:name="page74"/>
    <w:bookmarkEnd w:id="7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59" w:lineRule="exact"/>
        <w:rPr>
          <w:sz w:val="20"/>
          <w:szCs w:val="20"/>
          <w:color w:val="auto"/>
        </w:rPr>
      </w:pPr>
    </w:p>
    <w:p>
      <w:pPr>
        <w:ind w:left="560" w:hanging="444"/>
        <w:spacing w:after="0"/>
        <w:tabs>
          <w:tab w:leader="none" w:pos="560" w:val="left"/>
        </w:tabs>
        <w:numPr>
          <w:ilvl w:val="0"/>
          <w:numId w:val="107"/>
        </w:numPr>
        <w:rPr>
          <w:rFonts w:ascii="Times New Roman" w:cs="Times New Roman" w:eastAsia="Times New Roman" w:hAnsi="Times New Roman"/>
          <w:sz w:val="19"/>
          <w:szCs w:val="19"/>
          <w:color w:val="0071CE"/>
        </w:rPr>
      </w:pPr>
      <w:r>
        <w:rPr>
          <w:rFonts w:ascii="Arial" w:cs="Arial" w:eastAsia="Arial" w:hAnsi="Arial"/>
          <w:sz w:val="25"/>
          <w:szCs w:val="25"/>
          <w:color w:val="3E3935"/>
        </w:rPr>
        <w:t>Compensation Decisions for Douglas L. Parks</w:t>
      </w:r>
    </w:p>
    <w:p>
      <w:pPr>
        <w:spacing w:after="0" w:line="116" w:lineRule="exact"/>
        <w:rPr>
          <w:sz w:val="20"/>
          <w:szCs w:val="20"/>
          <w:color w:val="auto"/>
        </w:rPr>
      </w:pPr>
    </w:p>
    <w:p>
      <w:pPr>
        <w:ind w:left="180" w:right="340"/>
        <w:spacing w:after="0" w:line="270" w:lineRule="auto"/>
        <w:rPr>
          <w:sz w:val="20"/>
          <w:szCs w:val="20"/>
          <w:color w:val="auto"/>
        </w:rPr>
      </w:pPr>
      <w:r>
        <w:rPr>
          <w:rFonts w:ascii="Arial" w:cs="Arial" w:eastAsia="Arial" w:hAnsi="Arial"/>
          <w:sz w:val="20"/>
          <w:szCs w:val="20"/>
          <w:b w:val="1"/>
          <w:bCs w:val="1"/>
          <w:color w:val="3E3935"/>
        </w:rPr>
        <w:t>Executive Vice President, Global Product Development, Purchasing and Supply Chain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29210</wp:posOffset>
            </wp:positionV>
            <wp:extent cx="4543425" cy="1714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4543425" cy="17145"/>
                    </a:xfrm>
                    <a:prstGeom prst="rect">
                      <a:avLst/>
                    </a:prstGeom>
                    <a:noFill/>
                  </pic:spPr>
                </pic:pic>
              </a:graphicData>
            </a:graphic>
          </wp:anchor>
        </w:drawing>
      </w:r>
    </w:p>
    <w:p>
      <w:pPr>
        <w:spacing w:after="0" w:line="120" w:lineRule="exact"/>
        <w:rPr>
          <w:sz w:val="20"/>
          <w:szCs w:val="20"/>
          <w:color w:val="auto"/>
        </w:rPr>
      </w:pPr>
    </w:p>
    <w:p>
      <w:pPr>
        <w:jc w:val="both"/>
        <w:ind w:left="120"/>
        <w:spacing w:after="0" w:line="275" w:lineRule="auto"/>
        <w:rPr>
          <w:sz w:val="20"/>
          <w:szCs w:val="20"/>
          <w:color w:val="auto"/>
        </w:rPr>
      </w:pPr>
      <w:r>
        <w:rPr>
          <w:rFonts w:ascii="Arial" w:cs="Arial" w:eastAsia="Arial" w:hAnsi="Arial"/>
          <w:sz w:val="16"/>
          <w:szCs w:val="16"/>
          <w:color w:val="3E3935"/>
        </w:rPr>
        <w:t>The Compensation Committee made the following pay decisions based on performance, competitive market data, and feedback from its independent compensation consultant and management:</w:t>
      </w:r>
    </w:p>
    <w:p>
      <w:pPr>
        <w:spacing w:after="0" w:line="253"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0071CE"/>
        </w:rPr>
        <w:t xml:space="preserve">Base Salary </w:t>
      </w:r>
      <w:r>
        <w:rPr>
          <w:rFonts w:ascii="Arial" w:cs="Arial" w:eastAsia="Arial" w:hAnsi="Arial"/>
          <w:sz w:val="16"/>
          <w:szCs w:val="16"/>
          <w:color w:val="3E3935"/>
        </w:rPr>
        <w:t>– Effective January 1, 2022, increased base salary from $850,000 to $875,000.</w:t>
      </w:r>
    </w:p>
    <w:p>
      <w:pPr>
        <w:spacing w:after="0" w:line="113" w:lineRule="exact"/>
        <w:rPr>
          <w:sz w:val="20"/>
          <w:szCs w:val="20"/>
          <w:color w:val="auto"/>
        </w:rPr>
      </w:pPr>
    </w:p>
    <w:p>
      <w:pPr>
        <w:jc w:val="both"/>
        <w:ind w:left="120"/>
        <w:spacing w:after="0" w:line="257" w:lineRule="auto"/>
        <w:rPr>
          <w:sz w:val="20"/>
          <w:szCs w:val="20"/>
          <w:color w:val="auto"/>
        </w:rPr>
      </w:pPr>
      <w:r>
        <w:rPr>
          <w:rFonts w:ascii="Arial" w:cs="Arial" w:eastAsia="Arial" w:hAnsi="Arial"/>
          <w:sz w:val="16"/>
          <w:szCs w:val="16"/>
          <w:b w:val="1"/>
          <w:bCs w:val="1"/>
          <w:color w:val="0071CE"/>
        </w:rPr>
        <w:t xml:space="preserve">Short-Term Incentive </w:t>
      </w:r>
      <w:r>
        <w:rPr>
          <w:rFonts w:ascii="Arial" w:cs="Arial" w:eastAsia="Arial" w:hAnsi="Arial"/>
          <w:sz w:val="16"/>
          <w:szCs w:val="16"/>
          <w:color w:val="3E3935"/>
        </w:rPr>
        <w:t>– Awarded 30 points out of a 25-point target and 50-point maximum for the</w:t>
      </w:r>
      <w:r>
        <w:rPr>
          <w:rFonts w:ascii="Arial" w:cs="Arial" w:eastAsia="Arial" w:hAnsi="Arial"/>
          <w:sz w:val="16"/>
          <w:szCs w:val="16"/>
          <w:b w:val="1"/>
          <w:bCs w:val="1"/>
          <w:color w:val="0071CE"/>
        </w:rPr>
        <w:t xml:space="preserve"> </w:t>
      </w:r>
      <w:r>
        <w:rPr>
          <w:rFonts w:ascii="Arial" w:cs="Arial" w:eastAsia="Arial" w:hAnsi="Arial"/>
          <w:sz w:val="16"/>
          <w:szCs w:val="16"/>
          <w:color w:val="3E3935"/>
        </w:rPr>
        <w:t>strategic goals portion for the 2022 STIP performance year. In determining the number of points earned, the Compensation Committee considered these results for Mr. Parks:</w:t>
      </w:r>
    </w:p>
    <w:p>
      <w:pPr>
        <w:spacing w:after="0" w:line="97" w:lineRule="exact"/>
        <w:rPr>
          <w:sz w:val="20"/>
          <w:szCs w:val="20"/>
          <w:color w:val="auto"/>
        </w:rPr>
      </w:pPr>
    </w:p>
    <w:p>
      <w:pPr>
        <w:ind w:left="360" w:right="20" w:hanging="244"/>
        <w:spacing w:after="0" w:line="182" w:lineRule="auto"/>
        <w:tabs>
          <w:tab w:leader="none" w:pos="360" w:val="left"/>
        </w:tabs>
        <w:numPr>
          <w:ilvl w:val="0"/>
          <w:numId w:val="108"/>
        </w:numPr>
        <w:rPr>
          <w:rFonts w:ascii="Arial" w:cs="Arial" w:eastAsia="Arial" w:hAnsi="Arial"/>
          <w:sz w:val="31"/>
          <w:szCs w:val="31"/>
          <w:color w:val="0071CE"/>
          <w:vertAlign w:val="subscript"/>
        </w:rPr>
      </w:pPr>
      <w:r>
        <w:rPr>
          <w:rFonts w:ascii="Arial" w:cs="Arial" w:eastAsia="Arial" w:hAnsi="Arial"/>
          <w:sz w:val="14"/>
          <w:szCs w:val="14"/>
          <w:color w:val="3E3935"/>
        </w:rPr>
        <w:t>Accelerated launch plans and capital allocation to support the widest range of EVs of any manufacturer in North America, enabled by the Ultium Platform;</w:t>
      </w:r>
    </w:p>
    <w:p>
      <w:pPr>
        <w:spacing w:after="0" w:line="1" w:lineRule="exact"/>
        <w:rPr>
          <w:rFonts w:ascii="Arial" w:cs="Arial" w:eastAsia="Arial" w:hAnsi="Arial"/>
          <w:sz w:val="31"/>
          <w:szCs w:val="31"/>
          <w:color w:val="0071CE"/>
          <w:vertAlign w:val="subscript"/>
        </w:rPr>
      </w:pPr>
    </w:p>
    <w:p>
      <w:pPr>
        <w:ind w:left="360" w:right="20" w:hanging="244"/>
        <w:spacing w:after="0" w:line="183" w:lineRule="auto"/>
        <w:tabs>
          <w:tab w:leader="none" w:pos="360" w:val="left"/>
        </w:tabs>
        <w:numPr>
          <w:ilvl w:val="0"/>
          <w:numId w:val="108"/>
        </w:numPr>
        <w:rPr>
          <w:rFonts w:ascii="Arial" w:cs="Arial" w:eastAsia="Arial" w:hAnsi="Arial"/>
          <w:sz w:val="29"/>
          <w:szCs w:val="29"/>
          <w:color w:val="0071CE"/>
          <w:vertAlign w:val="subscript"/>
        </w:rPr>
      </w:pPr>
      <w:r>
        <w:rPr>
          <w:rFonts w:ascii="Arial" w:cs="Arial" w:eastAsia="Arial" w:hAnsi="Arial"/>
          <w:sz w:val="14"/>
          <w:szCs w:val="14"/>
          <w:color w:val="3E3935"/>
        </w:rPr>
        <w:t>Secured multiple binding agreements with battery raw material suppliers to support 1 million units of annual EV capacity in North America in 2025; and</w:t>
      </w:r>
    </w:p>
    <w:p>
      <w:pPr>
        <w:jc w:val="both"/>
        <w:ind w:left="360" w:right="20" w:hanging="244"/>
        <w:spacing w:after="0" w:line="182" w:lineRule="auto"/>
        <w:tabs>
          <w:tab w:leader="none" w:pos="360" w:val="left"/>
        </w:tabs>
        <w:numPr>
          <w:ilvl w:val="0"/>
          <w:numId w:val="108"/>
        </w:numPr>
        <w:rPr>
          <w:rFonts w:ascii="Arial" w:cs="Arial" w:eastAsia="Arial" w:hAnsi="Arial"/>
          <w:sz w:val="36"/>
          <w:szCs w:val="36"/>
          <w:color w:val="0071CE"/>
          <w:vertAlign w:val="subscript"/>
        </w:rPr>
      </w:pPr>
      <w:r>
        <w:rPr>
          <w:rFonts w:ascii="Arial" w:cs="Arial" w:eastAsia="Arial" w:hAnsi="Arial"/>
          <w:sz w:val="15"/>
          <w:szCs w:val="15"/>
          <w:color w:val="3E3935"/>
        </w:rPr>
        <w:t>Announced $650 million investment in Lithium Americas Corp. to help fund development of the Thacker Pass lithium mine, representing the largest-ever investment by an automaker to produce battery raw materials, as well as other highlights below.</w:t>
      </w:r>
    </w:p>
    <w:p>
      <w:pPr>
        <w:spacing w:after="0" w:line="142" w:lineRule="exact"/>
        <w:rPr>
          <w:rFonts w:ascii="Arial" w:cs="Arial" w:eastAsia="Arial" w:hAnsi="Arial"/>
          <w:sz w:val="36"/>
          <w:szCs w:val="36"/>
          <w:color w:val="0071CE"/>
          <w:vertAlign w:val="subscript"/>
        </w:rPr>
      </w:pPr>
    </w:p>
    <w:p>
      <w:pPr>
        <w:ind w:left="340"/>
        <w:spacing w:after="0"/>
        <w:rPr>
          <w:rFonts w:ascii="Arial" w:cs="Arial" w:eastAsia="Arial" w:hAnsi="Arial"/>
          <w:sz w:val="36"/>
          <w:szCs w:val="36"/>
          <w:color w:val="0071CE"/>
          <w:vertAlign w:val="subscript"/>
        </w:rPr>
      </w:pPr>
      <w:r>
        <w:rPr>
          <w:rFonts w:ascii="Arial" w:cs="Arial" w:eastAsia="Arial" w:hAnsi="Arial"/>
          <w:sz w:val="14"/>
          <w:szCs w:val="14"/>
          <w:b w:val="1"/>
          <w:bCs w:val="1"/>
          <w:color w:val="3E3935"/>
        </w:rPr>
        <w:t>Our People</w:t>
      </w:r>
    </w:p>
    <w:p>
      <w:pPr>
        <w:spacing w:after="0" w:line="35" w:lineRule="exact"/>
        <w:rPr>
          <w:rFonts w:ascii="Arial" w:cs="Arial" w:eastAsia="Arial" w:hAnsi="Arial"/>
          <w:sz w:val="36"/>
          <w:szCs w:val="36"/>
          <w:color w:val="0071CE"/>
          <w:vertAlign w:val="subscript"/>
        </w:rPr>
      </w:pPr>
    </w:p>
    <w:p>
      <w:pPr>
        <w:ind w:left="560" w:right="220" w:hanging="216"/>
        <w:spacing w:after="0" w:line="236" w:lineRule="auto"/>
        <w:rPr>
          <w:rFonts w:ascii="Arial" w:cs="Arial" w:eastAsia="Arial" w:hAnsi="Arial"/>
          <w:sz w:val="36"/>
          <w:szCs w:val="36"/>
          <w:color w:val="0071CE"/>
          <w:vertAlign w:val="subscript"/>
        </w:rPr>
      </w:pPr>
      <w:r>
        <w:rPr>
          <w:rFonts w:ascii="Arial" w:cs="Arial" w:eastAsia="Arial" w:hAnsi="Arial"/>
          <w:sz w:val="20"/>
          <w:szCs w:val="20"/>
          <w:color w:val="00C1DE"/>
        </w:rPr>
        <w:t>•</w:t>
      </w:r>
      <w:r>
        <w:rPr>
          <w:rFonts w:ascii="Arial" w:cs="Arial" w:eastAsia="Arial" w:hAnsi="Arial"/>
          <w:sz w:val="14"/>
          <w:szCs w:val="14"/>
          <w:color w:val="3E3935"/>
        </w:rPr>
        <w:t xml:space="preserve">   Continued to prioritize our safety culture resulting in reductions in permanently disabling injuries and</w:t>
      </w:r>
      <w:r>
        <w:rPr>
          <w:rFonts w:ascii="Arial" w:cs="Arial" w:eastAsia="Arial" w:hAnsi="Arial"/>
          <w:sz w:val="20"/>
          <w:szCs w:val="20"/>
          <w:color w:val="00C1DE"/>
        </w:rPr>
        <w:t xml:space="preserve"> </w:t>
      </w:r>
      <w:r>
        <w:rPr>
          <w:rFonts w:ascii="Arial" w:cs="Arial" w:eastAsia="Arial" w:hAnsi="Arial"/>
          <w:sz w:val="14"/>
          <w:szCs w:val="14"/>
          <w:color w:val="3E3935"/>
        </w:rPr>
        <w:t xml:space="preserve">lost workdays </w:t>
      </w:r>
      <w:r>
        <w:rPr>
          <w:rFonts w:ascii="Arial" w:cs="Arial" w:eastAsia="Arial" w:hAnsi="Arial"/>
          <w:sz w:val="1"/>
          <w:szCs w:val="1"/>
          <w:color w:val="0071CE"/>
          <w:vertAlign w:val="subscript"/>
        </w:rPr>
        <w:drawing>
          <wp:inline distT="0" distB="0" distL="0" distR="0">
            <wp:extent cx="76835" cy="77470"/>
            <wp:effectExtent l="0" t="0" r="0" b="0"/>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6835" cy="77470"/>
                    </a:xfrm>
                    <a:prstGeom prst="rect">
                      <a:avLst/>
                    </a:prstGeom>
                    <a:noFill/>
                    <a:ln>
                      <a:noFill/>
                    </a:ln>
                  </pic:spPr>
                </pic:pic>
              </a:graphicData>
            </a:graphic>
          </wp:inline>
        </w:drawing>
      </w:r>
    </w:p>
    <w:p>
      <w:pPr>
        <w:spacing w:after="0" w:line="1" w:lineRule="exact"/>
        <w:rPr>
          <w:rFonts w:ascii="Arial" w:cs="Arial" w:eastAsia="Arial" w:hAnsi="Arial"/>
          <w:sz w:val="36"/>
          <w:szCs w:val="36"/>
          <w:color w:val="0071CE"/>
          <w:vertAlign w:val="subscript"/>
        </w:rPr>
      </w:pPr>
    </w:p>
    <w:p>
      <w:pPr>
        <w:ind w:left="560" w:right="220" w:hanging="216"/>
        <w:spacing w:after="0" w:line="211" w:lineRule="auto"/>
        <w:rPr>
          <w:rFonts w:ascii="Arial" w:cs="Arial" w:eastAsia="Arial" w:hAnsi="Arial"/>
          <w:sz w:val="36"/>
          <w:szCs w:val="36"/>
          <w:color w:val="0071CE"/>
          <w:vertAlign w:val="subscript"/>
        </w:rPr>
      </w:pPr>
      <w:r>
        <w:rPr>
          <w:rFonts w:ascii="Arial" w:cs="Arial" w:eastAsia="Arial" w:hAnsi="Arial"/>
          <w:sz w:val="20"/>
          <w:szCs w:val="20"/>
          <w:color w:val="00C1DE"/>
        </w:rPr>
        <w:t>•</w:t>
      </w:r>
      <w:r>
        <w:rPr>
          <w:rFonts w:ascii="Arial" w:cs="Arial" w:eastAsia="Arial" w:hAnsi="Arial"/>
          <w:sz w:val="14"/>
          <w:szCs w:val="14"/>
          <w:color w:val="3E3935"/>
        </w:rPr>
        <w:t xml:space="preserve">   Ranked among Top 50 companies for diversity by DiversityInc based on six key areas of diversity and</w:t>
      </w:r>
      <w:r>
        <w:rPr>
          <w:rFonts w:ascii="Arial" w:cs="Arial" w:eastAsia="Arial" w:hAnsi="Arial"/>
          <w:sz w:val="20"/>
          <w:szCs w:val="20"/>
          <w:color w:val="00C1DE"/>
        </w:rPr>
        <w:t xml:space="preserve"> </w:t>
      </w:r>
      <w:r>
        <w:rPr>
          <w:rFonts w:ascii="Arial" w:cs="Arial" w:eastAsia="Arial" w:hAnsi="Arial"/>
          <w:sz w:val="14"/>
          <w:szCs w:val="14"/>
          <w:color w:val="3E3935"/>
        </w:rPr>
        <w:t xml:space="preserve">inclusion management </w:t>
      </w:r>
      <w:r>
        <w:rPr>
          <w:rFonts w:ascii="Arial" w:cs="Arial" w:eastAsia="Arial" w:hAnsi="Arial"/>
          <w:sz w:val="1"/>
          <w:szCs w:val="1"/>
          <w:color w:val="0071CE"/>
          <w:vertAlign w:val="subscript"/>
        </w:rPr>
        <w:drawing>
          <wp:inline distT="0" distB="0" distL="0" distR="0">
            <wp:extent cx="76835" cy="77470"/>
            <wp:effectExtent l="0" t="0" r="0" b="0"/>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6835" cy="77470"/>
                    </a:xfrm>
                    <a:prstGeom prst="rect">
                      <a:avLst/>
                    </a:prstGeom>
                    <a:noFill/>
                    <a:ln>
                      <a:noFill/>
                    </a:ln>
                  </pic:spPr>
                </pic:pic>
              </a:graphicData>
            </a:graphic>
          </wp:inline>
        </w:drawing>
      </w:r>
    </w:p>
    <w:p>
      <w:pPr>
        <w:spacing w:after="0" w:line="39" w:lineRule="exact"/>
        <w:rPr>
          <w:rFonts w:ascii="Arial" w:cs="Arial" w:eastAsia="Arial" w:hAnsi="Arial"/>
          <w:sz w:val="36"/>
          <w:szCs w:val="36"/>
          <w:color w:val="0071CE"/>
          <w:vertAlign w:val="subscript"/>
        </w:rPr>
      </w:pPr>
    </w:p>
    <w:p>
      <w:pPr>
        <w:ind w:left="340"/>
        <w:spacing w:after="0"/>
        <w:rPr>
          <w:rFonts w:ascii="Arial" w:cs="Arial" w:eastAsia="Arial" w:hAnsi="Arial"/>
          <w:sz w:val="36"/>
          <w:szCs w:val="36"/>
          <w:color w:val="0071CE"/>
          <w:vertAlign w:val="subscript"/>
        </w:rPr>
      </w:pPr>
      <w:r>
        <w:rPr>
          <w:rFonts w:ascii="Arial" w:cs="Arial" w:eastAsia="Arial" w:hAnsi="Arial"/>
          <w:sz w:val="14"/>
          <w:szCs w:val="14"/>
          <w:b w:val="1"/>
          <w:bCs w:val="1"/>
          <w:color w:val="3E3935"/>
        </w:rPr>
        <w:t>Products, Software, and Services</w:t>
      </w:r>
    </w:p>
    <w:p>
      <w:pPr>
        <w:spacing w:after="0" w:line="35" w:lineRule="exact"/>
        <w:rPr>
          <w:rFonts w:ascii="Arial" w:cs="Arial" w:eastAsia="Arial" w:hAnsi="Arial"/>
          <w:sz w:val="36"/>
          <w:szCs w:val="36"/>
          <w:color w:val="0071CE"/>
          <w:vertAlign w:val="subscript"/>
        </w:rPr>
      </w:pPr>
    </w:p>
    <w:p>
      <w:pPr>
        <w:ind w:left="560" w:right="220" w:hanging="216"/>
        <w:spacing w:after="0" w:line="211" w:lineRule="auto"/>
        <w:rPr>
          <w:rFonts w:ascii="Arial" w:cs="Arial" w:eastAsia="Arial" w:hAnsi="Arial"/>
          <w:sz w:val="36"/>
          <w:szCs w:val="36"/>
          <w:color w:val="0071CE"/>
          <w:vertAlign w:val="subscript"/>
        </w:rPr>
      </w:pPr>
      <w:r>
        <w:rPr>
          <w:rFonts w:ascii="Arial" w:cs="Arial" w:eastAsia="Arial" w:hAnsi="Arial"/>
          <w:sz w:val="20"/>
          <w:szCs w:val="20"/>
          <w:color w:val="00C1DE"/>
        </w:rPr>
        <w:t>•</w:t>
      </w:r>
      <w:r>
        <w:rPr>
          <w:rFonts w:ascii="Arial" w:cs="Arial" w:eastAsia="Arial" w:hAnsi="Arial"/>
          <w:sz w:val="14"/>
          <w:szCs w:val="14"/>
          <w:color w:val="3E3935"/>
        </w:rPr>
        <w:t xml:space="preserve">   Doubled the Super Cruise network, enabling hands-free driving on more than 400,000 miles of</w:t>
      </w:r>
      <w:r>
        <w:rPr>
          <w:rFonts w:ascii="Arial" w:cs="Arial" w:eastAsia="Arial" w:hAnsi="Arial"/>
          <w:sz w:val="20"/>
          <w:szCs w:val="20"/>
          <w:color w:val="00C1DE"/>
        </w:rPr>
        <w:t xml:space="preserve"> </w:t>
      </w:r>
      <w:r>
        <w:rPr>
          <w:rFonts w:ascii="Arial" w:cs="Arial" w:eastAsia="Arial" w:hAnsi="Arial"/>
          <w:sz w:val="14"/>
          <w:szCs w:val="14"/>
          <w:color w:val="3E3935"/>
        </w:rPr>
        <w:t xml:space="preserve">compatible highways and continue to prepare for the launch of Ultra Cruise, which will offer destination-to-destination hands-free driving in 95% of all driving scenarios </w:t>
      </w:r>
      <w:r>
        <w:rPr>
          <w:rFonts w:ascii="Arial" w:cs="Arial" w:eastAsia="Arial" w:hAnsi="Arial"/>
          <w:sz w:val="1"/>
          <w:szCs w:val="1"/>
          <w:color w:val="0071CE"/>
          <w:vertAlign w:val="subscript"/>
        </w:rPr>
        <w:drawing>
          <wp:inline distT="0" distB="0" distL="0" distR="0">
            <wp:extent cx="77470" cy="76835"/>
            <wp:effectExtent l="0" t="0" r="0" b="0"/>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7470" cy="76835"/>
                    </a:xfrm>
                    <a:prstGeom prst="rect">
                      <a:avLst/>
                    </a:prstGeom>
                    <a:noFill/>
                    <a:ln>
                      <a:noFill/>
                    </a:ln>
                  </pic:spPr>
                </pic:pic>
              </a:graphicData>
            </a:graphic>
          </wp:inline>
        </w:drawing>
      </w:r>
    </w:p>
    <w:p>
      <w:pPr>
        <w:spacing w:after="0" w:line="1" w:lineRule="exact"/>
        <w:rPr>
          <w:rFonts w:ascii="Arial" w:cs="Arial" w:eastAsia="Arial" w:hAnsi="Arial"/>
          <w:sz w:val="36"/>
          <w:szCs w:val="36"/>
          <w:color w:val="0071CE"/>
          <w:vertAlign w:val="subscript"/>
        </w:rPr>
      </w:pPr>
    </w:p>
    <w:p>
      <w:pPr>
        <w:ind w:left="560" w:right="220" w:hanging="216"/>
        <w:spacing w:after="0" w:line="204" w:lineRule="auto"/>
        <w:rPr>
          <w:rFonts w:ascii="Arial" w:cs="Arial" w:eastAsia="Arial" w:hAnsi="Arial"/>
          <w:sz w:val="36"/>
          <w:szCs w:val="36"/>
          <w:color w:val="0071CE"/>
          <w:vertAlign w:val="subscript"/>
        </w:rPr>
      </w:pPr>
      <w:r>
        <w:rPr>
          <w:rFonts w:ascii="Arial" w:cs="Arial" w:eastAsia="Arial" w:hAnsi="Arial"/>
          <w:sz w:val="20"/>
          <w:szCs w:val="20"/>
          <w:color w:val="00C1DE"/>
        </w:rPr>
        <w:t>•</w:t>
      </w:r>
      <w:r>
        <w:rPr>
          <w:rFonts w:ascii="Arial" w:cs="Arial" w:eastAsia="Arial" w:hAnsi="Arial"/>
          <w:sz w:val="14"/>
          <w:szCs w:val="14"/>
          <w:color w:val="3E3935"/>
        </w:rPr>
        <w:t xml:space="preserve">   Opened the first Ultium Cells plant and scaling battery production to meet pent-up demand for the</w:t>
      </w:r>
      <w:r>
        <w:rPr>
          <w:rFonts w:ascii="Arial" w:cs="Arial" w:eastAsia="Arial" w:hAnsi="Arial"/>
          <w:sz w:val="20"/>
          <w:szCs w:val="20"/>
          <w:color w:val="00C1DE"/>
        </w:rPr>
        <w:t xml:space="preserve"> </w:t>
      </w:r>
      <w:r>
        <w:rPr>
          <w:rFonts w:ascii="Arial" w:cs="Arial" w:eastAsia="Arial" w:hAnsi="Arial"/>
          <w:sz w:val="14"/>
          <w:szCs w:val="14"/>
          <w:color w:val="3E3935"/>
        </w:rPr>
        <w:t xml:space="preserve">Cadillac LYRIQ, GMC HUMMER EV Pickup, and BrightDrop Zevo 600 </w:t>
      </w:r>
      <w:r>
        <w:rPr>
          <w:rFonts w:ascii="Arial" w:cs="Arial" w:eastAsia="Arial" w:hAnsi="Arial"/>
          <w:sz w:val="1"/>
          <w:szCs w:val="1"/>
          <w:color w:val="0071CE"/>
          <w:vertAlign w:val="subscript"/>
        </w:rPr>
        <w:drawing>
          <wp:inline distT="0" distB="0" distL="0" distR="0">
            <wp:extent cx="77470" cy="77470"/>
            <wp:effectExtent l="0" t="0" r="0" b="0"/>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7470" cy="77470"/>
                    </a:xfrm>
                    <a:prstGeom prst="rect">
                      <a:avLst/>
                    </a:prstGeom>
                    <a:noFill/>
                    <a:ln>
                      <a:noFill/>
                    </a:ln>
                  </pic:spPr>
                </pic:pic>
              </a:graphicData>
            </a:graphic>
          </wp:inline>
        </w:drawing>
      </w:r>
    </w:p>
    <w:p>
      <w:pPr>
        <w:spacing w:after="0" w:line="39" w:lineRule="exact"/>
        <w:rPr>
          <w:rFonts w:ascii="Arial" w:cs="Arial" w:eastAsia="Arial" w:hAnsi="Arial"/>
          <w:sz w:val="36"/>
          <w:szCs w:val="36"/>
          <w:color w:val="0071CE"/>
          <w:vertAlign w:val="subscript"/>
        </w:rPr>
      </w:pPr>
    </w:p>
    <w:p>
      <w:pPr>
        <w:ind w:left="340"/>
        <w:spacing w:after="0"/>
        <w:rPr>
          <w:rFonts w:ascii="Arial" w:cs="Arial" w:eastAsia="Arial" w:hAnsi="Arial"/>
          <w:sz w:val="36"/>
          <w:szCs w:val="36"/>
          <w:color w:val="0071CE"/>
          <w:vertAlign w:val="subscript"/>
        </w:rPr>
      </w:pPr>
      <w:r>
        <w:rPr>
          <w:rFonts w:ascii="Arial" w:cs="Arial" w:eastAsia="Arial" w:hAnsi="Arial"/>
          <w:sz w:val="14"/>
          <w:szCs w:val="14"/>
          <w:b w:val="1"/>
          <w:bCs w:val="1"/>
          <w:color w:val="3E3935"/>
        </w:rPr>
        <w:t>Citizenship</w:t>
      </w:r>
    </w:p>
    <w:p>
      <w:pPr>
        <w:spacing w:after="0" w:line="35" w:lineRule="exact"/>
        <w:rPr>
          <w:rFonts w:ascii="Arial" w:cs="Arial" w:eastAsia="Arial" w:hAnsi="Arial"/>
          <w:sz w:val="36"/>
          <w:szCs w:val="36"/>
          <w:color w:val="0071CE"/>
          <w:vertAlign w:val="subscript"/>
        </w:rPr>
      </w:pPr>
    </w:p>
    <w:p>
      <w:pPr>
        <w:ind w:left="560" w:right="220" w:hanging="216"/>
        <w:spacing w:after="0" w:line="201" w:lineRule="auto"/>
        <w:rPr>
          <w:rFonts w:ascii="Arial" w:cs="Arial" w:eastAsia="Arial" w:hAnsi="Arial"/>
          <w:sz w:val="36"/>
          <w:szCs w:val="36"/>
          <w:color w:val="0071CE"/>
          <w:vertAlign w:val="subscript"/>
        </w:rPr>
      </w:pPr>
      <w:r>
        <w:rPr>
          <w:rFonts w:ascii="Arial" w:cs="Arial" w:eastAsia="Arial" w:hAnsi="Arial"/>
          <w:sz w:val="20"/>
          <w:szCs w:val="20"/>
          <w:color w:val="00C1DE"/>
        </w:rPr>
        <w:t>•</w:t>
      </w:r>
      <w:r>
        <w:rPr>
          <w:rFonts w:ascii="Arial" w:cs="Arial" w:eastAsia="Arial" w:hAnsi="Arial"/>
          <w:sz w:val="14"/>
          <w:szCs w:val="14"/>
          <w:color w:val="3E3935"/>
        </w:rPr>
        <w:t xml:space="preserve">   Launched the ESG Supplier Pledge, bringing suppliers in on the commitment to carbon neutrality, the</w:t>
      </w:r>
      <w:r>
        <w:rPr>
          <w:rFonts w:ascii="Arial" w:cs="Arial" w:eastAsia="Arial" w:hAnsi="Arial"/>
          <w:sz w:val="20"/>
          <w:szCs w:val="20"/>
          <w:color w:val="00C1DE"/>
        </w:rPr>
        <w:t xml:space="preserve"> </w:t>
      </w:r>
      <w:r>
        <w:rPr>
          <w:rFonts w:ascii="Arial" w:cs="Arial" w:eastAsia="Arial" w:hAnsi="Arial"/>
          <w:sz w:val="14"/>
          <w:szCs w:val="14"/>
          <w:color w:val="3E3935"/>
        </w:rPr>
        <w:t xml:space="preserve">development of social responsibility programs, and implementation of sustainable procurement </w:t>
      </w:r>
      <w:r>
        <w:rPr>
          <w:rFonts w:ascii="Arial" w:cs="Arial" w:eastAsia="Arial" w:hAnsi="Arial"/>
          <w:sz w:val="1"/>
          <w:szCs w:val="1"/>
          <w:color w:val="0071CE"/>
          <w:vertAlign w:val="subscript"/>
        </w:rPr>
        <w:drawing>
          <wp:inline distT="0" distB="0" distL="0" distR="0">
            <wp:extent cx="77470" cy="76835"/>
            <wp:effectExtent l="0" t="0" r="0" b="0"/>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7470" cy="76835"/>
                    </a:xfrm>
                    <a:prstGeom prst="rect">
                      <a:avLst/>
                    </a:prstGeom>
                    <a:noFill/>
                    <a:ln>
                      <a:noFill/>
                    </a:ln>
                  </pic:spPr>
                </pic:pic>
              </a:graphicData>
            </a:graphic>
          </wp:inline>
        </w:drawing>
      </w:r>
    </w:p>
    <w:p>
      <w:pPr>
        <w:ind w:left="560" w:right="220" w:hanging="216"/>
        <w:spacing w:after="0" w:line="204" w:lineRule="auto"/>
        <w:rPr>
          <w:rFonts w:ascii="Arial" w:cs="Arial" w:eastAsia="Arial" w:hAnsi="Arial"/>
          <w:sz w:val="36"/>
          <w:szCs w:val="36"/>
          <w:color w:val="0071CE"/>
          <w:vertAlign w:val="subscript"/>
        </w:rPr>
      </w:pPr>
      <w:r>
        <w:rPr>
          <w:rFonts w:ascii="Arial" w:cs="Arial" w:eastAsia="Arial" w:hAnsi="Arial"/>
          <w:sz w:val="20"/>
          <w:szCs w:val="20"/>
          <w:color w:val="00C1DE"/>
        </w:rPr>
        <w:t>•</w:t>
      </w:r>
      <w:r>
        <w:rPr>
          <w:rFonts w:ascii="Arial" w:cs="Arial" w:eastAsia="Arial" w:hAnsi="Arial"/>
          <w:sz w:val="14"/>
          <w:szCs w:val="14"/>
          <w:color w:val="3E3935"/>
        </w:rPr>
        <w:t xml:space="preserve">   Spent more than $17 billion with diverse suppliers over past five years and contributed to community</w:t>
      </w:r>
      <w:r>
        <w:rPr>
          <w:rFonts w:ascii="Arial" w:cs="Arial" w:eastAsia="Arial" w:hAnsi="Arial"/>
          <w:sz w:val="20"/>
          <w:szCs w:val="20"/>
          <w:color w:val="00C1DE"/>
        </w:rPr>
        <w:t xml:space="preserve"> </w:t>
      </w:r>
      <w:r>
        <w:rPr>
          <w:rFonts w:ascii="Arial" w:cs="Arial" w:eastAsia="Arial" w:hAnsi="Arial"/>
          <w:sz w:val="14"/>
          <w:szCs w:val="14"/>
          <w:color w:val="3E3935"/>
        </w:rPr>
        <w:t xml:space="preserve">initiatives in collaboration with diverse suppliers </w:t>
      </w:r>
      <w:r>
        <w:rPr>
          <w:rFonts w:ascii="Arial" w:cs="Arial" w:eastAsia="Arial" w:hAnsi="Arial"/>
          <w:sz w:val="1"/>
          <w:szCs w:val="1"/>
          <w:color w:val="0071CE"/>
          <w:vertAlign w:val="subscript"/>
        </w:rPr>
        <w:drawing>
          <wp:inline distT="0" distB="0" distL="0" distR="0">
            <wp:extent cx="76835" cy="76835"/>
            <wp:effectExtent l="0" t="0" r="0" b="0"/>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6835" cy="76835"/>
                    </a:xfrm>
                    <a:prstGeom prst="rect">
                      <a:avLst/>
                    </a:prstGeom>
                    <a:noFill/>
                    <a:ln>
                      <a:noFill/>
                    </a:ln>
                  </pic:spPr>
                </pic:pic>
              </a:graphicData>
            </a:graphic>
          </wp:inline>
        </w:drawing>
      </w:r>
    </w:p>
    <w:p>
      <w:pPr>
        <w:ind w:left="560" w:right="220" w:hanging="216"/>
        <w:spacing w:after="0" w:line="213" w:lineRule="auto"/>
        <w:rPr>
          <w:rFonts w:ascii="Arial" w:cs="Arial" w:eastAsia="Arial" w:hAnsi="Arial"/>
          <w:sz w:val="36"/>
          <w:szCs w:val="36"/>
          <w:color w:val="0071CE"/>
          <w:vertAlign w:val="subscript"/>
        </w:rPr>
      </w:pPr>
      <w:r>
        <w:rPr>
          <w:rFonts w:ascii="Arial" w:cs="Arial" w:eastAsia="Arial" w:hAnsi="Arial"/>
          <w:sz w:val="20"/>
          <w:szCs w:val="20"/>
          <w:color w:val="00C1DE"/>
        </w:rPr>
        <w:t>•</w:t>
      </w:r>
      <w:r>
        <w:rPr>
          <w:rFonts w:ascii="Arial" w:cs="Arial" w:eastAsia="Arial" w:hAnsi="Arial"/>
          <w:sz w:val="14"/>
          <w:szCs w:val="14"/>
          <w:color w:val="3E3935"/>
        </w:rPr>
        <w:t xml:space="preserve">   Working with partners like the Department of Energy’s U.S. Advanced Battery Consortium, Lithium</w:t>
      </w:r>
      <w:r>
        <w:rPr>
          <w:rFonts w:ascii="Arial" w:cs="Arial" w:eastAsia="Arial" w:hAnsi="Arial"/>
          <w:sz w:val="20"/>
          <w:szCs w:val="20"/>
          <w:color w:val="00C1DE"/>
        </w:rPr>
        <w:t xml:space="preserve"> </w:t>
      </w:r>
      <w:r>
        <w:rPr>
          <w:rFonts w:ascii="Arial" w:cs="Arial" w:eastAsia="Arial" w:hAnsi="Arial"/>
          <w:sz w:val="14"/>
          <w:szCs w:val="14"/>
          <w:color w:val="3E3935"/>
        </w:rPr>
        <w:t xml:space="preserve">Recycling Inc., Cirba Solutions, and others to establish pathways to reacquire metals from batteries for reuse in future battery cells and support the development of recycled material in new cells </w:t>
      </w:r>
      <w:r>
        <w:rPr>
          <w:rFonts w:ascii="Arial" w:cs="Arial" w:eastAsia="Arial" w:hAnsi="Arial"/>
          <w:sz w:val="1"/>
          <w:szCs w:val="1"/>
          <w:color w:val="0071CE"/>
          <w:vertAlign w:val="subscript"/>
        </w:rPr>
        <w:drawing>
          <wp:inline distT="0" distB="0" distL="0" distR="0">
            <wp:extent cx="76835" cy="76835"/>
            <wp:effectExtent l="0" t="0" r="0" b="0"/>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6835" cy="76835"/>
                    </a:xfrm>
                    <a:prstGeom prst="rect">
                      <a:avLst/>
                    </a:prstGeom>
                    <a:noFill/>
                    <a:ln>
                      <a:noFill/>
                    </a:ln>
                  </pic:spPr>
                </pic:pic>
              </a:graphicData>
            </a:graphic>
          </wp:inline>
        </w:drawing>
      </w:r>
    </w:p>
    <w:p>
      <w:pPr>
        <w:spacing w:after="0" w:line="41" w:lineRule="exact"/>
        <w:rPr>
          <w:rFonts w:ascii="Arial" w:cs="Arial" w:eastAsia="Arial" w:hAnsi="Arial"/>
          <w:sz w:val="36"/>
          <w:szCs w:val="36"/>
          <w:color w:val="0071CE"/>
          <w:vertAlign w:val="subscript"/>
        </w:rPr>
      </w:pPr>
    </w:p>
    <w:p>
      <w:pPr>
        <w:ind w:left="340"/>
        <w:spacing w:after="0"/>
        <w:rPr>
          <w:rFonts w:ascii="Arial" w:cs="Arial" w:eastAsia="Arial" w:hAnsi="Arial"/>
          <w:sz w:val="36"/>
          <w:szCs w:val="36"/>
          <w:color w:val="0071CE"/>
          <w:vertAlign w:val="subscript"/>
        </w:rPr>
      </w:pPr>
      <w:r>
        <w:rPr>
          <w:rFonts w:ascii="Arial" w:cs="Arial" w:eastAsia="Arial" w:hAnsi="Arial"/>
          <w:sz w:val="14"/>
          <w:szCs w:val="14"/>
          <w:b w:val="1"/>
          <w:bCs w:val="1"/>
          <w:color w:val="3E3935"/>
        </w:rPr>
        <w:t>Enterprise</w:t>
      </w:r>
    </w:p>
    <w:p>
      <w:pPr>
        <w:spacing w:after="0" w:line="35" w:lineRule="exact"/>
        <w:rPr>
          <w:rFonts w:ascii="Arial" w:cs="Arial" w:eastAsia="Arial" w:hAnsi="Arial"/>
          <w:sz w:val="36"/>
          <w:szCs w:val="36"/>
          <w:color w:val="0071CE"/>
          <w:vertAlign w:val="subscript"/>
        </w:rPr>
      </w:pPr>
    </w:p>
    <w:p>
      <w:pPr>
        <w:ind w:left="560" w:right="200" w:hanging="216"/>
        <w:spacing w:after="0" w:line="201" w:lineRule="auto"/>
        <w:rPr>
          <w:rFonts w:ascii="Arial" w:cs="Arial" w:eastAsia="Arial" w:hAnsi="Arial"/>
          <w:sz w:val="36"/>
          <w:szCs w:val="36"/>
          <w:color w:val="0071CE"/>
          <w:vertAlign w:val="subscript"/>
        </w:rPr>
      </w:pPr>
      <w:r>
        <w:rPr>
          <w:rFonts w:ascii="Arial" w:cs="Arial" w:eastAsia="Arial" w:hAnsi="Arial"/>
          <w:sz w:val="20"/>
          <w:szCs w:val="20"/>
          <w:color w:val="00C1DE"/>
        </w:rPr>
        <w:t>•</w:t>
      </w:r>
      <w:r>
        <w:rPr>
          <w:rFonts w:ascii="Arial" w:cs="Arial" w:eastAsia="Arial" w:hAnsi="Arial"/>
          <w:sz w:val="14"/>
          <w:szCs w:val="14"/>
          <w:color w:val="3E3935"/>
        </w:rPr>
        <w:t xml:space="preserve">   Advancing state-of-the-art technologies to develop batteries at a lower cost while increasing energy</w:t>
      </w:r>
      <w:r>
        <w:rPr>
          <w:rFonts w:ascii="Arial" w:cs="Arial" w:eastAsia="Arial" w:hAnsi="Arial"/>
          <w:sz w:val="20"/>
          <w:szCs w:val="20"/>
          <w:color w:val="00C1DE"/>
        </w:rPr>
        <w:t xml:space="preserve"> </w:t>
      </w:r>
      <w:r>
        <w:rPr>
          <w:rFonts w:ascii="Arial" w:cs="Arial" w:eastAsia="Arial" w:hAnsi="Arial"/>
          <w:sz w:val="14"/>
          <w:szCs w:val="14"/>
          <w:color w:val="3E3935"/>
        </w:rPr>
        <w:t xml:space="preserve">density </w:t>
      </w:r>
      <w:r>
        <w:rPr>
          <w:rFonts w:ascii="Arial" w:cs="Arial" w:eastAsia="Arial" w:hAnsi="Arial"/>
          <w:sz w:val="1"/>
          <w:szCs w:val="1"/>
          <w:color w:val="0071CE"/>
          <w:vertAlign w:val="subscript"/>
        </w:rPr>
        <w:drawing>
          <wp:inline distT="0" distB="0" distL="0" distR="0">
            <wp:extent cx="77470" cy="77470"/>
            <wp:effectExtent l="0" t="0" r="0" b="0"/>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7470" cy="77470"/>
                    </a:xfrm>
                    <a:prstGeom prst="rect">
                      <a:avLst/>
                    </a:prstGeom>
                    <a:noFill/>
                    <a:ln>
                      <a:noFill/>
                    </a:ln>
                  </pic:spPr>
                </pic:pic>
              </a:graphicData>
            </a:graphic>
          </wp:inline>
        </w:drawing>
      </w:r>
    </w:p>
    <w:p>
      <w:pPr>
        <w:ind w:left="560" w:right="220" w:hanging="216"/>
        <w:spacing w:after="0"/>
        <w:rPr>
          <w:rFonts w:ascii="Arial" w:cs="Arial" w:eastAsia="Arial" w:hAnsi="Arial"/>
          <w:sz w:val="36"/>
          <w:szCs w:val="36"/>
          <w:color w:val="0071CE"/>
          <w:vertAlign w:val="subscript"/>
        </w:rPr>
      </w:pPr>
      <w:r>
        <w:rPr>
          <w:rFonts w:ascii="Arial" w:cs="Arial" w:eastAsia="Arial" w:hAnsi="Arial"/>
          <w:sz w:val="20"/>
          <w:szCs w:val="20"/>
          <w:color w:val="00C1DE"/>
        </w:rPr>
        <w:t>•</w:t>
      </w:r>
      <w:r>
        <w:rPr>
          <w:rFonts w:ascii="Arial" w:cs="Arial" w:eastAsia="Arial" w:hAnsi="Arial"/>
          <w:sz w:val="14"/>
          <w:szCs w:val="14"/>
          <w:color w:val="3E3935"/>
        </w:rPr>
        <w:t xml:space="preserve">   Opened the Wallace Battery Cell Innovation Center, accelerating development and commercialization</w:t>
      </w:r>
      <w:r>
        <w:rPr>
          <w:rFonts w:ascii="Arial" w:cs="Arial" w:eastAsia="Arial" w:hAnsi="Arial"/>
          <w:sz w:val="20"/>
          <w:szCs w:val="20"/>
          <w:color w:val="00C1DE"/>
        </w:rPr>
        <w:t xml:space="preserve"> </w:t>
      </w:r>
      <w:r>
        <w:rPr>
          <w:rFonts w:ascii="Arial" w:cs="Arial" w:eastAsia="Arial" w:hAnsi="Arial"/>
          <w:sz w:val="14"/>
          <w:szCs w:val="14"/>
          <w:color w:val="3E3935"/>
        </w:rPr>
        <w:t xml:space="preserve">of future EV batteries </w:t>
      </w:r>
      <w:r>
        <w:rPr>
          <w:rFonts w:ascii="Arial" w:cs="Arial" w:eastAsia="Arial" w:hAnsi="Arial"/>
          <w:sz w:val="1"/>
          <w:szCs w:val="1"/>
          <w:color w:val="0071CE"/>
          <w:vertAlign w:val="subscript"/>
        </w:rPr>
        <w:drawing>
          <wp:inline distT="0" distB="0" distL="0" distR="0">
            <wp:extent cx="76835" cy="76835"/>
            <wp:effectExtent l="0" t="0" r="0" b="0"/>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6835" cy="76835"/>
                    </a:xfrm>
                    <a:prstGeom prst="rect">
                      <a:avLst/>
                    </a:prstGeom>
                    <a:noFill/>
                    <a:ln>
                      <a:noFill/>
                    </a:ln>
                  </pic:spPr>
                </pic:pic>
              </a:graphicData>
            </a:graphic>
          </wp:inline>
        </w:drawing>
      </w:r>
    </w:p>
    <w:p>
      <w:pPr>
        <w:ind w:left="560" w:right="220" w:hanging="216"/>
        <w:spacing w:after="0"/>
        <w:rPr>
          <w:rFonts w:ascii="Arial" w:cs="Arial" w:eastAsia="Arial" w:hAnsi="Arial"/>
          <w:sz w:val="36"/>
          <w:szCs w:val="36"/>
          <w:color w:val="0071CE"/>
          <w:vertAlign w:val="subscript"/>
        </w:rPr>
      </w:pPr>
      <w:r>
        <w:rPr>
          <w:rFonts w:ascii="Arial" w:cs="Arial" w:eastAsia="Arial" w:hAnsi="Arial"/>
          <w:sz w:val="20"/>
          <w:szCs w:val="20"/>
          <w:color w:val="00C1DE"/>
        </w:rPr>
        <w:t>•</w:t>
      </w:r>
      <w:r>
        <w:rPr>
          <w:rFonts w:ascii="Arial" w:cs="Arial" w:eastAsia="Arial" w:hAnsi="Arial"/>
          <w:sz w:val="14"/>
          <w:szCs w:val="14"/>
          <w:color w:val="3E3935"/>
        </w:rPr>
        <w:t xml:space="preserve">   Creating a domestic supply chain for EVs in North America through direct sourcing of critical battery</w:t>
      </w:r>
      <w:r>
        <w:rPr>
          <w:rFonts w:ascii="Arial" w:cs="Arial" w:eastAsia="Arial" w:hAnsi="Arial"/>
          <w:sz w:val="20"/>
          <w:szCs w:val="20"/>
          <w:color w:val="00C1DE"/>
        </w:rPr>
        <w:t xml:space="preserve"> </w:t>
      </w:r>
      <w:r>
        <w:rPr>
          <w:rFonts w:ascii="Arial" w:cs="Arial" w:eastAsia="Arial" w:hAnsi="Arial"/>
          <w:sz w:val="14"/>
          <w:szCs w:val="14"/>
          <w:color w:val="3E3935"/>
        </w:rPr>
        <w:t xml:space="preserve">raw materials, further accelerated by the clean energy tax credits </w:t>
      </w:r>
      <w:r>
        <w:rPr>
          <w:rFonts w:ascii="Arial" w:cs="Arial" w:eastAsia="Arial" w:hAnsi="Arial"/>
          <w:sz w:val="1"/>
          <w:szCs w:val="1"/>
          <w:color w:val="0071CE"/>
          <w:vertAlign w:val="subscript"/>
        </w:rPr>
        <w:drawing>
          <wp:inline distT="0" distB="0" distL="0" distR="0">
            <wp:extent cx="77470" cy="77470"/>
            <wp:effectExtent l="0" t="0" r="0" b="0"/>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7470" cy="77470"/>
                    </a:xfrm>
                    <a:prstGeom prst="rect">
                      <a:avLst/>
                    </a:prstGeom>
                    <a:noFill/>
                    <a:ln>
                      <a:noFill/>
                    </a:ln>
                  </pic:spPr>
                </pic:pic>
              </a:graphicData>
            </a:graphic>
          </wp:inline>
        </w:drawing>
      </w:r>
    </w:p>
    <w:p>
      <w:pPr>
        <w:spacing w:after="0" w:line="39" w:lineRule="exact"/>
        <w:rPr>
          <w:rFonts w:ascii="Arial" w:cs="Arial" w:eastAsia="Arial" w:hAnsi="Arial"/>
          <w:sz w:val="36"/>
          <w:szCs w:val="36"/>
          <w:color w:val="0071CE"/>
          <w:vertAlign w:val="subscript"/>
        </w:rPr>
      </w:pPr>
    </w:p>
    <w:p>
      <w:pPr>
        <w:ind w:left="340"/>
        <w:spacing w:after="0"/>
        <w:rPr>
          <w:rFonts w:ascii="Arial" w:cs="Arial" w:eastAsia="Arial" w:hAnsi="Arial"/>
          <w:sz w:val="36"/>
          <w:szCs w:val="36"/>
          <w:color w:val="0071CE"/>
          <w:vertAlign w:val="subscript"/>
        </w:rPr>
      </w:pPr>
      <w:r>
        <w:rPr>
          <w:rFonts w:ascii="Arial" w:cs="Arial" w:eastAsia="Arial" w:hAnsi="Arial"/>
          <w:sz w:val="14"/>
          <w:szCs w:val="14"/>
          <w:b w:val="1"/>
          <w:bCs w:val="1"/>
          <w:color w:val="3E3935"/>
        </w:rPr>
        <w:t>Customer Experience</w:t>
      </w:r>
    </w:p>
    <w:p>
      <w:pPr>
        <w:spacing w:after="0" w:line="35" w:lineRule="exact"/>
        <w:rPr>
          <w:rFonts w:ascii="Arial" w:cs="Arial" w:eastAsia="Arial" w:hAnsi="Arial"/>
          <w:sz w:val="36"/>
          <w:szCs w:val="36"/>
          <w:color w:val="0071CE"/>
          <w:vertAlign w:val="subscript"/>
        </w:rPr>
      </w:pPr>
    </w:p>
    <w:p>
      <w:pPr>
        <w:jc w:val="center"/>
        <w:ind w:left="560" w:right="200" w:hanging="216"/>
        <w:spacing w:after="0" w:line="201" w:lineRule="auto"/>
        <w:rPr>
          <w:rFonts w:ascii="Arial" w:cs="Arial" w:eastAsia="Arial" w:hAnsi="Arial"/>
          <w:sz w:val="36"/>
          <w:szCs w:val="36"/>
          <w:color w:val="0071CE"/>
          <w:vertAlign w:val="subscript"/>
        </w:rPr>
      </w:pPr>
      <w:r>
        <w:rPr>
          <w:rFonts w:ascii="Arial" w:cs="Arial" w:eastAsia="Arial" w:hAnsi="Arial"/>
          <w:sz w:val="20"/>
          <w:szCs w:val="20"/>
          <w:color w:val="00C1DE"/>
        </w:rPr>
        <w:t>•</w:t>
      </w:r>
      <w:r>
        <w:rPr>
          <w:rFonts w:ascii="Arial" w:cs="Arial" w:eastAsia="Arial" w:hAnsi="Arial"/>
          <w:sz w:val="14"/>
          <w:szCs w:val="14"/>
          <w:color w:val="3E3935"/>
        </w:rPr>
        <w:t xml:space="preserve">   Continued to work towards launching Ultium Platform, enabling an entire lineup of high-volume</w:t>
      </w:r>
      <w:r>
        <w:rPr>
          <w:rFonts w:ascii="Arial" w:cs="Arial" w:eastAsia="Arial" w:hAnsi="Arial"/>
          <w:sz w:val="20"/>
          <w:szCs w:val="20"/>
          <w:color w:val="00C1DE"/>
        </w:rPr>
        <w:t xml:space="preserve"> </w:t>
      </w:r>
      <w:r>
        <w:rPr>
          <w:rFonts w:ascii="Arial" w:cs="Arial" w:eastAsia="Arial" w:hAnsi="Arial"/>
          <w:sz w:val="14"/>
          <w:szCs w:val="14"/>
          <w:color w:val="3E3935"/>
        </w:rPr>
        <w:t xml:space="preserve">crossovers, SUVs, full-size pickups, and low-roof luxury cars, all from the same core architecture </w:t>
      </w:r>
      <w:r>
        <w:rPr>
          <w:rFonts w:ascii="Arial" w:cs="Arial" w:eastAsia="Arial" w:hAnsi="Arial"/>
          <w:sz w:val="1"/>
          <w:szCs w:val="1"/>
          <w:color w:val="0071CE"/>
          <w:vertAlign w:val="subscript"/>
        </w:rPr>
        <w:drawing>
          <wp:inline distT="0" distB="0" distL="0" distR="0">
            <wp:extent cx="76835" cy="76835"/>
            <wp:effectExtent l="0" t="0" r="0" b="0"/>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6835" cy="76835"/>
                    </a:xfrm>
                    <a:prstGeom prst="rect">
                      <a:avLst/>
                    </a:prstGeom>
                    <a:noFill/>
                    <a:ln>
                      <a:noFill/>
                    </a:ln>
                  </pic:spPr>
                </pic:pic>
              </a:graphicData>
            </a:graphic>
          </wp:inline>
        </w:drawing>
      </w:r>
    </w:p>
    <w:p>
      <w:pPr>
        <w:ind w:left="560" w:right="220" w:hanging="216"/>
        <w:spacing w:after="0" w:line="204" w:lineRule="auto"/>
        <w:rPr>
          <w:rFonts w:ascii="Arial" w:cs="Arial" w:eastAsia="Arial" w:hAnsi="Arial"/>
          <w:sz w:val="36"/>
          <w:szCs w:val="36"/>
          <w:color w:val="0071CE"/>
          <w:vertAlign w:val="subscript"/>
        </w:rPr>
      </w:pPr>
      <w:r>
        <w:rPr>
          <w:rFonts w:ascii="Arial" w:cs="Arial" w:eastAsia="Arial" w:hAnsi="Arial"/>
          <w:sz w:val="20"/>
          <w:szCs w:val="20"/>
          <w:color w:val="00C1DE"/>
        </w:rPr>
        <w:t>•</w:t>
      </w:r>
      <w:r>
        <w:rPr>
          <w:rFonts w:ascii="Arial" w:cs="Arial" w:eastAsia="Arial" w:hAnsi="Arial"/>
          <w:sz w:val="14"/>
          <w:szCs w:val="14"/>
          <w:color w:val="3E3935"/>
        </w:rPr>
        <w:t xml:space="preserve">   Continued work on the Ultifi Platform, which will begin showing initial customer benefits on certain</w:t>
      </w:r>
      <w:r>
        <w:rPr>
          <w:rFonts w:ascii="Arial" w:cs="Arial" w:eastAsia="Arial" w:hAnsi="Arial"/>
          <w:sz w:val="20"/>
          <w:szCs w:val="20"/>
          <w:color w:val="00C1DE"/>
        </w:rPr>
        <w:t xml:space="preserve"> </w:t>
      </w:r>
      <w:r>
        <w:rPr>
          <w:rFonts w:ascii="Arial" w:cs="Arial" w:eastAsia="Arial" w:hAnsi="Arial"/>
          <w:sz w:val="14"/>
          <w:szCs w:val="14"/>
          <w:color w:val="3E3935"/>
        </w:rPr>
        <w:t xml:space="preserve">equipped vehicles later this year </w:t>
      </w:r>
      <w:r>
        <w:rPr>
          <w:rFonts w:ascii="Arial" w:cs="Arial" w:eastAsia="Arial" w:hAnsi="Arial"/>
          <w:sz w:val="1"/>
          <w:szCs w:val="1"/>
          <w:color w:val="0071CE"/>
          <w:vertAlign w:val="subscript"/>
        </w:rPr>
        <w:drawing>
          <wp:inline distT="0" distB="0" distL="0" distR="0">
            <wp:extent cx="77470" cy="77470"/>
            <wp:effectExtent l="0" t="0" r="0" b="0"/>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7470" cy="77470"/>
                    </a:xfrm>
                    <a:prstGeom prst="rect">
                      <a:avLst/>
                    </a:prstGeom>
                    <a:noFill/>
                    <a:ln>
                      <a:noFill/>
                    </a:ln>
                  </pic:spPr>
                </pic:pic>
              </a:graphicData>
            </a:graphic>
          </wp:inline>
        </w:drawing>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-3919855</wp:posOffset>
            </wp:positionV>
            <wp:extent cx="4543425" cy="396875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4543425" cy="3968750"/>
                    </a:xfrm>
                    <a:prstGeom prst="rect">
                      <a:avLst/>
                    </a:prstGeom>
                    <a:noFill/>
                  </pic:spPr>
                </pic:pic>
              </a:graphicData>
            </a:graphic>
          </wp:anchor>
        </w:drawing>
      </w:r>
    </w:p>
    <w:p>
      <w:pPr>
        <w:spacing w:after="0" w:line="150" w:lineRule="exact"/>
        <w:rPr>
          <w:sz w:val="20"/>
          <w:szCs w:val="20"/>
          <w:color w:val="auto"/>
        </w:rPr>
      </w:pPr>
    </w:p>
    <w:p>
      <w:pPr>
        <w:ind w:left="120" w:right="20"/>
        <w:spacing w:after="0" w:line="286" w:lineRule="auto"/>
        <w:rPr>
          <w:sz w:val="20"/>
          <w:szCs w:val="20"/>
          <w:color w:val="auto"/>
        </w:rPr>
      </w:pPr>
      <w:r>
        <w:rPr>
          <w:rFonts w:ascii="Arial" w:cs="Arial" w:eastAsia="Arial" w:hAnsi="Arial"/>
          <w:sz w:val="16"/>
          <w:szCs w:val="16"/>
          <w:b w:val="1"/>
          <w:bCs w:val="1"/>
          <w:color w:val="0071CE"/>
        </w:rPr>
        <w:t xml:space="preserve">Long-Term Incentive </w:t>
      </w:r>
      <w:r>
        <w:rPr>
          <w:rFonts w:ascii="Arial" w:cs="Arial" w:eastAsia="Arial" w:hAnsi="Arial"/>
          <w:sz w:val="16"/>
          <w:szCs w:val="16"/>
          <w:color w:val="3E3935"/>
        </w:rPr>
        <w:t>– In February 2022, awarded an annual LTIP grant of $6.03 million,</w:t>
      </w:r>
      <w:r>
        <w:rPr>
          <w:rFonts w:ascii="Arial" w:cs="Arial" w:eastAsia="Arial" w:hAnsi="Arial"/>
          <w:sz w:val="16"/>
          <w:szCs w:val="16"/>
          <w:b w:val="1"/>
          <w:bCs w:val="1"/>
          <w:color w:val="0071CE"/>
        </w:rPr>
        <w:t xml:space="preserve"> </w:t>
      </w:r>
      <w:r>
        <w:rPr>
          <w:rFonts w:ascii="Arial" w:cs="Arial" w:eastAsia="Arial" w:hAnsi="Arial"/>
          <w:sz w:val="16"/>
          <w:szCs w:val="16"/>
          <w:color w:val="3E3935"/>
        </w:rPr>
        <w:t>consisting of 75 percent PSUs and 25 percent stock options.</w:t>
      </w:r>
    </w:p>
    <w:p>
      <w:pPr>
        <w:spacing w:after="0" w:line="48" w:lineRule="exact"/>
        <w:rPr>
          <w:sz w:val="20"/>
          <w:szCs w:val="20"/>
          <w:color w:val="auto"/>
        </w:rPr>
      </w:pPr>
    </w:p>
    <w:p>
      <w:pPr>
        <w:ind w:left="120"/>
        <w:spacing w:after="0"/>
        <w:rPr>
          <w:sz w:val="20"/>
          <w:szCs w:val="20"/>
          <w:color w:val="auto"/>
        </w:rPr>
      </w:pPr>
      <w:r>
        <w:rPr>
          <w:rFonts w:ascii="Arial" w:cs="Arial" w:eastAsia="Arial" w:hAnsi="Arial"/>
          <w:sz w:val="16"/>
          <w:szCs w:val="16"/>
          <w:color w:val="3E3935"/>
        </w:rPr>
        <w:t>Total awarded compensation for 2022, including salary, STIP, and LTIP, is displayed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89535</wp:posOffset>
            </wp:positionV>
            <wp:extent cx="4543425" cy="889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4543425" cy="8890"/>
                    </a:xfrm>
                    <a:prstGeom prst="rect">
                      <a:avLst/>
                    </a:prstGeom>
                    <a:noFill/>
                  </pic:spPr>
                </pic:pic>
              </a:graphicData>
            </a:graphic>
          </wp:anchor>
        </w:drawing>
      </w:r>
    </w:p>
    <w:p>
      <w:pPr>
        <w:spacing w:after="0" w:line="174" w:lineRule="exact"/>
        <w:rPr>
          <w:sz w:val="20"/>
          <w:szCs w:val="20"/>
          <w:color w:val="auto"/>
        </w:rPr>
      </w:pPr>
    </w:p>
    <w:tbl>
      <w:tblPr>
        <w:tblLayout w:type="fixed"/>
        <w:tblInd w:w="120" w:type="dxa"/>
        <w:tblCellMar>
          <w:top w:w="0" w:type="dxa"/>
          <w:left w:w="0" w:type="dxa"/>
          <w:bottom w:w="0" w:type="dxa"/>
          <w:right w:w="0" w:type="dxa"/>
        </w:tblCellMar>
      </w:tblPr>
      <w:tr>
        <w:trPr>
          <w:trHeight w:val="226"/>
        </w:trPr>
        <w:tc>
          <w:tcPr>
            <w:tcW w:w="1520" w:type="dxa"/>
            <w:vAlign w:val="bottom"/>
            <w:tcBorders>
              <w:bottom w:val="single" w:sz="8" w:color="00C1DE"/>
            </w:tcBorders>
          </w:tcPr>
          <w:p>
            <w:pPr>
              <w:ind w:left="80"/>
              <w:spacing w:after="0"/>
              <w:rPr>
                <w:sz w:val="20"/>
                <w:szCs w:val="20"/>
                <w:color w:val="auto"/>
              </w:rPr>
            </w:pPr>
            <w:r>
              <w:rPr>
                <w:rFonts w:ascii="Arial" w:cs="Arial" w:eastAsia="Arial" w:hAnsi="Arial"/>
                <w:sz w:val="16"/>
                <w:szCs w:val="16"/>
                <w:b w:val="1"/>
                <w:bCs w:val="1"/>
                <w:color w:val="00C1DE"/>
              </w:rPr>
              <w:t>Pay Element</w:t>
            </w:r>
          </w:p>
        </w:tc>
        <w:tc>
          <w:tcPr>
            <w:tcW w:w="3840" w:type="dxa"/>
            <w:vAlign w:val="bottom"/>
            <w:tcBorders>
              <w:bottom w:val="single" w:sz="8" w:color="00C1DE"/>
            </w:tcBorders>
          </w:tcPr>
          <w:p>
            <w:pPr>
              <w:ind w:left="400"/>
              <w:spacing w:after="0"/>
              <w:rPr>
                <w:sz w:val="20"/>
                <w:szCs w:val="20"/>
                <w:color w:val="auto"/>
              </w:rPr>
            </w:pPr>
            <w:r>
              <w:rPr>
                <w:rFonts w:ascii="Arial" w:cs="Arial" w:eastAsia="Arial" w:hAnsi="Arial"/>
                <w:sz w:val="16"/>
                <w:szCs w:val="16"/>
                <w:b w:val="1"/>
                <w:bCs w:val="1"/>
                <w:color w:val="00C1DE"/>
              </w:rPr>
              <w:t>Majority of Pay Is At-Risk</w:t>
            </w:r>
          </w:p>
        </w:tc>
        <w:tc>
          <w:tcPr>
            <w:tcW w:w="1800" w:type="dxa"/>
            <w:vAlign w:val="bottom"/>
            <w:tcBorders>
              <w:bottom w:val="single" w:sz="8" w:color="00C1DE"/>
            </w:tcBorders>
          </w:tcPr>
          <w:p>
            <w:pPr>
              <w:jc w:val="right"/>
              <w:spacing w:after="0"/>
              <w:rPr>
                <w:sz w:val="20"/>
                <w:szCs w:val="20"/>
                <w:color w:val="auto"/>
              </w:rPr>
            </w:pPr>
            <w:r>
              <w:rPr>
                <w:rFonts w:ascii="Arial" w:cs="Arial" w:eastAsia="Arial" w:hAnsi="Arial"/>
                <w:sz w:val="16"/>
                <w:szCs w:val="16"/>
                <w:b w:val="1"/>
                <w:bCs w:val="1"/>
                <w:color w:val="00C1DE"/>
              </w:rPr>
              <w:t>Awarded Value</w:t>
            </w:r>
          </w:p>
        </w:tc>
      </w:tr>
      <w:tr>
        <w:trPr>
          <w:trHeight w:val="265"/>
        </w:trPr>
        <w:tc>
          <w:tcPr>
            <w:tcW w:w="1520" w:type="dxa"/>
            <w:vAlign w:val="bottom"/>
          </w:tcPr>
          <w:p>
            <w:pPr>
              <w:ind w:left="80"/>
              <w:spacing w:after="0"/>
              <w:rPr>
                <w:sz w:val="20"/>
                <w:szCs w:val="20"/>
                <w:color w:val="auto"/>
              </w:rPr>
            </w:pPr>
            <w:r>
              <w:rPr>
                <w:rFonts w:ascii="Arial" w:cs="Arial" w:eastAsia="Arial" w:hAnsi="Arial"/>
                <w:sz w:val="16"/>
                <w:szCs w:val="16"/>
                <w:color w:val="3E3935"/>
              </w:rPr>
              <w:t>Base Salary</w:t>
            </w:r>
          </w:p>
        </w:tc>
        <w:tc>
          <w:tcPr>
            <w:tcW w:w="3840" w:type="dxa"/>
            <w:vAlign w:val="bottom"/>
          </w:tcPr>
          <w:p>
            <w:pPr>
              <w:ind w:left="400"/>
              <w:spacing w:after="0"/>
              <w:rPr>
                <w:sz w:val="20"/>
                <w:szCs w:val="20"/>
                <w:color w:val="auto"/>
              </w:rPr>
            </w:pPr>
            <w:r>
              <w:rPr>
                <w:rFonts w:ascii="Arial" w:cs="Arial" w:eastAsia="Arial" w:hAnsi="Arial"/>
                <w:sz w:val="16"/>
                <w:szCs w:val="16"/>
                <w:color w:val="3E3935"/>
              </w:rPr>
              <w:t>Only Fixed Pay Element</w:t>
            </w:r>
          </w:p>
        </w:tc>
        <w:tc>
          <w:tcPr>
            <w:tcW w:w="1800" w:type="dxa"/>
            <w:vAlign w:val="bottom"/>
          </w:tcPr>
          <w:p>
            <w:pPr>
              <w:jc w:val="right"/>
              <w:spacing w:after="0"/>
              <w:rPr>
                <w:sz w:val="20"/>
                <w:szCs w:val="20"/>
                <w:color w:val="auto"/>
              </w:rPr>
            </w:pPr>
            <w:r>
              <w:rPr>
                <w:rFonts w:ascii="Arial" w:cs="Arial" w:eastAsia="Arial" w:hAnsi="Arial"/>
                <w:sz w:val="16"/>
                <w:szCs w:val="16"/>
                <w:color w:val="3E3935"/>
              </w:rPr>
              <w:t>$875,000</w:t>
            </w:r>
          </w:p>
        </w:tc>
      </w:tr>
      <w:tr>
        <w:trPr>
          <w:trHeight w:val="43"/>
        </w:trPr>
        <w:tc>
          <w:tcPr>
            <w:tcW w:w="1520" w:type="dxa"/>
            <w:vAlign w:val="bottom"/>
            <w:tcBorders>
              <w:bottom w:val="single" w:sz="8" w:color="3E3935"/>
            </w:tcBorders>
          </w:tcPr>
          <w:p>
            <w:pPr>
              <w:spacing w:after="0"/>
              <w:rPr>
                <w:sz w:val="3"/>
                <w:szCs w:val="3"/>
                <w:color w:val="auto"/>
              </w:rPr>
            </w:pPr>
          </w:p>
        </w:tc>
        <w:tc>
          <w:tcPr>
            <w:tcW w:w="3840" w:type="dxa"/>
            <w:vAlign w:val="bottom"/>
            <w:tcBorders>
              <w:bottom w:val="single" w:sz="8" w:color="3E3935"/>
            </w:tcBorders>
          </w:tcPr>
          <w:p>
            <w:pPr>
              <w:spacing w:after="0"/>
              <w:rPr>
                <w:sz w:val="3"/>
                <w:szCs w:val="3"/>
                <w:color w:val="auto"/>
              </w:rPr>
            </w:pPr>
          </w:p>
        </w:tc>
        <w:tc>
          <w:tcPr>
            <w:tcW w:w="1800" w:type="dxa"/>
            <w:vAlign w:val="bottom"/>
            <w:tcBorders>
              <w:bottom w:val="single" w:sz="8" w:color="3E3935"/>
            </w:tcBorders>
          </w:tcPr>
          <w:p>
            <w:pPr>
              <w:spacing w:after="0"/>
              <w:rPr>
                <w:sz w:val="3"/>
                <w:szCs w:val="3"/>
                <w:color w:val="auto"/>
              </w:rPr>
            </w:pPr>
          </w:p>
        </w:tc>
      </w:tr>
      <w:tr>
        <w:trPr>
          <w:trHeight w:val="262"/>
        </w:trPr>
        <w:tc>
          <w:tcPr>
            <w:tcW w:w="1520" w:type="dxa"/>
            <w:vAlign w:val="bottom"/>
          </w:tcPr>
          <w:p>
            <w:pPr>
              <w:ind w:left="80"/>
              <w:spacing w:after="0"/>
              <w:rPr>
                <w:sz w:val="20"/>
                <w:szCs w:val="20"/>
                <w:color w:val="auto"/>
              </w:rPr>
            </w:pPr>
            <w:r>
              <w:rPr>
                <w:rFonts w:ascii="Arial" w:cs="Arial" w:eastAsia="Arial" w:hAnsi="Arial"/>
                <w:sz w:val="16"/>
                <w:szCs w:val="16"/>
                <w:color w:val="3E3935"/>
              </w:rPr>
              <w:t>STIP</w:t>
            </w:r>
          </w:p>
        </w:tc>
        <w:tc>
          <w:tcPr>
            <w:tcW w:w="3840" w:type="dxa"/>
            <w:vAlign w:val="bottom"/>
          </w:tcPr>
          <w:p>
            <w:pPr>
              <w:ind w:left="400"/>
              <w:spacing w:after="0"/>
              <w:rPr>
                <w:sz w:val="20"/>
                <w:szCs w:val="20"/>
                <w:color w:val="auto"/>
              </w:rPr>
            </w:pPr>
            <w:r>
              <w:rPr>
                <w:rFonts w:ascii="Arial" w:cs="Arial" w:eastAsia="Arial" w:hAnsi="Arial"/>
                <w:sz w:val="16"/>
                <w:szCs w:val="16"/>
                <w:color w:val="3E3935"/>
              </w:rPr>
              <w:t>Performance to Metrics</w:t>
            </w:r>
          </w:p>
        </w:tc>
        <w:tc>
          <w:tcPr>
            <w:tcW w:w="1800" w:type="dxa"/>
            <w:vAlign w:val="bottom"/>
          </w:tcPr>
          <w:p>
            <w:pPr>
              <w:jc w:val="right"/>
              <w:spacing w:after="0"/>
              <w:rPr>
                <w:sz w:val="20"/>
                <w:szCs w:val="20"/>
                <w:color w:val="auto"/>
              </w:rPr>
            </w:pPr>
            <w:r>
              <w:rPr>
                <w:rFonts w:ascii="Arial" w:cs="Arial" w:eastAsia="Arial" w:hAnsi="Arial"/>
                <w:sz w:val="16"/>
                <w:szCs w:val="16"/>
                <w:color w:val="3E3935"/>
              </w:rPr>
              <w:t>$1,629,800</w:t>
            </w:r>
          </w:p>
        </w:tc>
      </w:tr>
      <w:tr>
        <w:trPr>
          <w:trHeight w:val="42"/>
        </w:trPr>
        <w:tc>
          <w:tcPr>
            <w:tcW w:w="1520" w:type="dxa"/>
            <w:vAlign w:val="bottom"/>
            <w:tcBorders>
              <w:bottom w:val="single" w:sz="8" w:color="3E3935"/>
            </w:tcBorders>
          </w:tcPr>
          <w:p>
            <w:pPr>
              <w:spacing w:after="0"/>
              <w:rPr>
                <w:sz w:val="3"/>
                <w:szCs w:val="3"/>
                <w:color w:val="auto"/>
              </w:rPr>
            </w:pPr>
          </w:p>
        </w:tc>
        <w:tc>
          <w:tcPr>
            <w:tcW w:w="3840" w:type="dxa"/>
            <w:vAlign w:val="bottom"/>
            <w:tcBorders>
              <w:bottom w:val="single" w:sz="8" w:color="3E3935"/>
            </w:tcBorders>
          </w:tcPr>
          <w:p>
            <w:pPr>
              <w:spacing w:after="0"/>
              <w:rPr>
                <w:sz w:val="3"/>
                <w:szCs w:val="3"/>
                <w:color w:val="auto"/>
              </w:rPr>
            </w:pPr>
          </w:p>
        </w:tc>
        <w:tc>
          <w:tcPr>
            <w:tcW w:w="1800" w:type="dxa"/>
            <w:vAlign w:val="bottom"/>
            <w:tcBorders>
              <w:bottom w:val="single" w:sz="8" w:color="3E3935"/>
            </w:tcBorders>
          </w:tcPr>
          <w:p>
            <w:pPr>
              <w:spacing w:after="0"/>
              <w:rPr>
                <w:sz w:val="3"/>
                <w:szCs w:val="3"/>
                <w:color w:val="auto"/>
              </w:rPr>
            </w:pPr>
          </w:p>
        </w:tc>
      </w:tr>
      <w:tr>
        <w:trPr>
          <w:trHeight w:val="262"/>
        </w:trPr>
        <w:tc>
          <w:tcPr>
            <w:tcW w:w="1520" w:type="dxa"/>
            <w:vAlign w:val="bottom"/>
          </w:tcPr>
          <w:p>
            <w:pPr>
              <w:ind w:left="80"/>
              <w:spacing w:after="0"/>
              <w:rPr>
                <w:sz w:val="20"/>
                <w:szCs w:val="20"/>
                <w:color w:val="auto"/>
              </w:rPr>
            </w:pPr>
            <w:r>
              <w:rPr>
                <w:rFonts w:ascii="Arial" w:cs="Arial" w:eastAsia="Arial" w:hAnsi="Arial"/>
                <w:sz w:val="16"/>
                <w:szCs w:val="16"/>
                <w:color w:val="3E3935"/>
              </w:rPr>
              <w:t>PSUs</w:t>
            </w:r>
          </w:p>
        </w:tc>
        <w:tc>
          <w:tcPr>
            <w:tcW w:w="3840" w:type="dxa"/>
            <w:vAlign w:val="bottom"/>
          </w:tcPr>
          <w:p>
            <w:pPr>
              <w:ind w:left="400"/>
              <w:spacing w:after="0"/>
              <w:rPr>
                <w:sz w:val="20"/>
                <w:szCs w:val="20"/>
                <w:color w:val="auto"/>
              </w:rPr>
            </w:pPr>
            <w:r>
              <w:rPr>
                <w:rFonts w:ascii="Arial" w:cs="Arial" w:eastAsia="Arial" w:hAnsi="Arial"/>
                <w:sz w:val="16"/>
                <w:szCs w:val="16"/>
                <w:color w:val="3E3935"/>
              </w:rPr>
              <w:t>Performance to Metrics and Stock Price</w:t>
            </w:r>
          </w:p>
        </w:tc>
        <w:tc>
          <w:tcPr>
            <w:tcW w:w="1800" w:type="dxa"/>
            <w:vAlign w:val="bottom"/>
          </w:tcPr>
          <w:p>
            <w:pPr>
              <w:jc w:val="right"/>
              <w:spacing w:after="0"/>
              <w:rPr>
                <w:sz w:val="20"/>
                <w:szCs w:val="20"/>
                <w:color w:val="auto"/>
              </w:rPr>
            </w:pPr>
            <w:r>
              <w:rPr>
                <w:rFonts w:ascii="Arial" w:cs="Arial" w:eastAsia="Arial" w:hAnsi="Arial"/>
                <w:sz w:val="16"/>
                <w:szCs w:val="16"/>
                <w:color w:val="3E3935"/>
              </w:rPr>
              <w:t>$4,523,400</w:t>
            </w:r>
          </w:p>
        </w:tc>
      </w:tr>
      <w:tr>
        <w:trPr>
          <w:trHeight w:val="42"/>
        </w:trPr>
        <w:tc>
          <w:tcPr>
            <w:tcW w:w="1520" w:type="dxa"/>
            <w:vAlign w:val="bottom"/>
            <w:tcBorders>
              <w:bottom w:val="single" w:sz="8" w:color="3E3935"/>
            </w:tcBorders>
          </w:tcPr>
          <w:p>
            <w:pPr>
              <w:spacing w:after="0"/>
              <w:rPr>
                <w:sz w:val="3"/>
                <w:szCs w:val="3"/>
                <w:color w:val="auto"/>
              </w:rPr>
            </w:pPr>
          </w:p>
        </w:tc>
        <w:tc>
          <w:tcPr>
            <w:tcW w:w="3840" w:type="dxa"/>
            <w:vAlign w:val="bottom"/>
            <w:tcBorders>
              <w:bottom w:val="single" w:sz="8" w:color="3E3935"/>
            </w:tcBorders>
          </w:tcPr>
          <w:p>
            <w:pPr>
              <w:spacing w:after="0"/>
              <w:rPr>
                <w:sz w:val="3"/>
                <w:szCs w:val="3"/>
                <w:color w:val="auto"/>
              </w:rPr>
            </w:pPr>
          </w:p>
        </w:tc>
        <w:tc>
          <w:tcPr>
            <w:tcW w:w="1800" w:type="dxa"/>
            <w:vAlign w:val="bottom"/>
            <w:tcBorders>
              <w:bottom w:val="single" w:sz="8" w:color="3E3935"/>
            </w:tcBorders>
          </w:tcPr>
          <w:p>
            <w:pPr>
              <w:spacing w:after="0"/>
              <w:rPr>
                <w:sz w:val="3"/>
                <w:szCs w:val="3"/>
                <w:color w:val="auto"/>
              </w:rPr>
            </w:pPr>
          </w:p>
        </w:tc>
      </w:tr>
      <w:tr>
        <w:trPr>
          <w:trHeight w:val="262"/>
        </w:trPr>
        <w:tc>
          <w:tcPr>
            <w:tcW w:w="1520" w:type="dxa"/>
            <w:vAlign w:val="bottom"/>
          </w:tcPr>
          <w:p>
            <w:pPr>
              <w:ind w:left="80"/>
              <w:spacing w:after="0"/>
              <w:rPr>
                <w:sz w:val="20"/>
                <w:szCs w:val="20"/>
                <w:color w:val="auto"/>
              </w:rPr>
            </w:pPr>
            <w:r>
              <w:rPr>
                <w:rFonts w:ascii="Arial" w:cs="Arial" w:eastAsia="Arial" w:hAnsi="Arial"/>
                <w:sz w:val="16"/>
                <w:szCs w:val="16"/>
                <w:color w:val="3E3935"/>
              </w:rPr>
              <w:t>Stock Options</w:t>
            </w:r>
          </w:p>
        </w:tc>
        <w:tc>
          <w:tcPr>
            <w:tcW w:w="3840" w:type="dxa"/>
            <w:vAlign w:val="bottom"/>
          </w:tcPr>
          <w:p>
            <w:pPr>
              <w:ind w:left="400"/>
              <w:spacing w:after="0"/>
              <w:rPr>
                <w:sz w:val="20"/>
                <w:szCs w:val="20"/>
                <w:color w:val="auto"/>
              </w:rPr>
            </w:pPr>
            <w:r>
              <w:rPr>
                <w:rFonts w:ascii="Arial" w:cs="Arial" w:eastAsia="Arial" w:hAnsi="Arial"/>
                <w:sz w:val="16"/>
                <w:szCs w:val="16"/>
                <w:color w:val="3E3935"/>
              </w:rPr>
              <w:t>Performance to Stock Price</w:t>
            </w:r>
          </w:p>
        </w:tc>
        <w:tc>
          <w:tcPr>
            <w:tcW w:w="1800" w:type="dxa"/>
            <w:vAlign w:val="bottom"/>
          </w:tcPr>
          <w:p>
            <w:pPr>
              <w:jc w:val="right"/>
              <w:spacing w:after="0"/>
              <w:rPr>
                <w:sz w:val="20"/>
                <w:szCs w:val="20"/>
                <w:color w:val="auto"/>
              </w:rPr>
            </w:pPr>
            <w:r>
              <w:rPr>
                <w:rFonts w:ascii="Arial" w:cs="Arial" w:eastAsia="Arial" w:hAnsi="Arial"/>
                <w:sz w:val="16"/>
                <w:szCs w:val="16"/>
                <w:color w:val="3E3935"/>
              </w:rPr>
              <w:t>$1,507,806</w:t>
            </w:r>
          </w:p>
        </w:tc>
      </w:tr>
      <w:tr>
        <w:trPr>
          <w:trHeight w:val="42"/>
        </w:trPr>
        <w:tc>
          <w:tcPr>
            <w:tcW w:w="1520" w:type="dxa"/>
            <w:vAlign w:val="bottom"/>
            <w:tcBorders>
              <w:bottom w:val="single" w:sz="8" w:color="3E3935"/>
            </w:tcBorders>
          </w:tcPr>
          <w:p>
            <w:pPr>
              <w:spacing w:after="0"/>
              <w:rPr>
                <w:sz w:val="3"/>
                <w:szCs w:val="3"/>
                <w:color w:val="auto"/>
              </w:rPr>
            </w:pPr>
          </w:p>
        </w:tc>
        <w:tc>
          <w:tcPr>
            <w:tcW w:w="3840" w:type="dxa"/>
            <w:vAlign w:val="bottom"/>
            <w:tcBorders>
              <w:bottom w:val="single" w:sz="8" w:color="3E3935"/>
            </w:tcBorders>
          </w:tcPr>
          <w:p>
            <w:pPr>
              <w:spacing w:after="0"/>
              <w:rPr>
                <w:sz w:val="3"/>
                <w:szCs w:val="3"/>
                <w:color w:val="auto"/>
              </w:rPr>
            </w:pPr>
          </w:p>
        </w:tc>
        <w:tc>
          <w:tcPr>
            <w:tcW w:w="1800" w:type="dxa"/>
            <w:vAlign w:val="bottom"/>
            <w:tcBorders>
              <w:bottom w:val="single" w:sz="8" w:color="3E3935"/>
            </w:tcBorders>
          </w:tcPr>
          <w:p>
            <w:pPr>
              <w:spacing w:after="0"/>
              <w:rPr>
                <w:sz w:val="3"/>
                <w:szCs w:val="3"/>
                <w:color w:val="auto"/>
              </w:rPr>
            </w:pPr>
          </w:p>
        </w:tc>
      </w:tr>
      <w:tr>
        <w:trPr>
          <w:trHeight w:val="270"/>
        </w:trPr>
        <w:tc>
          <w:tcPr>
            <w:tcW w:w="1520" w:type="dxa"/>
            <w:vAlign w:val="bottom"/>
          </w:tcPr>
          <w:p>
            <w:pPr>
              <w:ind w:left="80"/>
              <w:spacing w:after="0"/>
              <w:rPr>
                <w:sz w:val="20"/>
                <w:szCs w:val="20"/>
                <w:color w:val="auto"/>
              </w:rPr>
            </w:pPr>
            <w:r>
              <w:rPr>
                <w:rFonts w:ascii="Arial" w:cs="Arial" w:eastAsia="Arial" w:hAnsi="Arial"/>
                <w:sz w:val="16"/>
                <w:szCs w:val="16"/>
                <w:b w:val="1"/>
                <w:bCs w:val="1"/>
                <w:color w:val="0071CE"/>
              </w:rPr>
              <w:t>TOTAL</w:t>
            </w:r>
          </w:p>
        </w:tc>
        <w:tc>
          <w:tcPr>
            <w:tcW w:w="3840" w:type="dxa"/>
            <w:vAlign w:val="bottom"/>
          </w:tcPr>
          <w:p>
            <w:pPr>
              <w:spacing w:after="0"/>
              <w:rPr>
                <w:sz w:val="23"/>
                <w:szCs w:val="23"/>
                <w:color w:val="auto"/>
              </w:rPr>
            </w:pPr>
          </w:p>
        </w:tc>
        <w:tc>
          <w:tcPr>
            <w:tcW w:w="1800" w:type="dxa"/>
            <w:vAlign w:val="bottom"/>
          </w:tcPr>
          <w:p>
            <w:pPr>
              <w:jc w:val="right"/>
              <w:spacing w:after="0"/>
              <w:rPr>
                <w:sz w:val="20"/>
                <w:szCs w:val="20"/>
                <w:color w:val="auto"/>
              </w:rPr>
            </w:pPr>
            <w:r>
              <w:rPr>
                <w:rFonts w:ascii="Arial" w:cs="Arial" w:eastAsia="Arial" w:hAnsi="Arial"/>
                <w:sz w:val="16"/>
                <w:szCs w:val="16"/>
                <w:b w:val="1"/>
                <w:bCs w:val="1"/>
                <w:color w:val="0071CE"/>
              </w:rPr>
              <w:t>$8,536,006</w:t>
            </w:r>
          </w:p>
        </w:tc>
      </w:tr>
      <w:tr>
        <w:trPr>
          <w:trHeight w:val="34"/>
        </w:trPr>
        <w:tc>
          <w:tcPr>
            <w:tcW w:w="1520" w:type="dxa"/>
            <w:vAlign w:val="bottom"/>
            <w:tcBorders>
              <w:bottom w:val="single" w:sz="8" w:color="0071CE"/>
            </w:tcBorders>
          </w:tcPr>
          <w:p>
            <w:pPr>
              <w:spacing w:after="0"/>
              <w:rPr>
                <w:sz w:val="3"/>
                <w:szCs w:val="3"/>
                <w:color w:val="auto"/>
              </w:rPr>
            </w:pPr>
          </w:p>
        </w:tc>
        <w:tc>
          <w:tcPr>
            <w:tcW w:w="3840" w:type="dxa"/>
            <w:vAlign w:val="bottom"/>
            <w:tcBorders>
              <w:bottom w:val="single" w:sz="8" w:color="0071CE"/>
            </w:tcBorders>
          </w:tcPr>
          <w:p>
            <w:pPr>
              <w:spacing w:after="0"/>
              <w:rPr>
                <w:sz w:val="3"/>
                <w:szCs w:val="3"/>
                <w:color w:val="auto"/>
              </w:rPr>
            </w:pPr>
          </w:p>
        </w:tc>
        <w:tc>
          <w:tcPr>
            <w:tcW w:w="1800" w:type="dxa"/>
            <w:vAlign w:val="bottom"/>
            <w:tcBorders>
              <w:bottom w:val="single" w:sz="8" w:color="0071CE"/>
            </w:tcBorders>
          </w:tcPr>
          <w:p>
            <w:pPr>
              <w:spacing w:after="0"/>
              <w:rPr>
                <w:sz w:val="3"/>
                <w:szCs w:val="3"/>
                <w:color w:val="auto"/>
              </w:rPr>
            </w:pPr>
          </w:p>
        </w:tc>
      </w:tr>
      <w:tr>
        <w:trPr>
          <w:trHeight w:val="458"/>
        </w:trPr>
        <w:tc>
          <w:tcPr>
            <w:tcW w:w="1520" w:type="dxa"/>
            <w:vAlign w:val="bottom"/>
          </w:tcPr>
          <w:p>
            <w:pPr>
              <w:spacing w:after="0"/>
              <w:rPr>
                <w:sz w:val="20"/>
                <w:szCs w:val="20"/>
                <w:color w:val="auto"/>
              </w:rPr>
            </w:pPr>
            <w:r>
              <w:rPr>
                <w:rFonts w:ascii="Arial" w:cs="Arial" w:eastAsia="Arial" w:hAnsi="Arial"/>
                <w:sz w:val="14"/>
                <w:szCs w:val="14"/>
                <w:color w:val="0071CE"/>
              </w:rPr>
              <w:t>68</w:t>
            </w:r>
          </w:p>
        </w:tc>
        <w:tc>
          <w:tcPr>
            <w:tcW w:w="3840" w:type="dxa"/>
            <w:vAlign w:val="bottom"/>
          </w:tcPr>
          <w:p>
            <w:pPr>
              <w:spacing w:after="0"/>
              <w:rPr>
                <w:sz w:val="24"/>
                <w:szCs w:val="24"/>
                <w:color w:val="auto"/>
              </w:rPr>
            </w:pPr>
          </w:p>
        </w:tc>
        <w:tc>
          <w:tcPr>
            <w:tcW w:w="180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wp:posOffset>
            </wp:positionH>
            <wp:positionV relativeFrom="paragraph">
              <wp:posOffset>-114300</wp:posOffset>
            </wp:positionV>
            <wp:extent cx="5983605" cy="10287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5983605" cy="10287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both"/>
        <w:spacing w:after="0" w:line="261" w:lineRule="auto"/>
        <w:rPr>
          <w:sz w:val="20"/>
          <w:szCs w:val="20"/>
          <w:color w:val="auto"/>
        </w:rPr>
      </w:pPr>
      <w:r>
        <w:rPr>
          <w:rFonts w:ascii="Arial" w:cs="Arial" w:eastAsia="Arial" w:hAnsi="Arial"/>
          <w:sz w:val="14"/>
          <w:szCs w:val="14"/>
          <w:i w:val="1"/>
          <w:iCs w:val="1"/>
          <w:color w:val="3E3935"/>
        </w:rPr>
        <w:t>Awarded Value reflects the amount included in the Summary Compensation Table, excluding change in pension value and all other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305435</wp:posOffset>
            </wp:positionH>
            <wp:positionV relativeFrom="paragraph">
              <wp:posOffset>-5197475</wp:posOffset>
            </wp:positionV>
            <wp:extent cx="1628775" cy="480060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1628775" cy="4800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sz w:val="1"/>
          <w:szCs w:val="1"/>
          <w:color w:val="auto"/>
        </w:rPr>
        <w:drawing>
          <wp:inline distT="0" distB="0" distL="0" distR="0">
            <wp:extent cx="77470" cy="76835"/>
            <wp:effectExtent l="0" t="0" r="0" b="0"/>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7470" cy="76835"/>
                    </a:xfrm>
                    <a:prstGeom prst="rect">
                      <a:avLst/>
                    </a:prstGeom>
                    <a:noFill/>
                    <a:ln>
                      <a:noFill/>
                    </a:ln>
                  </pic:spPr>
                </pic:pic>
              </a:graphicData>
            </a:graphic>
          </wp:inline>
        </w:drawing>
      </w:r>
      <w:r>
        <w:rPr>
          <w:rFonts w:ascii="Arial" w:cs="Arial" w:eastAsia="Arial" w:hAnsi="Arial"/>
          <w:sz w:val="18"/>
          <w:szCs w:val="18"/>
          <w:i w:val="1"/>
          <w:iCs w:val="1"/>
          <w:color w:val="3E3935"/>
        </w:rPr>
        <w:t xml:space="preserve"> Represents ESG Results</w:t>
      </w:r>
    </w:p>
    <w:p>
      <w:pPr>
        <w:sectPr>
          <w:pgSz w:w="11900" w:h="16838" w:orient="portrait"/>
          <w:cols w:equalWidth="0" w:num="2">
            <w:col w:w="7280" w:space="320"/>
            <w:col w:w="3540"/>
          </w:cols>
          <w:pgMar w:left="320" w:top="482" w:right="4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59" w:lineRule="exact"/>
        <w:rPr>
          <w:sz w:val="20"/>
          <w:szCs w:val="20"/>
          <w:color w:val="auto"/>
        </w:rPr>
      </w:pPr>
    </w:p>
    <w:p>
      <w:pPr>
        <w:ind w:left="560" w:hanging="444"/>
        <w:spacing w:after="0"/>
        <w:tabs>
          <w:tab w:leader="none" w:pos="560" w:val="left"/>
        </w:tabs>
        <w:numPr>
          <w:ilvl w:val="0"/>
          <w:numId w:val="109"/>
        </w:numPr>
        <w:rPr>
          <w:rFonts w:ascii="Times New Roman" w:cs="Times New Roman" w:eastAsia="Times New Roman" w:hAnsi="Times New Roman"/>
          <w:sz w:val="19"/>
          <w:szCs w:val="19"/>
          <w:color w:val="0071CE"/>
        </w:rPr>
      </w:pPr>
      <w:r>
        <w:rPr>
          <w:rFonts w:ascii="Arial" w:cs="Arial" w:eastAsia="Arial" w:hAnsi="Arial"/>
          <w:sz w:val="25"/>
          <w:szCs w:val="25"/>
          <w:color w:val="3E3935"/>
        </w:rPr>
        <w:t>Compensation Decisions for Stephen K. Carlisle</w:t>
      </w:r>
    </w:p>
    <w:p>
      <w:pPr>
        <w:spacing w:after="0" w:line="116"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3E3935"/>
        </w:rPr>
        <w:t>Executive Vice President and President, North America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74930</wp:posOffset>
            </wp:positionV>
            <wp:extent cx="4543425" cy="1714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4543425" cy="17145"/>
                    </a:xfrm>
                    <a:prstGeom prst="rect">
                      <a:avLst/>
                    </a:prstGeom>
                    <a:noFill/>
                  </pic:spPr>
                </pic:pic>
              </a:graphicData>
            </a:graphic>
          </wp:anchor>
        </w:drawing>
      </w:r>
    </w:p>
    <w:p>
      <w:pPr>
        <w:spacing w:after="0" w:line="192" w:lineRule="exact"/>
        <w:rPr>
          <w:sz w:val="20"/>
          <w:szCs w:val="20"/>
          <w:color w:val="auto"/>
        </w:rPr>
      </w:pPr>
    </w:p>
    <w:p>
      <w:pPr>
        <w:jc w:val="both"/>
        <w:ind w:left="120"/>
        <w:spacing w:after="0" w:line="275" w:lineRule="auto"/>
        <w:rPr>
          <w:sz w:val="20"/>
          <w:szCs w:val="20"/>
          <w:color w:val="auto"/>
        </w:rPr>
      </w:pPr>
      <w:r>
        <w:rPr>
          <w:rFonts w:ascii="Arial" w:cs="Arial" w:eastAsia="Arial" w:hAnsi="Arial"/>
          <w:sz w:val="16"/>
          <w:szCs w:val="16"/>
          <w:color w:val="3E3935"/>
        </w:rPr>
        <w:t>The Compensation Committee made the following pay decisions based on performance, competitive market data, and feedback from its independent compensation consultant and management:</w:t>
      </w:r>
    </w:p>
    <w:p>
      <w:pPr>
        <w:spacing w:after="0" w:line="253"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0071CE"/>
        </w:rPr>
        <w:t xml:space="preserve">Base Salary </w:t>
      </w:r>
      <w:r>
        <w:rPr>
          <w:rFonts w:ascii="Arial" w:cs="Arial" w:eastAsia="Arial" w:hAnsi="Arial"/>
          <w:sz w:val="16"/>
          <w:szCs w:val="16"/>
          <w:color w:val="3E3935"/>
        </w:rPr>
        <w:t>– Effective January 1, 2022, increased base salary from $850,000 to $875,000.</w:t>
      </w:r>
    </w:p>
    <w:p>
      <w:pPr>
        <w:spacing w:after="0" w:line="113" w:lineRule="exact"/>
        <w:rPr>
          <w:sz w:val="20"/>
          <w:szCs w:val="20"/>
          <w:color w:val="auto"/>
        </w:rPr>
      </w:pPr>
    </w:p>
    <w:p>
      <w:pPr>
        <w:jc w:val="both"/>
        <w:ind w:left="120"/>
        <w:spacing w:after="0" w:line="257" w:lineRule="auto"/>
        <w:rPr>
          <w:sz w:val="20"/>
          <w:szCs w:val="20"/>
          <w:color w:val="auto"/>
        </w:rPr>
      </w:pPr>
      <w:r>
        <w:rPr>
          <w:rFonts w:ascii="Arial" w:cs="Arial" w:eastAsia="Arial" w:hAnsi="Arial"/>
          <w:sz w:val="16"/>
          <w:szCs w:val="16"/>
          <w:b w:val="1"/>
          <w:bCs w:val="1"/>
          <w:color w:val="0071CE"/>
        </w:rPr>
        <w:t xml:space="preserve">Short-Term Incentive </w:t>
      </w:r>
      <w:r>
        <w:rPr>
          <w:rFonts w:ascii="Arial" w:cs="Arial" w:eastAsia="Arial" w:hAnsi="Arial"/>
          <w:sz w:val="16"/>
          <w:szCs w:val="16"/>
          <w:color w:val="3E3935"/>
        </w:rPr>
        <w:t>– Awarded 30 points out of a 25-point target and 50-point maximum for the</w:t>
      </w:r>
      <w:r>
        <w:rPr>
          <w:rFonts w:ascii="Arial" w:cs="Arial" w:eastAsia="Arial" w:hAnsi="Arial"/>
          <w:sz w:val="16"/>
          <w:szCs w:val="16"/>
          <w:b w:val="1"/>
          <w:bCs w:val="1"/>
          <w:color w:val="0071CE"/>
        </w:rPr>
        <w:t xml:space="preserve"> </w:t>
      </w:r>
      <w:r>
        <w:rPr>
          <w:rFonts w:ascii="Arial" w:cs="Arial" w:eastAsia="Arial" w:hAnsi="Arial"/>
          <w:sz w:val="16"/>
          <w:szCs w:val="16"/>
          <w:color w:val="3E3935"/>
        </w:rPr>
        <w:t>strategic goals portion for the 2022 STIP performance year. In determining the number of points earned, the Compensation Committee considered these results for Mr. Carlisle:</w:t>
      </w:r>
    </w:p>
    <w:p>
      <w:pPr>
        <w:spacing w:after="0" w:line="97" w:lineRule="exact"/>
        <w:rPr>
          <w:sz w:val="20"/>
          <w:szCs w:val="20"/>
          <w:color w:val="auto"/>
        </w:rPr>
      </w:pPr>
    </w:p>
    <w:p>
      <w:pPr>
        <w:ind w:left="360" w:right="20" w:hanging="244"/>
        <w:spacing w:after="0"/>
        <w:tabs>
          <w:tab w:leader="none" w:pos="360" w:val="left"/>
        </w:tabs>
        <w:numPr>
          <w:ilvl w:val="0"/>
          <w:numId w:val="110"/>
        </w:numPr>
        <w:rPr>
          <w:rFonts w:ascii="Arial" w:cs="Arial" w:eastAsia="Arial" w:hAnsi="Arial"/>
          <w:sz w:val="31"/>
          <w:szCs w:val="31"/>
          <w:color w:val="0071CE"/>
          <w:vertAlign w:val="subscript"/>
        </w:rPr>
      </w:pPr>
      <w:r>
        <w:rPr>
          <w:rFonts w:ascii="Arial" w:cs="Arial" w:eastAsia="Arial" w:hAnsi="Arial"/>
          <w:sz w:val="13"/>
          <w:szCs w:val="13"/>
          <w:color w:val="3E3935"/>
        </w:rPr>
        <w:t>Led the industry in total U.S. sales and delivered largest year-over-year increase in U.S. market share of any OEM;</w:t>
      </w:r>
    </w:p>
    <w:p>
      <w:pPr>
        <w:spacing w:after="0" w:line="37" w:lineRule="exact"/>
        <w:rPr>
          <w:rFonts w:ascii="Arial" w:cs="Arial" w:eastAsia="Arial" w:hAnsi="Arial"/>
          <w:sz w:val="31"/>
          <w:szCs w:val="31"/>
          <w:color w:val="0071CE"/>
          <w:vertAlign w:val="subscript"/>
        </w:rPr>
      </w:pPr>
    </w:p>
    <w:p>
      <w:pPr>
        <w:ind w:left="360" w:hanging="244"/>
        <w:spacing w:after="0" w:line="180" w:lineRule="auto"/>
        <w:tabs>
          <w:tab w:leader="none" w:pos="360" w:val="left"/>
        </w:tabs>
        <w:numPr>
          <w:ilvl w:val="0"/>
          <w:numId w:val="110"/>
        </w:numPr>
        <w:rPr>
          <w:rFonts w:ascii="Arial" w:cs="Arial" w:eastAsia="Arial" w:hAnsi="Arial"/>
          <w:sz w:val="23"/>
          <w:szCs w:val="23"/>
          <w:color w:val="0071CE"/>
          <w:vertAlign w:val="subscript"/>
        </w:rPr>
      </w:pPr>
      <w:r>
        <w:rPr>
          <w:rFonts w:ascii="Arial" w:cs="Arial" w:eastAsia="Arial" w:hAnsi="Arial"/>
          <w:sz w:val="12"/>
          <w:szCs w:val="12"/>
          <w:color w:val="3E3935"/>
        </w:rPr>
        <w:t>Achieved strong 10.1 percent EBIT-adjusted margin in North America; and</w:t>
      </w:r>
    </w:p>
    <w:p>
      <w:pPr>
        <w:spacing w:after="0" w:line="112" w:lineRule="exact"/>
        <w:rPr>
          <w:rFonts w:ascii="Arial" w:cs="Arial" w:eastAsia="Arial" w:hAnsi="Arial"/>
          <w:sz w:val="23"/>
          <w:szCs w:val="23"/>
          <w:color w:val="0071CE"/>
          <w:vertAlign w:val="subscript"/>
        </w:rPr>
      </w:pPr>
    </w:p>
    <w:p>
      <w:pPr>
        <w:ind w:left="360" w:right="20" w:hanging="244"/>
        <w:spacing w:after="0" w:line="182" w:lineRule="auto"/>
        <w:tabs>
          <w:tab w:leader="none" w:pos="360" w:val="left"/>
        </w:tabs>
        <w:numPr>
          <w:ilvl w:val="0"/>
          <w:numId w:val="110"/>
        </w:numPr>
        <w:rPr>
          <w:rFonts w:ascii="Arial" w:cs="Arial" w:eastAsia="Arial" w:hAnsi="Arial"/>
          <w:sz w:val="38"/>
          <w:szCs w:val="38"/>
          <w:color w:val="0071CE"/>
          <w:vertAlign w:val="subscript"/>
        </w:rPr>
      </w:pPr>
      <w:r>
        <w:rPr>
          <w:rFonts w:ascii="Arial" w:cs="Arial" w:eastAsia="Arial" w:hAnsi="Arial"/>
          <w:sz w:val="14"/>
          <w:szCs w:val="14"/>
          <w:color w:val="3E3935"/>
        </w:rPr>
        <w:t>Maintained U.S. full-size pickup truck leadership for the third consecutive year and full-size SUV leadership for the 48</w:t>
      </w:r>
      <w:r>
        <w:rPr>
          <w:rFonts w:ascii="Arial" w:cs="Arial" w:eastAsia="Arial" w:hAnsi="Arial"/>
          <w:sz w:val="19"/>
          <w:szCs w:val="19"/>
          <w:color w:val="3E3935"/>
          <w:vertAlign w:val="superscript"/>
        </w:rPr>
        <w:t>th</w:t>
      </w:r>
      <w:r>
        <w:rPr>
          <w:rFonts w:ascii="Arial" w:cs="Arial" w:eastAsia="Arial" w:hAnsi="Arial"/>
          <w:sz w:val="14"/>
          <w:szCs w:val="14"/>
          <w:color w:val="3E3935"/>
        </w:rPr>
        <w:t xml:space="preserve"> consecutive year, as well as other highlights below.</w:t>
      </w:r>
    </w:p>
    <w:p>
      <w:pPr>
        <w:spacing w:after="0" w:line="31" w:lineRule="exact"/>
        <w:rPr>
          <w:rFonts w:ascii="Arial" w:cs="Arial" w:eastAsia="Arial" w:hAnsi="Arial"/>
          <w:sz w:val="38"/>
          <w:szCs w:val="38"/>
          <w:color w:val="0071CE"/>
          <w:vertAlign w:val="subscript"/>
        </w:rPr>
      </w:pPr>
    </w:p>
    <w:p>
      <w:pPr>
        <w:ind w:left="340"/>
        <w:spacing w:after="0"/>
        <w:rPr>
          <w:rFonts w:ascii="Arial" w:cs="Arial" w:eastAsia="Arial" w:hAnsi="Arial"/>
          <w:sz w:val="38"/>
          <w:szCs w:val="38"/>
          <w:color w:val="0071CE"/>
          <w:vertAlign w:val="subscript"/>
        </w:rPr>
      </w:pPr>
      <w:r>
        <w:rPr>
          <w:rFonts w:ascii="Arial" w:cs="Arial" w:eastAsia="Arial" w:hAnsi="Arial"/>
          <w:sz w:val="14"/>
          <w:szCs w:val="14"/>
          <w:b w:val="1"/>
          <w:bCs w:val="1"/>
          <w:color w:val="3E3935"/>
        </w:rPr>
        <w:t>Our People</w:t>
      </w:r>
    </w:p>
    <w:p>
      <w:pPr>
        <w:spacing w:after="0" w:line="35" w:lineRule="exact"/>
        <w:rPr>
          <w:rFonts w:ascii="Arial" w:cs="Arial" w:eastAsia="Arial" w:hAnsi="Arial"/>
          <w:sz w:val="38"/>
          <w:szCs w:val="38"/>
          <w:color w:val="0071CE"/>
          <w:vertAlign w:val="subscript"/>
        </w:rPr>
      </w:pPr>
    </w:p>
    <w:p>
      <w:pPr>
        <w:ind w:left="560" w:right="220" w:hanging="216"/>
        <w:spacing w:after="0" w:line="236" w:lineRule="auto"/>
        <w:rPr>
          <w:rFonts w:ascii="Arial" w:cs="Arial" w:eastAsia="Arial" w:hAnsi="Arial"/>
          <w:sz w:val="38"/>
          <w:szCs w:val="38"/>
          <w:color w:val="0071CE"/>
          <w:vertAlign w:val="subscript"/>
        </w:rPr>
      </w:pPr>
      <w:r>
        <w:rPr>
          <w:rFonts w:ascii="Arial" w:cs="Arial" w:eastAsia="Arial" w:hAnsi="Arial"/>
          <w:sz w:val="20"/>
          <w:szCs w:val="20"/>
          <w:color w:val="00C1DE"/>
        </w:rPr>
        <w:t>•</w:t>
      </w:r>
      <w:r>
        <w:rPr>
          <w:rFonts w:ascii="Arial" w:cs="Arial" w:eastAsia="Arial" w:hAnsi="Arial"/>
          <w:sz w:val="14"/>
          <w:szCs w:val="14"/>
          <w:color w:val="3E3935"/>
        </w:rPr>
        <w:t xml:space="preserve">   Continued to prioritize our safety culture resulting in reductions in permanently disabling injuries and</w:t>
      </w:r>
      <w:r>
        <w:rPr>
          <w:rFonts w:ascii="Arial" w:cs="Arial" w:eastAsia="Arial" w:hAnsi="Arial"/>
          <w:sz w:val="20"/>
          <w:szCs w:val="20"/>
          <w:color w:val="00C1DE"/>
        </w:rPr>
        <w:t xml:space="preserve"> </w:t>
      </w:r>
      <w:r>
        <w:rPr>
          <w:rFonts w:ascii="Arial" w:cs="Arial" w:eastAsia="Arial" w:hAnsi="Arial"/>
          <w:sz w:val="14"/>
          <w:szCs w:val="14"/>
          <w:color w:val="3E3935"/>
        </w:rPr>
        <w:t xml:space="preserve">lost workdays </w:t>
      </w:r>
      <w:r>
        <w:rPr>
          <w:rFonts w:ascii="Arial" w:cs="Arial" w:eastAsia="Arial" w:hAnsi="Arial"/>
          <w:sz w:val="1"/>
          <w:szCs w:val="1"/>
          <w:color w:val="0071CE"/>
          <w:vertAlign w:val="subscript"/>
        </w:rPr>
        <w:drawing>
          <wp:inline distT="0" distB="0" distL="0" distR="0">
            <wp:extent cx="76835" cy="77470"/>
            <wp:effectExtent l="0" t="0" r="0" b="0"/>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6835" cy="77470"/>
                    </a:xfrm>
                    <a:prstGeom prst="rect">
                      <a:avLst/>
                    </a:prstGeom>
                    <a:noFill/>
                    <a:ln>
                      <a:noFill/>
                    </a:ln>
                  </pic:spPr>
                </pic:pic>
              </a:graphicData>
            </a:graphic>
          </wp:inline>
        </w:drawing>
      </w:r>
    </w:p>
    <w:p>
      <w:pPr>
        <w:spacing w:after="0" w:line="1" w:lineRule="exact"/>
        <w:rPr>
          <w:rFonts w:ascii="Arial" w:cs="Arial" w:eastAsia="Arial" w:hAnsi="Arial"/>
          <w:sz w:val="38"/>
          <w:szCs w:val="38"/>
          <w:color w:val="0071CE"/>
          <w:vertAlign w:val="subscript"/>
        </w:rPr>
      </w:pPr>
    </w:p>
    <w:p>
      <w:pPr>
        <w:ind w:left="340"/>
        <w:spacing w:after="0"/>
        <w:rPr>
          <w:rFonts w:ascii="Arial" w:cs="Arial" w:eastAsia="Arial" w:hAnsi="Arial"/>
          <w:sz w:val="38"/>
          <w:szCs w:val="38"/>
          <w:color w:val="0071CE"/>
          <w:vertAlign w:val="subscript"/>
        </w:rPr>
      </w:pPr>
      <w:r>
        <w:rPr>
          <w:rFonts w:ascii="Arial" w:cs="Arial" w:eastAsia="Arial" w:hAnsi="Arial"/>
          <w:sz w:val="20"/>
          <w:szCs w:val="20"/>
          <w:color w:val="00C1DE"/>
        </w:rPr>
        <w:t>•</w:t>
      </w:r>
      <w:r>
        <w:rPr>
          <w:rFonts w:ascii="Arial" w:cs="Arial" w:eastAsia="Arial" w:hAnsi="Arial"/>
          <w:sz w:val="14"/>
          <w:szCs w:val="14"/>
          <w:color w:val="3E3935"/>
        </w:rPr>
        <w:t xml:space="preserve">   Named one of Canada’s Best Employers for 2022 by Forbes </w:t>
      </w:r>
      <w:r>
        <w:rPr>
          <w:rFonts w:ascii="Arial" w:cs="Arial" w:eastAsia="Arial" w:hAnsi="Arial"/>
          <w:sz w:val="1"/>
          <w:szCs w:val="1"/>
          <w:color w:val="0071CE"/>
          <w:vertAlign w:val="subscript"/>
        </w:rPr>
        <w:drawing>
          <wp:inline distT="0" distB="0" distL="0" distR="0">
            <wp:extent cx="76835" cy="77470"/>
            <wp:effectExtent l="0" t="0" r="0" b="0"/>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6835" cy="77470"/>
                    </a:xfrm>
                    <a:prstGeom prst="rect">
                      <a:avLst/>
                    </a:prstGeom>
                    <a:noFill/>
                    <a:ln>
                      <a:noFill/>
                    </a:ln>
                  </pic:spPr>
                </pic:pic>
              </a:graphicData>
            </a:graphic>
          </wp:inline>
        </w:drawing>
      </w:r>
    </w:p>
    <w:p>
      <w:pPr>
        <w:spacing w:after="0" w:line="52" w:lineRule="exact"/>
        <w:rPr>
          <w:rFonts w:ascii="Arial" w:cs="Arial" w:eastAsia="Arial" w:hAnsi="Arial"/>
          <w:sz w:val="38"/>
          <w:szCs w:val="38"/>
          <w:color w:val="0071CE"/>
          <w:vertAlign w:val="subscript"/>
        </w:rPr>
      </w:pPr>
    </w:p>
    <w:p>
      <w:pPr>
        <w:ind w:left="340"/>
        <w:spacing w:after="0"/>
        <w:rPr>
          <w:rFonts w:ascii="Arial" w:cs="Arial" w:eastAsia="Arial" w:hAnsi="Arial"/>
          <w:sz w:val="38"/>
          <w:szCs w:val="38"/>
          <w:color w:val="0071CE"/>
          <w:vertAlign w:val="subscript"/>
        </w:rPr>
      </w:pPr>
      <w:r>
        <w:rPr>
          <w:rFonts w:ascii="Arial" w:cs="Arial" w:eastAsia="Arial" w:hAnsi="Arial"/>
          <w:sz w:val="14"/>
          <w:szCs w:val="14"/>
          <w:b w:val="1"/>
          <w:bCs w:val="1"/>
          <w:color w:val="3E3935"/>
        </w:rPr>
        <w:t>Products, Software, and Services</w:t>
      </w:r>
    </w:p>
    <w:p>
      <w:pPr>
        <w:spacing w:after="0" w:line="35" w:lineRule="exact"/>
        <w:rPr>
          <w:rFonts w:ascii="Arial" w:cs="Arial" w:eastAsia="Arial" w:hAnsi="Arial"/>
          <w:sz w:val="38"/>
          <w:szCs w:val="38"/>
          <w:color w:val="0071CE"/>
          <w:vertAlign w:val="subscript"/>
        </w:rPr>
      </w:pPr>
    </w:p>
    <w:p>
      <w:pPr>
        <w:ind w:left="560" w:right="220" w:hanging="216"/>
        <w:spacing w:after="0" w:line="211" w:lineRule="auto"/>
        <w:rPr>
          <w:rFonts w:ascii="Arial" w:cs="Arial" w:eastAsia="Arial" w:hAnsi="Arial"/>
          <w:sz w:val="38"/>
          <w:szCs w:val="38"/>
          <w:color w:val="0071CE"/>
          <w:vertAlign w:val="subscript"/>
        </w:rPr>
      </w:pPr>
      <w:r>
        <w:rPr>
          <w:rFonts w:ascii="Arial" w:cs="Arial" w:eastAsia="Arial" w:hAnsi="Arial"/>
          <w:sz w:val="20"/>
          <w:szCs w:val="20"/>
          <w:color w:val="00C1DE"/>
        </w:rPr>
        <w:t>•</w:t>
      </w:r>
      <w:r>
        <w:rPr>
          <w:rFonts w:ascii="Arial" w:cs="Arial" w:eastAsia="Arial" w:hAnsi="Arial"/>
          <w:sz w:val="14"/>
          <w:szCs w:val="14"/>
          <w:color w:val="3E3935"/>
        </w:rPr>
        <w:t xml:space="preserve">   Led GM’s expansion of truck leadership as the Company again earned the No. 1 position in sales of</w:t>
      </w:r>
      <w:r>
        <w:rPr>
          <w:rFonts w:ascii="Arial" w:cs="Arial" w:eastAsia="Arial" w:hAnsi="Arial"/>
          <w:sz w:val="20"/>
          <w:szCs w:val="20"/>
          <w:color w:val="00C1DE"/>
        </w:rPr>
        <w:t xml:space="preserve"> </w:t>
      </w:r>
      <w:r>
        <w:rPr>
          <w:rFonts w:ascii="Arial" w:cs="Arial" w:eastAsia="Arial" w:hAnsi="Arial"/>
          <w:sz w:val="14"/>
          <w:szCs w:val="14"/>
          <w:color w:val="3E3935"/>
        </w:rPr>
        <w:t>pickups and full-size SUVs, with Chevrolet and GMC outselling the nearest competitor by 350,000 vehicles</w:t>
      </w:r>
    </w:p>
    <w:p>
      <w:pPr>
        <w:spacing w:after="0" w:line="1" w:lineRule="exact"/>
        <w:rPr>
          <w:rFonts w:ascii="Arial" w:cs="Arial" w:eastAsia="Arial" w:hAnsi="Arial"/>
          <w:sz w:val="38"/>
          <w:szCs w:val="38"/>
          <w:color w:val="0071CE"/>
          <w:vertAlign w:val="subscript"/>
        </w:rPr>
      </w:pPr>
    </w:p>
    <w:p>
      <w:pPr>
        <w:ind w:left="560" w:right="220" w:hanging="216"/>
        <w:spacing w:after="0" w:line="204" w:lineRule="auto"/>
        <w:rPr>
          <w:rFonts w:ascii="Arial" w:cs="Arial" w:eastAsia="Arial" w:hAnsi="Arial"/>
          <w:sz w:val="38"/>
          <w:szCs w:val="38"/>
          <w:color w:val="0071CE"/>
          <w:vertAlign w:val="subscript"/>
        </w:rPr>
      </w:pPr>
      <w:r>
        <w:rPr>
          <w:rFonts w:ascii="Arial" w:cs="Arial" w:eastAsia="Arial" w:hAnsi="Arial"/>
          <w:sz w:val="20"/>
          <w:szCs w:val="20"/>
          <w:color w:val="00C1DE"/>
        </w:rPr>
        <w:t>•</w:t>
      </w:r>
      <w:r>
        <w:rPr>
          <w:rFonts w:ascii="Arial" w:cs="Arial" w:eastAsia="Arial" w:hAnsi="Arial"/>
          <w:sz w:val="14"/>
          <w:szCs w:val="14"/>
          <w:color w:val="3E3935"/>
        </w:rPr>
        <w:t xml:space="preserve">   Announced GM Energy, a holistic ecosystem of energy management products and services including</w:t>
      </w:r>
      <w:r>
        <w:rPr>
          <w:rFonts w:ascii="Arial" w:cs="Arial" w:eastAsia="Arial" w:hAnsi="Arial"/>
          <w:sz w:val="20"/>
          <w:szCs w:val="20"/>
          <w:color w:val="00C1DE"/>
        </w:rPr>
        <w:t xml:space="preserve"> </w:t>
      </w:r>
      <w:r>
        <w:rPr>
          <w:rFonts w:ascii="Arial" w:cs="Arial" w:eastAsia="Arial" w:hAnsi="Arial"/>
          <w:sz w:val="14"/>
          <w:szCs w:val="14"/>
          <w:color w:val="3E3935"/>
        </w:rPr>
        <w:t xml:space="preserve">Ultium Home, Ultium Commercial, and Ultium Charge 360 </w:t>
      </w:r>
      <w:r>
        <w:rPr>
          <w:rFonts w:ascii="Arial" w:cs="Arial" w:eastAsia="Arial" w:hAnsi="Arial"/>
          <w:sz w:val="1"/>
          <w:szCs w:val="1"/>
          <w:color w:val="0071CE"/>
          <w:vertAlign w:val="subscript"/>
        </w:rPr>
        <w:drawing>
          <wp:inline distT="0" distB="0" distL="0" distR="0">
            <wp:extent cx="76835" cy="76835"/>
            <wp:effectExtent l="0" t="0" r="0" b="0"/>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6835" cy="76835"/>
                    </a:xfrm>
                    <a:prstGeom prst="rect">
                      <a:avLst/>
                    </a:prstGeom>
                    <a:noFill/>
                    <a:ln>
                      <a:noFill/>
                    </a:ln>
                  </pic:spPr>
                </pic:pic>
              </a:graphicData>
            </a:graphic>
          </wp:inline>
        </w:drawing>
      </w:r>
    </w:p>
    <w:p>
      <w:pPr>
        <w:spacing w:after="0" w:line="39" w:lineRule="exact"/>
        <w:rPr>
          <w:rFonts w:ascii="Arial" w:cs="Arial" w:eastAsia="Arial" w:hAnsi="Arial"/>
          <w:sz w:val="38"/>
          <w:szCs w:val="38"/>
          <w:color w:val="0071CE"/>
          <w:vertAlign w:val="subscript"/>
        </w:rPr>
      </w:pPr>
    </w:p>
    <w:p>
      <w:pPr>
        <w:ind w:left="340"/>
        <w:spacing w:after="0"/>
        <w:rPr>
          <w:rFonts w:ascii="Arial" w:cs="Arial" w:eastAsia="Arial" w:hAnsi="Arial"/>
          <w:sz w:val="38"/>
          <w:szCs w:val="38"/>
          <w:color w:val="0071CE"/>
          <w:vertAlign w:val="subscript"/>
        </w:rPr>
      </w:pPr>
      <w:r>
        <w:rPr>
          <w:rFonts w:ascii="Arial" w:cs="Arial" w:eastAsia="Arial" w:hAnsi="Arial"/>
          <w:sz w:val="14"/>
          <w:szCs w:val="14"/>
          <w:b w:val="1"/>
          <w:bCs w:val="1"/>
          <w:color w:val="3E3935"/>
        </w:rPr>
        <w:t>Citizenship</w:t>
      </w:r>
    </w:p>
    <w:p>
      <w:pPr>
        <w:spacing w:after="0" w:line="35" w:lineRule="exact"/>
        <w:rPr>
          <w:rFonts w:ascii="Arial" w:cs="Arial" w:eastAsia="Arial" w:hAnsi="Arial"/>
          <w:sz w:val="38"/>
          <w:szCs w:val="38"/>
          <w:color w:val="0071CE"/>
          <w:vertAlign w:val="subscript"/>
        </w:rPr>
      </w:pPr>
    </w:p>
    <w:p>
      <w:pPr>
        <w:ind w:left="560" w:right="220" w:hanging="216"/>
        <w:spacing w:after="0" w:line="236" w:lineRule="auto"/>
        <w:rPr>
          <w:rFonts w:ascii="Arial" w:cs="Arial" w:eastAsia="Arial" w:hAnsi="Arial"/>
          <w:sz w:val="38"/>
          <w:szCs w:val="38"/>
          <w:color w:val="0071CE"/>
          <w:vertAlign w:val="subscript"/>
        </w:rPr>
      </w:pPr>
      <w:r>
        <w:rPr>
          <w:rFonts w:ascii="Arial" w:cs="Arial" w:eastAsia="Arial" w:hAnsi="Arial"/>
          <w:sz w:val="20"/>
          <w:szCs w:val="20"/>
          <w:color w:val="00C1DE"/>
        </w:rPr>
        <w:t>•</w:t>
      </w:r>
      <w:r>
        <w:rPr>
          <w:rFonts w:ascii="Arial" w:cs="Arial" w:eastAsia="Arial" w:hAnsi="Arial"/>
          <w:sz w:val="14"/>
          <w:szCs w:val="14"/>
          <w:color w:val="3E3935"/>
        </w:rPr>
        <w:t xml:space="preserve">   Achieved goal of investing 10 percent of media spend in diverse-owned and targeted media, and on</w:t>
      </w:r>
      <w:r>
        <w:rPr>
          <w:rFonts w:ascii="Arial" w:cs="Arial" w:eastAsia="Arial" w:hAnsi="Arial"/>
          <w:sz w:val="20"/>
          <w:szCs w:val="20"/>
          <w:color w:val="00C1DE"/>
        </w:rPr>
        <w:t xml:space="preserve"> </w:t>
      </w:r>
      <w:r>
        <w:rPr>
          <w:rFonts w:ascii="Arial" w:cs="Arial" w:eastAsia="Arial" w:hAnsi="Arial"/>
          <w:sz w:val="14"/>
          <w:szCs w:val="14"/>
          <w:color w:val="3E3935"/>
        </w:rPr>
        <w:t xml:space="preserve">track to maintain this commitment in 2023 </w:t>
      </w:r>
      <w:r>
        <w:rPr>
          <w:rFonts w:ascii="Arial" w:cs="Arial" w:eastAsia="Arial" w:hAnsi="Arial"/>
          <w:sz w:val="1"/>
          <w:szCs w:val="1"/>
          <w:color w:val="0071CE"/>
          <w:vertAlign w:val="subscript"/>
        </w:rPr>
        <w:drawing>
          <wp:inline distT="0" distB="0" distL="0" distR="0">
            <wp:extent cx="77470" cy="77470"/>
            <wp:effectExtent l="0" t="0" r="0" b="0"/>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7470" cy="77470"/>
                    </a:xfrm>
                    <a:prstGeom prst="rect">
                      <a:avLst/>
                    </a:prstGeom>
                    <a:noFill/>
                    <a:ln>
                      <a:noFill/>
                    </a:ln>
                  </pic:spPr>
                </pic:pic>
              </a:graphicData>
            </a:graphic>
          </wp:inline>
        </w:drawing>
      </w:r>
    </w:p>
    <w:p>
      <w:pPr>
        <w:spacing w:after="0" w:line="1" w:lineRule="exact"/>
        <w:rPr>
          <w:rFonts w:ascii="Arial" w:cs="Arial" w:eastAsia="Arial" w:hAnsi="Arial"/>
          <w:sz w:val="38"/>
          <w:szCs w:val="38"/>
          <w:color w:val="0071CE"/>
          <w:vertAlign w:val="subscript"/>
        </w:rPr>
      </w:pPr>
    </w:p>
    <w:p>
      <w:pPr>
        <w:ind w:left="560" w:right="220" w:hanging="216"/>
        <w:spacing w:after="0" w:line="204" w:lineRule="auto"/>
        <w:rPr>
          <w:rFonts w:ascii="Arial" w:cs="Arial" w:eastAsia="Arial" w:hAnsi="Arial"/>
          <w:sz w:val="38"/>
          <w:szCs w:val="38"/>
          <w:color w:val="0071CE"/>
          <w:vertAlign w:val="subscript"/>
        </w:rPr>
      </w:pPr>
      <w:r>
        <w:rPr>
          <w:rFonts w:ascii="Arial" w:cs="Arial" w:eastAsia="Arial" w:hAnsi="Arial"/>
          <w:sz w:val="20"/>
          <w:szCs w:val="20"/>
          <w:color w:val="00C1DE"/>
        </w:rPr>
        <w:t>•</w:t>
      </w:r>
      <w:r>
        <w:rPr>
          <w:rFonts w:ascii="Arial" w:cs="Arial" w:eastAsia="Arial" w:hAnsi="Arial"/>
          <w:sz w:val="14"/>
          <w:szCs w:val="14"/>
          <w:color w:val="3E3935"/>
        </w:rPr>
        <w:t xml:space="preserve">   Celebrated 50 years of the GM Minority Dealer Development program, the industry’s first, longest-running, and most comprehensive minority dealer program </w:t>
      </w:r>
      <w:r>
        <w:rPr>
          <w:rFonts w:ascii="Arial" w:cs="Arial" w:eastAsia="Arial" w:hAnsi="Arial"/>
          <w:sz w:val="1"/>
          <w:szCs w:val="1"/>
          <w:color w:val="0071CE"/>
          <w:vertAlign w:val="subscript"/>
        </w:rPr>
        <w:drawing>
          <wp:inline distT="0" distB="0" distL="0" distR="0">
            <wp:extent cx="77470" cy="76835"/>
            <wp:effectExtent l="0" t="0" r="0" b="0"/>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7470" cy="76835"/>
                    </a:xfrm>
                    <a:prstGeom prst="rect">
                      <a:avLst/>
                    </a:prstGeom>
                    <a:noFill/>
                    <a:ln>
                      <a:noFill/>
                    </a:ln>
                  </pic:spPr>
                </pic:pic>
              </a:graphicData>
            </a:graphic>
          </wp:inline>
        </w:drawing>
      </w:r>
    </w:p>
    <w:p>
      <w:pPr>
        <w:ind w:left="560" w:right="220" w:hanging="216"/>
        <w:spacing w:after="0"/>
        <w:rPr>
          <w:rFonts w:ascii="Arial" w:cs="Arial" w:eastAsia="Arial" w:hAnsi="Arial"/>
          <w:sz w:val="38"/>
          <w:szCs w:val="38"/>
          <w:color w:val="0071CE"/>
          <w:vertAlign w:val="subscript"/>
        </w:rPr>
      </w:pPr>
      <w:r>
        <w:rPr>
          <w:rFonts w:ascii="Arial" w:cs="Arial" w:eastAsia="Arial" w:hAnsi="Arial"/>
          <w:sz w:val="20"/>
          <w:szCs w:val="20"/>
          <w:color w:val="00C1DE"/>
        </w:rPr>
        <w:t>•</w:t>
      </w:r>
      <w:r>
        <w:rPr>
          <w:rFonts w:ascii="Arial" w:cs="Arial" w:eastAsia="Arial" w:hAnsi="Arial"/>
          <w:sz w:val="14"/>
          <w:szCs w:val="14"/>
          <w:color w:val="3E3935"/>
        </w:rPr>
        <w:t xml:space="preserve">   Announced partnership with dealers to install up to 40,000 Level 2 charging stalls in communities</w:t>
      </w:r>
      <w:r>
        <w:rPr>
          <w:rFonts w:ascii="Arial" w:cs="Arial" w:eastAsia="Arial" w:hAnsi="Arial"/>
          <w:sz w:val="20"/>
          <w:szCs w:val="20"/>
          <w:color w:val="00C1DE"/>
        </w:rPr>
        <w:t xml:space="preserve"> </w:t>
      </w:r>
      <w:r>
        <w:rPr>
          <w:rFonts w:ascii="Arial" w:cs="Arial" w:eastAsia="Arial" w:hAnsi="Arial"/>
          <w:sz w:val="14"/>
          <w:szCs w:val="14"/>
          <w:color w:val="3E3935"/>
        </w:rPr>
        <w:t xml:space="preserve">across the U.S. and Canada </w:t>
      </w:r>
      <w:r>
        <w:rPr>
          <w:rFonts w:ascii="Arial" w:cs="Arial" w:eastAsia="Arial" w:hAnsi="Arial"/>
          <w:sz w:val="1"/>
          <w:szCs w:val="1"/>
          <w:color w:val="0071CE"/>
          <w:vertAlign w:val="subscript"/>
        </w:rPr>
        <w:drawing>
          <wp:inline distT="0" distB="0" distL="0" distR="0">
            <wp:extent cx="76835" cy="77470"/>
            <wp:effectExtent l="0" t="0" r="0" b="0"/>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6835" cy="77470"/>
                    </a:xfrm>
                    <a:prstGeom prst="rect">
                      <a:avLst/>
                    </a:prstGeom>
                    <a:noFill/>
                    <a:ln>
                      <a:noFill/>
                    </a:ln>
                  </pic:spPr>
                </pic:pic>
              </a:graphicData>
            </a:graphic>
          </wp:inline>
        </w:drawing>
      </w:r>
    </w:p>
    <w:p>
      <w:pPr>
        <w:spacing w:after="0" w:line="39" w:lineRule="exact"/>
        <w:rPr>
          <w:rFonts w:ascii="Arial" w:cs="Arial" w:eastAsia="Arial" w:hAnsi="Arial"/>
          <w:sz w:val="38"/>
          <w:szCs w:val="38"/>
          <w:color w:val="0071CE"/>
          <w:vertAlign w:val="subscript"/>
        </w:rPr>
      </w:pPr>
    </w:p>
    <w:p>
      <w:pPr>
        <w:ind w:left="340"/>
        <w:spacing w:after="0"/>
        <w:rPr>
          <w:rFonts w:ascii="Arial" w:cs="Arial" w:eastAsia="Arial" w:hAnsi="Arial"/>
          <w:sz w:val="38"/>
          <w:szCs w:val="38"/>
          <w:color w:val="0071CE"/>
          <w:vertAlign w:val="subscript"/>
        </w:rPr>
      </w:pPr>
      <w:r>
        <w:rPr>
          <w:rFonts w:ascii="Arial" w:cs="Arial" w:eastAsia="Arial" w:hAnsi="Arial"/>
          <w:sz w:val="14"/>
          <w:szCs w:val="14"/>
          <w:b w:val="1"/>
          <w:bCs w:val="1"/>
          <w:color w:val="3E3935"/>
        </w:rPr>
        <w:t>Enterprise</w:t>
      </w:r>
    </w:p>
    <w:p>
      <w:pPr>
        <w:spacing w:after="0" w:line="35" w:lineRule="exact"/>
        <w:rPr>
          <w:rFonts w:ascii="Arial" w:cs="Arial" w:eastAsia="Arial" w:hAnsi="Arial"/>
          <w:sz w:val="38"/>
          <w:szCs w:val="38"/>
          <w:color w:val="0071CE"/>
          <w:vertAlign w:val="subscript"/>
        </w:rPr>
      </w:pPr>
    </w:p>
    <w:p>
      <w:pPr>
        <w:ind w:left="560" w:right="220" w:hanging="216"/>
        <w:spacing w:after="0" w:line="238" w:lineRule="auto"/>
        <w:rPr>
          <w:rFonts w:ascii="Arial" w:cs="Arial" w:eastAsia="Arial" w:hAnsi="Arial"/>
          <w:sz w:val="38"/>
          <w:szCs w:val="38"/>
          <w:color w:val="0071CE"/>
          <w:vertAlign w:val="subscript"/>
        </w:rPr>
      </w:pPr>
      <w:r>
        <w:rPr>
          <w:rFonts w:ascii="Arial" w:cs="Arial" w:eastAsia="Arial" w:hAnsi="Arial"/>
          <w:sz w:val="20"/>
          <w:szCs w:val="20"/>
          <w:color w:val="00C1DE"/>
        </w:rPr>
        <w:t>•</w:t>
      </w:r>
      <w:r>
        <w:rPr>
          <w:rFonts w:ascii="Arial" w:cs="Arial" w:eastAsia="Arial" w:hAnsi="Arial"/>
          <w:sz w:val="14"/>
          <w:szCs w:val="14"/>
          <w:color w:val="3E3935"/>
        </w:rPr>
        <w:t xml:space="preserve">   Executed historic agreement with Hertz to expand EV offerings to rental customers, with agreement</w:t>
      </w:r>
      <w:r>
        <w:rPr>
          <w:rFonts w:ascii="Arial" w:cs="Arial" w:eastAsia="Arial" w:hAnsi="Arial"/>
          <w:sz w:val="20"/>
          <w:szCs w:val="20"/>
          <w:color w:val="00C1DE"/>
        </w:rPr>
        <w:t xml:space="preserve"> </w:t>
      </w:r>
      <w:r>
        <w:rPr>
          <w:rFonts w:ascii="Arial" w:cs="Arial" w:eastAsia="Arial" w:hAnsi="Arial"/>
          <w:sz w:val="14"/>
          <w:szCs w:val="14"/>
          <w:color w:val="3E3935"/>
        </w:rPr>
        <w:t xml:space="preserve">for Hertz to order up to 175,000 EVs over the next five years, driving a wave of electrification for fleet customers </w:t>
      </w:r>
      <w:r>
        <w:rPr>
          <w:rFonts w:ascii="Arial" w:cs="Arial" w:eastAsia="Arial" w:hAnsi="Arial"/>
          <w:sz w:val="1"/>
          <w:szCs w:val="1"/>
          <w:color w:val="0071CE"/>
          <w:vertAlign w:val="subscript"/>
        </w:rPr>
        <w:drawing>
          <wp:inline distT="0" distB="0" distL="0" distR="0">
            <wp:extent cx="77470" cy="77470"/>
            <wp:effectExtent l="0" t="0" r="0" b="0"/>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7470" cy="77470"/>
                    </a:xfrm>
                    <a:prstGeom prst="rect">
                      <a:avLst/>
                    </a:prstGeom>
                    <a:noFill/>
                    <a:ln>
                      <a:noFill/>
                    </a:ln>
                  </pic:spPr>
                </pic:pic>
              </a:graphicData>
            </a:graphic>
          </wp:inline>
        </w:drawing>
      </w:r>
    </w:p>
    <w:p>
      <w:pPr>
        <w:ind w:left="560" w:right="220" w:hanging="216"/>
        <w:spacing w:after="0"/>
        <w:rPr>
          <w:rFonts w:ascii="Arial" w:cs="Arial" w:eastAsia="Arial" w:hAnsi="Arial"/>
          <w:sz w:val="38"/>
          <w:szCs w:val="38"/>
          <w:color w:val="0071CE"/>
          <w:vertAlign w:val="subscript"/>
        </w:rPr>
      </w:pPr>
      <w:r>
        <w:rPr>
          <w:rFonts w:ascii="Arial" w:cs="Arial" w:eastAsia="Arial" w:hAnsi="Arial"/>
          <w:sz w:val="20"/>
          <w:szCs w:val="20"/>
          <w:color w:val="00C1DE"/>
        </w:rPr>
        <w:t>•</w:t>
      </w:r>
      <w:r>
        <w:rPr>
          <w:rFonts w:ascii="Arial" w:cs="Arial" w:eastAsia="Arial" w:hAnsi="Arial"/>
          <w:sz w:val="14"/>
          <w:szCs w:val="14"/>
          <w:color w:val="3E3935"/>
        </w:rPr>
        <w:t xml:space="preserve">   Captured business of more than 300 major commercial accounts over last several years, leading to</w:t>
      </w:r>
      <w:r>
        <w:rPr>
          <w:rFonts w:ascii="Arial" w:cs="Arial" w:eastAsia="Arial" w:hAnsi="Arial"/>
          <w:sz w:val="20"/>
          <w:szCs w:val="20"/>
          <w:color w:val="00C1DE"/>
        </w:rPr>
        <w:t xml:space="preserve"> </w:t>
      </w:r>
      <w:r>
        <w:rPr>
          <w:rFonts w:ascii="Arial" w:cs="Arial" w:eastAsia="Arial" w:hAnsi="Arial"/>
          <w:sz w:val="14"/>
          <w:szCs w:val="14"/>
          <w:color w:val="3E3935"/>
        </w:rPr>
        <w:t>GM’s best year for commercial deliveries since 2006</w:t>
      </w:r>
    </w:p>
    <w:p>
      <w:pPr>
        <w:ind w:left="560" w:right="220" w:hanging="216"/>
        <w:spacing w:after="0"/>
        <w:rPr>
          <w:rFonts w:ascii="Arial" w:cs="Arial" w:eastAsia="Arial" w:hAnsi="Arial"/>
          <w:sz w:val="38"/>
          <w:szCs w:val="38"/>
          <w:color w:val="0071CE"/>
          <w:vertAlign w:val="subscript"/>
        </w:rPr>
      </w:pPr>
      <w:r>
        <w:rPr>
          <w:rFonts w:ascii="Arial" w:cs="Arial" w:eastAsia="Arial" w:hAnsi="Arial"/>
          <w:sz w:val="20"/>
          <w:szCs w:val="20"/>
          <w:color w:val="00C1DE"/>
        </w:rPr>
        <w:t>•</w:t>
      </w:r>
      <w:r>
        <w:rPr>
          <w:rFonts w:ascii="Arial" w:cs="Arial" w:eastAsia="Arial" w:hAnsi="Arial"/>
          <w:sz w:val="14"/>
          <w:szCs w:val="14"/>
          <w:color w:val="3E3935"/>
        </w:rPr>
        <w:t xml:space="preserve">   Achieved best-ever annual revenue and eight consecutive quarters of record growth in Customer</w:t>
      </w:r>
      <w:r>
        <w:rPr>
          <w:rFonts w:ascii="Arial" w:cs="Arial" w:eastAsia="Arial" w:hAnsi="Arial"/>
          <w:sz w:val="20"/>
          <w:szCs w:val="20"/>
          <w:color w:val="00C1DE"/>
        </w:rPr>
        <w:t xml:space="preserve"> </w:t>
      </w:r>
      <w:r>
        <w:rPr>
          <w:rFonts w:ascii="Arial" w:cs="Arial" w:eastAsia="Arial" w:hAnsi="Arial"/>
          <w:sz w:val="14"/>
          <w:szCs w:val="14"/>
          <w:color w:val="3E3935"/>
        </w:rPr>
        <w:t>Care &amp; Aftersales, including $1 billion in gross revenue through Chevrolet, Buick, GMC, and Cadillac accessories business</w:t>
      </w:r>
    </w:p>
    <w:p>
      <w:pPr>
        <w:spacing w:after="0" w:line="40" w:lineRule="exact"/>
        <w:rPr>
          <w:rFonts w:ascii="Arial" w:cs="Arial" w:eastAsia="Arial" w:hAnsi="Arial"/>
          <w:sz w:val="38"/>
          <w:szCs w:val="38"/>
          <w:color w:val="0071CE"/>
          <w:vertAlign w:val="subscript"/>
        </w:rPr>
      </w:pPr>
    </w:p>
    <w:p>
      <w:pPr>
        <w:ind w:left="340"/>
        <w:spacing w:after="0"/>
        <w:rPr>
          <w:rFonts w:ascii="Arial" w:cs="Arial" w:eastAsia="Arial" w:hAnsi="Arial"/>
          <w:sz w:val="38"/>
          <w:szCs w:val="38"/>
          <w:color w:val="0071CE"/>
          <w:vertAlign w:val="subscript"/>
        </w:rPr>
      </w:pPr>
      <w:r>
        <w:rPr>
          <w:rFonts w:ascii="Arial" w:cs="Arial" w:eastAsia="Arial" w:hAnsi="Arial"/>
          <w:sz w:val="14"/>
          <w:szCs w:val="14"/>
          <w:b w:val="1"/>
          <w:bCs w:val="1"/>
          <w:color w:val="3E3935"/>
        </w:rPr>
        <w:t>Customer Experience</w:t>
      </w:r>
    </w:p>
    <w:p>
      <w:pPr>
        <w:spacing w:after="0" w:line="35" w:lineRule="exact"/>
        <w:rPr>
          <w:rFonts w:ascii="Arial" w:cs="Arial" w:eastAsia="Arial" w:hAnsi="Arial"/>
          <w:sz w:val="38"/>
          <w:szCs w:val="38"/>
          <w:color w:val="0071CE"/>
          <w:vertAlign w:val="subscript"/>
        </w:rPr>
      </w:pPr>
    </w:p>
    <w:p>
      <w:pPr>
        <w:ind w:left="340"/>
        <w:spacing w:after="0" w:line="237" w:lineRule="auto"/>
        <w:rPr>
          <w:rFonts w:ascii="Arial" w:cs="Arial" w:eastAsia="Arial" w:hAnsi="Arial"/>
          <w:sz w:val="38"/>
          <w:szCs w:val="38"/>
          <w:color w:val="0071CE"/>
          <w:vertAlign w:val="subscript"/>
        </w:rPr>
      </w:pPr>
      <w:r>
        <w:rPr>
          <w:rFonts w:ascii="Arial" w:cs="Arial" w:eastAsia="Arial" w:hAnsi="Arial"/>
          <w:sz w:val="20"/>
          <w:szCs w:val="20"/>
          <w:color w:val="00C1DE"/>
        </w:rPr>
        <w:t>•</w:t>
      </w:r>
      <w:r>
        <w:rPr>
          <w:rFonts w:ascii="Arial" w:cs="Arial" w:eastAsia="Arial" w:hAnsi="Arial"/>
          <w:sz w:val="14"/>
          <w:szCs w:val="14"/>
          <w:color w:val="3E3935"/>
        </w:rPr>
        <w:t xml:space="preserve">   Led Buick to achieve top ranking in sales satisfaction among mass market brands</w:t>
      </w:r>
    </w:p>
    <w:p>
      <w:pPr>
        <w:ind w:left="560" w:right="220" w:hanging="216"/>
        <w:spacing w:after="0" w:line="212" w:lineRule="auto"/>
        <w:rPr>
          <w:rFonts w:ascii="Arial" w:cs="Arial" w:eastAsia="Arial" w:hAnsi="Arial"/>
          <w:sz w:val="38"/>
          <w:szCs w:val="38"/>
          <w:color w:val="0071CE"/>
          <w:vertAlign w:val="subscript"/>
        </w:rPr>
      </w:pPr>
      <w:r>
        <w:rPr>
          <w:rFonts w:ascii="Arial" w:cs="Arial" w:eastAsia="Arial" w:hAnsi="Arial"/>
          <w:sz w:val="20"/>
          <w:szCs w:val="20"/>
          <w:color w:val="00C1DE"/>
        </w:rPr>
        <w:t>•</w:t>
      </w:r>
      <w:r>
        <w:rPr>
          <w:rFonts w:ascii="Arial" w:cs="Arial" w:eastAsia="Arial" w:hAnsi="Arial"/>
          <w:sz w:val="14"/>
          <w:szCs w:val="14"/>
          <w:color w:val="3E3935"/>
        </w:rPr>
        <w:t xml:space="preserve">   Launched new digital retail platform with U.S. dealer partners to reimagine every aspect of the sales,</w:t>
      </w:r>
      <w:r>
        <w:rPr>
          <w:rFonts w:ascii="Arial" w:cs="Arial" w:eastAsia="Arial" w:hAnsi="Arial"/>
          <w:sz w:val="20"/>
          <w:szCs w:val="20"/>
          <w:color w:val="00C1DE"/>
        </w:rPr>
        <w:t xml:space="preserve"> </w:t>
      </w:r>
      <w:r>
        <w:rPr>
          <w:rFonts w:ascii="Arial" w:cs="Arial" w:eastAsia="Arial" w:hAnsi="Arial"/>
          <w:sz w:val="14"/>
          <w:szCs w:val="14"/>
          <w:color w:val="3E3935"/>
        </w:rPr>
        <w:t>service, and parts network to enhance how customers shop and how GM manages inventory, while reducing inventory costs for GM and its dealers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-3920490</wp:posOffset>
            </wp:positionV>
            <wp:extent cx="4543425" cy="396875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4543425" cy="39687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both"/>
        <w:spacing w:after="0" w:line="261" w:lineRule="auto"/>
        <w:rPr>
          <w:sz w:val="20"/>
          <w:szCs w:val="20"/>
          <w:color w:val="auto"/>
        </w:rPr>
      </w:pPr>
      <w:r>
        <w:rPr>
          <w:rFonts w:ascii="Arial" w:cs="Arial" w:eastAsia="Arial" w:hAnsi="Arial"/>
          <w:sz w:val="14"/>
          <w:szCs w:val="14"/>
          <w:i w:val="1"/>
          <w:iCs w:val="1"/>
          <w:color w:val="3E3935"/>
        </w:rPr>
        <w:t>Awarded Value reflects the amount included in the Summary Compensation Table, excluding change in pension value and all other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-5197475</wp:posOffset>
            </wp:positionV>
            <wp:extent cx="1619885" cy="480060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1619885" cy="4800600"/>
                    </a:xfrm>
                    <a:prstGeom prst="rect">
                      <a:avLst/>
                    </a:prstGeom>
                    <a:noFill/>
                  </pic:spPr>
                </pic:pic>
              </a:graphicData>
            </a:graphic>
          </wp:anchor>
        </w:drawing>
      </w:r>
    </w:p>
    <w:p>
      <w:pPr>
        <w:spacing w:after="0" w:line="1223" w:lineRule="exact"/>
        <w:rPr>
          <w:sz w:val="20"/>
          <w:szCs w:val="20"/>
          <w:color w:val="auto"/>
        </w:rPr>
      </w:pPr>
    </w:p>
    <w:p>
      <w:pPr>
        <w:sectPr>
          <w:pgSz w:w="11900" w:h="16838" w:orient="portrait"/>
          <w:cols w:equalWidth="0" w:num="2">
            <w:col w:w="7280" w:space="320"/>
            <w:col w:w="3540"/>
          </w:cols>
          <w:pgMar w:left="320" w:top="482" w:right="439" w:bottom="1440" w:gutter="0" w:footer="0" w:header="0"/>
        </w:sectPr>
      </w:pPr>
    </w:p>
    <w:p>
      <w:pPr>
        <w:ind w:left="120" w:right="3880"/>
        <w:spacing w:after="0" w:line="286" w:lineRule="auto"/>
        <w:rPr>
          <w:sz w:val="20"/>
          <w:szCs w:val="20"/>
          <w:color w:val="auto"/>
        </w:rPr>
      </w:pPr>
      <w:r>
        <w:rPr>
          <w:rFonts w:ascii="Arial" w:cs="Arial" w:eastAsia="Arial" w:hAnsi="Arial"/>
          <w:sz w:val="16"/>
          <w:szCs w:val="16"/>
          <w:b w:val="1"/>
          <w:bCs w:val="1"/>
          <w:color w:val="0071CE"/>
        </w:rPr>
        <w:t xml:space="preserve">Long-Term Incentive </w:t>
      </w:r>
      <w:r>
        <w:rPr>
          <w:rFonts w:ascii="Arial" w:cs="Arial" w:eastAsia="Arial" w:hAnsi="Arial"/>
          <w:sz w:val="16"/>
          <w:szCs w:val="16"/>
          <w:color w:val="3E3935"/>
        </w:rPr>
        <w:t>– In February 2022, awarded an annual LTIP grant of $6.03 million,</w:t>
      </w:r>
      <w:r>
        <w:rPr>
          <w:rFonts w:ascii="Arial" w:cs="Arial" w:eastAsia="Arial" w:hAnsi="Arial"/>
          <w:sz w:val="16"/>
          <w:szCs w:val="16"/>
          <w:b w:val="1"/>
          <w:bCs w:val="1"/>
          <w:color w:val="0071CE"/>
        </w:rPr>
        <w:t xml:space="preserve"> </w:t>
      </w:r>
      <w:r>
        <w:rPr>
          <w:rFonts w:ascii="Arial" w:cs="Arial" w:eastAsia="Arial" w:hAnsi="Arial"/>
          <w:sz w:val="16"/>
          <w:szCs w:val="16"/>
          <w:color w:val="3E3935"/>
        </w:rPr>
        <w:t>consisting of 75 percent PSUs and 25 percent stock options.</w:t>
      </w:r>
    </w:p>
    <w:p>
      <w:pPr>
        <w:spacing w:after="0" w:line="48" w:lineRule="exact"/>
        <w:rPr>
          <w:sz w:val="20"/>
          <w:szCs w:val="20"/>
          <w:color w:val="auto"/>
        </w:rPr>
      </w:pPr>
    </w:p>
    <w:p>
      <w:pPr>
        <w:ind w:left="120"/>
        <w:spacing w:after="0"/>
        <w:rPr>
          <w:sz w:val="20"/>
          <w:szCs w:val="20"/>
          <w:color w:val="auto"/>
        </w:rPr>
      </w:pPr>
      <w:r>
        <w:rPr>
          <w:rFonts w:ascii="Arial" w:cs="Arial" w:eastAsia="Arial" w:hAnsi="Arial"/>
          <w:sz w:val="16"/>
          <w:szCs w:val="16"/>
          <w:color w:val="3E3935"/>
        </w:rPr>
        <w:t>Total awarded compensation for 2022, including salary, STIP, and LTIP, is displayed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89535</wp:posOffset>
            </wp:positionV>
            <wp:extent cx="4543425" cy="825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4543425" cy="8255"/>
                    </a:xfrm>
                    <a:prstGeom prst="rect">
                      <a:avLst/>
                    </a:prstGeom>
                    <a:noFill/>
                  </pic:spPr>
                </pic:pic>
              </a:graphicData>
            </a:graphic>
          </wp:anchor>
        </w:drawing>
      </w:r>
    </w:p>
    <w:p>
      <w:pPr>
        <w:spacing w:after="0" w:line="174" w:lineRule="exact"/>
        <w:rPr>
          <w:sz w:val="20"/>
          <w:szCs w:val="20"/>
          <w:color w:val="auto"/>
        </w:rPr>
      </w:pPr>
    </w:p>
    <w:tbl>
      <w:tblPr>
        <w:tblLayout w:type="fixed"/>
        <w:tblInd w:w="120" w:type="dxa"/>
        <w:tblCellMar>
          <w:top w:w="0" w:type="dxa"/>
          <w:left w:w="0" w:type="dxa"/>
          <w:bottom w:w="0" w:type="dxa"/>
          <w:right w:w="0" w:type="dxa"/>
        </w:tblCellMar>
      </w:tblPr>
      <w:tr>
        <w:trPr>
          <w:trHeight w:val="226"/>
        </w:trPr>
        <w:tc>
          <w:tcPr>
            <w:tcW w:w="1520" w:type="dxa"/>
            <w:vAlign w:val="bottom"/>
            <w:tcBorders>
              <w:bottom w:val="single" w:sz="8" w:color="00C1DE"/>
            </w:tcBorders>
          </w:tcPr>
          <w:p>
            <w:pPr>
              <w:ind w:left="80"/>
              <w:spacing w:after="0"/>
              <w:rPr>
                <w:sz w:val="20"/>
                <w:szCs w:val="20"/>
                <w:color w:val="auto"/>
              </w:rPr>
            </w:pPr>
            <w:r>
              <w:rPr>
                <w:rFonts w:ascii="Arial" w:cs="Arial" w:eastAsia="Arial" w:hAnsi="Arial"/>
                <w:sz w:val="16"/>
                <w:szCs w:val="16"/>
                <w:b w:val="1"/>
                <w:bCs w:val="1"/>
                <w:color w:val="00C1DE"/>
              </w:rPr>
              <w:t>Pay Element</w:t>
            </w:r>
          </w:p>
        </w:tc>
        <w:tc>
          <w:tcPr>
            <w:tcW w:w="3860" w:type="dxa"/>
            <w:vAlign w:val="bottom"/>
            <w:tcBorders>
              <w:bottom w:val="single" w:sz="8" w:color="00C1DE"/>
            </w:tcBorders>
          </w:tcPr>
          <w:p>
            <w:pPr>
              <w:ind w:left="420"/>
              <w:spacing w:after="0"/>
              <w:rPr>
                <w:sz w:val="20"/>
                <w:szCs w:val="20"/>
                <w:color w:val="auto"/>
              </w:rPr>
            </w:pPr>
            <w:r>
              <w:rPr>
                <w:rFonts w:ascii="Arial" w:cs="Arial" w:eastAsia="Arial" w:hAnsi="Arial"/>
                <w:sz w:val="16"/>
                <w:szCs w:val="16"/>
                <w:b w:val="1"/>
                <w:bCs w:val="1"/>
                <w:color w:val="00C1DE"/>
              </w:rPr>
              <w:t>Majority of Pay Is At-Risk</w:t>
            </w:r>
          </w:p>
        </w:tc>
        <w:tc>
          <w:tcPr>
            <w:tcW w:w="1780" w:type="dxa"/>
            <w:vAlign w:val="bottom"/>
            <w:tcBorders>
              <w:bottom w:val="single" w:sz="8" w:color="00C1DE"/>
            </w:tcBorders>
          </w:tcPr>
          <w:p>
            <w:pPr>
              <w:jc w:val="right"/>
              <w:spacing w:after="0"/>
              <w:rPr>
                <w:sz w:val="20"/>
                <w:szCs w:val="20"/>
                <w:color w:val="auto"/>
              </w:rPr>
            </w:pPr>
            <w:r>
              <w:rPr>
                <w:rFonts w:ascii="Arial" w:cs="Arial" w:eastAsia="Arial" w:hAnsi="Arial"/>
                <w:sz w:val="16"/>
                <w:szCs w:val="16"/>
                <w:b w:val="1"/>
                <w:bCs w:val="1"/>
                <w:color w:val="00C1DE"/>
              </w:rPr>
              <w:t>Awarded Value</w:t>
            </w:r>
          </w:p>
        </w:tc>
      </w:tr>
      <w:tr>
        <w:trPr>
          <w:trHeight w:val="265"/>
        </w:trPr>
        <w:tc>
          <w:tcPr>
            <w:tcW w:w="1520" w:type="dxa"/>
            <w:vAlign w:val="bottom"/>
          </w:tcPr>
          <w:p>
            <w:pPr>
              <w:ind w:left="80"/>
              <w:spacing w:after="0"/>
              <w:rPr>
                <w:sz w:val="20"/>
                <w:szCs w:val="20"/>
                <w:color w:val="auto"/>
              </w:rPr>
            </w:pPr>
            <w:r>
              <w:rPr>
                <w:rFonts w:ascii="Arial" w:cs="Arial" w:eastAsia="Arial" w:hAnsi="Arial"/>
                <w:sz w:val="16"/>
                <w:szCs w:val="16"/>
                <w:color w:val="3E3935"/>
              </w:rPr>
              <w:t>Base Salary</w:t>
            </w:r>
          </w:p>
        </w:tc>
        <w:tc>
          <w:tcPr>
            <w:tcW w:w="3860" w:type="dxa"/>
            <w:vAlign w:val="bottom"/>
          </w:tcPr>
          <w:p>
            <w:pPr>
              <w:ind w:left="420"/>
              <w:spacing w:after="0"/>
              <w:rPr>
                <w:sz w:val="20"/>
                <w:szCs w:val="20"/>
                <w:color w:val="auto"/>
              </w:rPr>
            </w:pPr>
            <w:r>
              <w:rPr>
                <w:rFonts w:ascii="Arial" w:cs="Arial" w:eastAsia="Arial" w:hAnsi="Arial"/>
                <w:sz w:val="16"/>
                <w:szCs w:val="16"/>
                <w:color w:val="3E3935"/>
              </w:rPr>
              <w:t>Only Fixed Pay Element</w:t>
            </w:r>
          </w:p>
        </w:tc>
        <w:tc>
          <w:tcPr>
            <w:tcW w:w="1780" w:type="dxa"/>
            <w:vAlign w:val="bottom"/>
          </w:tcPr>
          <w:p>
            <w:pPr>
              <w:jc w:val="right"/>
              <w:spacing w:after="0"/>
              <w:rPr>
                <w:sz w:val="20"/>
                <w:szCs w:val="20"/>
                <w:color w:val="auto"/>
              </w:rPr>
            </w:pPr>
            <w:r>
              <w:rPr>
                <w:rFonts w:ascii="Arial" w:cs="Arial" w:eastAsia="Arial" w:hAnsi="Arial"/>
                <w:sz w:val="16"/>
                <w:szCs w:val="16"/>
                <w:color w:val="3E3935"/>
              </w:rPr>
              <w:t>$875,000</w:t>
            </w:r>
          </w:p>
        </w:tc>
      </w:tr>
      <w:tr>
        <w:trPr>
          <w:trHeight w:val="42"/>
        </w:trPr>
        <w:tc>
          <w:tcPr>
            <w:tcW w:w="1520" w:type="dxa"/>
            <w:vAlign w:val="bottom"/>
            <w:tcBorders>
              <w:bottom w:val="single" w:sz="8" w:color="3E3935"/>
            </w:tcBorders>
          </w:tcPr>
          <w:p>
            <w:pPr>
              <w:spacing w:after="0"/>
              <w:rPr>
                <w:sz w:val="3"/>
                <w:szCs w:val="3"/>
                <w:color w:val="auto"/>
              </w:rPr>
            </w:pPr>
          </w:p>
        </w:tc>
        <w:tc>
          <w:tcPr>
            <w:tcW w:w="3860" w:type="dxa"/>
            <w:vAlign w:val="bottom"/>
            <w:tcBorders>
              <w:bottom w:val="single" w:sz="8" w:color="3E3935"/>
            </w:tcBorders>
          </w:tcPr>
          <w:p>
            <w:pPr>
              <w:spacing w:after="0"/>
              <w:rPr>
                <w:sz w:val="3"/>
                <w:szCs w:val="3"/>
                <w:color w:val="auto"/>
              </w:rPr>
            </w:pPr>
          </w:p>
        </w:tc>
        <w:tc>
          <w:tcPr>
            <w:tcW w:w="1780" w:type="dxa"/>
            <w:vAlign w:val="bottom"/>
            <w:tcBorders>
              <w:bottom w:val="single" w:sz="8" w:color="3E3935"/>
            </w:tcBorders>
          </w:tcPr>
          <w:p>
            <w:pPr>
              <w:spacing w:after="0"/>
              <w:rPr>
                <w:sz w:val="3"/>
                <w:szCs w:val="3"/>
                <w:color w:val="auto"/>
              </w:rPr>
            </w:pPr>
          </w:p>
        </w:tc>
      </w:tr>
      <w:tr>
        <w:trPr>
          <w:trHeight w:val="262"/>
        </w:trPr>
        <w:tc>
          <w:tcPr>
            <w:tcW w:w="1520" w:type="dxa"/>
            <w:vAlign w:val="bottom"/>
          </w:tcPr>
          <w:p>
            <w:pPr>
              <w:ind w:left="80"/>
              <w:spacing w:after="0"/>
              <w:rPr>
                <w:sz w:val="20"/>
                <w:szCs w:val="20"/>
                <w:color w:val="auto"/>
              </w:rPr>
            </w:pPr>
            <w:r>
              <w:rPr>
                <w:rFonts w:ascii="Arial" w:cs="Arial" w:eastAsia="Arial" w:hAnsi="Arial"/>
                <w:sz w:val="16"/>
                <w:szCs w:val="16"/>
                <w:color w:val="3E3935"/>
              </w:rPr>
              <w:t>STIP</w:t>
            </w:r>
          </w:p>
        </w:tc>
        <w:tc>
          <w:tcPr>
            <w:tcW w:w="3860" w:type="dxa"/>
            <w:vAlign w:val="bottom"/>
          </w:tcPr>
          <w:p>
            <w:pPr>
              <w:ind w:left="420"/>
              <w:spacing w:after="0"/>
              <w:rPr>
                <w:sz w:val="20"/>
                <w:szCs w:val="20"/>
                <w:color w:val="auto"/>
              </w:rPr>
            </w:pPr>
            <w:r>
              <w:rPr>
                <w:rFonts w:ascii="Arial" w:cs="Arial" w:eastAsia="Arial" w:hAnsi="Arial"/>
                <w:sz w:val="16"/>
                <w:szCs w:val="16"/>
                <w:color w:val="3E3935"/>
              </w:rPr>
              <w:t>Performance to Metrics</w:t>
            </w:r>
          </w:p>
        </w:tc>
        <w:tc>
          <w:tcPr>
            <w:tcW w:w="1780" w:type="dxa"/>
            <w:vAlign w:val="bottom"/>
          </w:tcPr>
          <w:p>
            <w:pPr>
              <w:jc w:val="right"/>
              <w:spacing w:after="0"/>
              <w:rPr>
                <w:sz w:val="20"/>
                <w:szCs w:val="20"/>
                <w:color w:val="auto"/>
              </w:rPr>
            </w:pPr>
            <w:r>
              <w:rPr>
                <w:rFonts w:ascii="Arial" w:cs="Arial" w:eastAsia="Arial" w:hAnsi="Arial"/>
                <w:sz w:val="16"/>
                <w:szCs w:val="16"/>
                <w:color w:val="3E3935"/>
              </w:rPr>
              <w:t>$1,629,800</w:t>
            </w:r>
          </w:p>
        </w:tc>
      </w:tr>
      <w:tr>
        <w:trPr>
          <w:trHeight w:val="42"/>
        </w:trPr>
        <w:tc>
          <w:tcPr>
            <w:tcW w:w="1520" w:type="dxa"/>
            <w:vAlign w:val="bottom"/>
            <w:tcBorders>
              <w:bottom w:val="single" w:sz="8" w:color="3E3935"/>
            </w:tcBorders>
          </w:tcPr>
          <w:p>
            <w:pPr>
              <w:spacing w:after="0"/>
              <w:rPr>
                <w:sz w:val="3"/>
                <w:szCs w:val="3"/>
                <w:color w:val="auto"/>
              </w:rPr>
            </w:pPr>
          </w:p>
        </w:tc>
        <w:tc>
          <w:tcPr>
            <w:tcW w:w="3860" w:type="dxa"/>
            <w:vAlign w:val="bottom"/>
            <w:tcBorders>
              <w:bottom w:val="single" w:sz="8" w:color="3E3935"/>
            </w:tcBorders>
          </w:tcPr>
          <w:p>
            <w:pPr>
              <w:spacing w:after="0"/>
              <w:rPr>
                <w:sz w:val="3"/>
                <w:szCs w:val="3"/>
                <w:color w:val="auto"/>
              </w:rPr>
            </w:pPr>
          </w:p>
        </w:tc>
        <w:tc>
          <w:tcPr>
            <w:tcW w:w="1780" w:type="dxa"/>
            <w:vAlign w:val="bottom"/>
            <w:tcBorders>
              <w:bottom w:val="single" w:sz="8" w:color="3E3935"/>
            </w:tcBorders>
          </w:tcPr>
          <w:p>
            <w:pPr>
              <w:spacing w:after="0"/>
              <w:rPr>
                <w:sz w:val="3"/>
                <w:szCs w:val="3"/>
                <w:color w:val="auto"/>
              </w:rPr>
            </w:pPr>
          </w:p>
        </w:tc>
      </w:tr>
      <w:tr>
        <w:trPr>
          <w:trHeight w:val="262"/>
        </w:trPr>
        <w:tc>
          <w:tcPr>
            <w:tcW w:w="1520" w:type="dxa"/>
            <w:vAlign w:val="bottom"/>
          </w:tcPr>
          <w:p>
            <w:pPr>
              <w:ind w:left="80"/>
              <w:spacing w:after="0"/>
              <w:rPr>
                <w:sz w:val="20"/>
                <w:szCs w:val="20"/>
                <w:color w:val="auto"/>
              </w:rPr>
            </w:pPr>
            <w:r>
              <w:rPr>
                <w:rFonts w:ascii="Arial" w:cs="Arial" w:eastAsia="Arial" w:hAnsi="Arial"/>
                <w:sz w:val="16"/>
                <w:szCs w:val="16"/>
                <w:color w:val="3E3935"/>
              </w:rPr>
              <w:t>PSUs</w:t>
            </w:r>
          </w:p>
        </w:tc>
        <w:tc>
          <w:tcPr>
            <w:tcW w:w="3860" w:type="dxa"/>
            <w:vAlign w:val="bottom"/>
          </w:tcPr>
          <w:p>
            <w:pPr>
              <w:ind w:left="420"/>
              <w:spacing w:after="0"/>
              <w:rPr>
                <w:sz w:val="20"/>
                <w:szCs w:val="20"/>
                <w:color w:val="auto"/>
              </w:rPr>
            </w:pPr>
            <w:r>
              <w:rPr>
                <w:rFonts w:ascii="Arial" w:cs="Arial" w:eastAsia="Arial" w:hAnsi="Arial"/>
                <w:sz w:val="16"/>
                <w:szCs w:val="16"/>
                <w:color w:val="3E3935"/>
              </w:rPr>
              <w:t>Performance to Metrics and Stock Price</w:t>
            </w:r>
          </w:p>
        </w:tc>
        <w:tc>
          <w:tcPr>
            <w:tcW w:w="1780" w:type="dxa"/>
            <w:vAlign w:val="bottom"/>
          </w:tcPr>
          <w:p>
            <w:pPr>
              <w:jc w:val="right"/>
              <w:spacing w:after="0"/>
              <w:rPr>
                <w:sz w:val="20"/>
                <w:szCs w:val="20"/>
                <w:color w:val="auto"/>
              </w:rPr>
            </w:pPr>
            <w:r>
              <w:rPr>
                <w:rFonts w:ascii="Arial" w:cs="Arial" w:eastAsia="Arial" w:hAnsi="Arial"/>
                <w:sz w:val="16"/>
                <w:szCs w:val="16"/>
                <w:color w:val="3E3935"/>
              </w:rPr>
              <w:t>$4,523,400</w:t>
            </w:r>
          </w:p>
        </w:tc>
      </w:tr>
      <w:tr>
        <w:trPr>
          <w:trHeight w:val="43"/>
        </w:trPr>
        <w:tc>
          <w:tcPr>
            <w:tcW w:w="1520" w:type="dxa"/>
            <w:vAlign w:val="bottom"/>
            <w:tcBorders>
              <w:bottom w:val="single" w:sz="8" w:color="3E3935"/>
            </w:tcBorders>
          </w:tcPr>
          <w:p>
            <w:pPr>
              <w:spacing w:after="0"/>
              <w:rPr>
                <w:sz w:val="3"/>
                <w:szCs w:val="3"/>
                <w:color w:val="auto"/>
              </w:rPr>
            </w:pPr>
          </w:p>
        </w:tc>
        <w:tc>
          <w:tcPr>
            <w:tcW w:w="3860" w:type="dxa"/>
            <w:vAlign w:val="bottom"/>
            <w:tcBorders>
              <w:bottom w:val="single" w:sz="8" w:color="3E3935"/>
            </w:tcBorders>
          </w:tcPr>
          <w:p>
            <w:pPr>
              <w:spacing w:after="0"/>
              <w:rPr>
                <w:sz w:val="3"/>
                <w:szCs w:val="3"/>
                <w:color w:val="auto"/>
              </w:rPr>
            </w:pPr>
          </w:p>
        </w:tc>
        <w:tc>
          <w:tcPr>
            <w:tcW w:w="1780" w:type="dxa"/>
            <w:vAlign w:val="bottom"/>
            <w:tcBorders>
              <w:bottom w:val="single" w:sz="8" w:color="3E3935"/>
            </w:tcBorders>
          </w:tcPr>
          <w:p>
            <w:pPr>
              <w:spacing w:after="0"/>
              <w:rPr>
                <w:sz w:val="3"/>
                <w:szCs w:val="3"/>
                <w:color w:val="auto"/>
              </w:rPr>
            </w:pPr>
          </w:p>
        </w:tc>
      </w:tr>
      <w:tr>
        <w:trPr>
          <w:trHeight w:val="261"/>
        </w:trPr>
        <w:tc>
          <w:tcPr>
            <w:tcW w:w="1520" w:type="dxa"/>
            <w:vAlign w:val="bottom"/>
          </w:tcPr>
          <w:p>
            <w:pPr>
              <w:ind w:left="80"/>
              <w:spacing w:after="0"/>
              <w:rPr>
                <w:sz w:val="20"/>
                <w:szCs w:val="20"/>
                <w:color w:val="auto"/>
              </w:rPr>
            </w:pPr>
            <w:r>
              <w:rPr>
                <w:rFonts w:ascii="Arial" w:cs="Arial" w:eastAsia="Arial" w:hAnsi="Arial"/>
                <w:sz w:val="16"/>
                <w:szCs w:val="16"/>
                <w:color w:val="3E3935"/>
              </w:rPr>
              <w:t>Stock Options</w:t>
            </w:r>
          </w:p>
        </w:tc>
        <w:tc>
          <w:tcPr>
            <w:tcW w:w="3860" w:type="dxa"/>
            <w:vAlign w:val="bottom"/>
          </w:tcPr>
          <w:p>
            <w:pPr>
              <w:ind w:left="420"/>
              <w:spacing w:after="0"/>
              <w:rPr>
                <w:sz w:val="20"/>
                <w:szCs w:val="20"/>
                <w:color w:val="auto"/>
              </w:rPr>
            </w:pPr>
            <w:r>
              <w:rPr>
                <w:rFonts w:ascii="Arial" w:cs="Arial" w:eastAsia="Arial" w:hAnsi="Arial"/>
                <w:sz w:val="16"/>
                <w:szCs w:val="16"/>
                <w:color w:val="3E3935"/>
              </w:rPr>
              <w:t>Performance to Stock Price</w:t>
            </w:r>
          </w:p>
        </w:tc>
        <w:tc>
          <w:tcPr>
            <w:tcW w:w="1780" w:type="dxa"/>
            <w:vAlign w:val="bottom"/>
          </w:tcPr>
          <w:p>
            <w:pPr>
              <w:jc w:val="right"/>
              <w:spacing w:after="0"/>
              <w:rPr>
                <w:sz w:val="20"/>
                <w:szCs w:val="20"/>
                <w:color w:val="auto"/>
              </w:rPr>
            </w:pPr>
            <w:r>
              <w:rPr>
                <w:rFonts w:ascii="Arial" w:cs="Arial" w:eastAsia="Arial" w:hAnsi="Arial"/>
                <w:sz w:val="16"/>
                <w:szCs w:val="16"/>
                <w:color w:val="3E3935"/>
              </w:rPr>
              <w:t>$1,507,806</w:t>
            </w:r>
          </w:p>
        </w:tc>
      </w:tr>
      <w:tr>
        <w:trPr>
          <w:trHeight w:val="43"/>
        </w:trPr>
        <w:tc>
          <w:tcPr>
            <w:tcW w:w="1520" w:type="dxa"/>
            <w:vAlign w:val="bottom"/>
            <w:tcBorders>
              <w:bottom w:val="single" w:sz="8" w:color="3E3935"/>
            </w:tcBorders>
          </w:tcPr>
          <w:p>
            <w:pPr>
              <w:spacing w:after="0"/>
              <w:rPr>
                <w:sz w:val="3"/>
                <w:szCs w:val="3"/>
                <w:color w:val="auto"/>
              </w:rPr>
            </w:pPr>
          </w:p>
        </w:tc>
        <w:tc>
          <w:tcPr>
            <w:tcW w:w="3860" w:type="dxa"/>
            <w:vAlign w:val="bottom"/>
            <w:tcBorders>
              <w:bottom w:val="single" w:sz="8" w:color="3E3935"/>
            </w:tcBorders>
          </w:tcPr>
          <w:p>
            <w:pPr>
              <w:spacing w:after="0"/>
              <w:rPr>
                <w:sz w:val="3"/>
                <w:szCs w:val="3"/>
                <w:color w:val="auto"/>
              </w:rPr>
            </w:pPr>
          </w:p>
        </w:tc>
        <w:tc>
          <w:tcPr>
            <w:tcW w:w="1780" w:type="dxa"/>
            <w:vAlign w:val="bottom"/>
            <w:tcBorders>
              <w:bottom w:val="single" w:sz="8" w:color="3E3935"/>
            </w:tcBorders>
          </w:tcPr>
          <w:p>
            <w:pPr>
              <w:spacing w:after="0"/>
              <w:rPr>
                <w:sz w:val="3"/>
                <w:szCs w:val="3"/>
                <w:color w:val="auto"/>
              </w:rPr>
            </w:pPr>
          </w:p>
        </w:tc>
      </w:tr>
      <w:tr>
        <w:trPr>
          <w:trHeight w:val="269"/>
        </w:trPr>
        <w:tc>
          <w:tcPr>
            <w:tcW w:w="1520" w:type="dxa"/>
            <w:vAlign w:val="bottom"/>
          </w:tcPr>
          <w:p>
            <w:pPr>
              <w:ind w:left="80"/>
              <w:spacing w:after="0"/>
              <w:rPr>
                <w:sz w:val="20"/>
                <w:szCs w:val="20"/>
                <w:color w:val="auto"/>
              </w:rPr>
            </w:pPr>
            <w:r>
              <w:rPr>
                <w:rFonts w:ascii="Arial" w:cs="Arial" w:eastAsia="Arial" w:hAnsi="Arial"/>
                <w:sz w:val="16"/>
                <w:szCs w:val="16"/>
                <w:b w:val="1"/>
                <w:bCs w:val="1"/>
                <w:color w:val="0071CE"/>
              </w:rPr>
              <w:t>TOTAL</w:t>
            </w:r>
          </w:p>
        </w:tc>
        <w:tc>
          <w:tcPr>
            <w:tcW w:w="3860" w:type="dxa"/>
            <w:vAlign w:val="bottom"/>
          </w:tcPr>
          <w:p>
            <w:pPr>
              <w:spacing w:after="0"/>
              <w:rPr>
                <w:sz w:val="23"/>
                <w:szCs w:val="23"/>
                <w:color w:val="auto"/>
              </w:rPr>
            </w:pPr>
          </w:p>
        </w:tc>
        <w:tc>
          <w:tcPr>
            <w:tcW w:w="1780" w:type="dxa"/>
            <w:vAlign w:val="bottom"/>
          </w:tcPr>
          <w:p>
            <w:pPr>
              <w:jc w:val="right"/>
              <w:spacing w:after="0"/>
              <w:rPr>
                <w:sz w:val="20"/>
                <w:szCs w:val="20"/>
                <w:color w:val="auto"/>
              </w:rPr>
            </w:pPr>
            <w:r>
              <w:rPr>
                <w:rFonts w:ascii="Arial" w:cs="Arial" w:eastAsia="Arial" w:hAnsi="Arial"/>
                <w:sz w:val="16"/>
                <w:szCs w:val="16"/>
                <w:b w:val="1"/>
                <w:bCs w:val="1"/>
                <w:color w:val="0071CE"/>
              </w:rPr>
              <w:t>$8,536,006</w:t>
            </w:r>
          </w:p>
        </w:tc>
      </w:tr>
      <w:tr>
        <w:trPr>
          <w:trHeight w:val="35"/>
        </w:trPr>
        <w:tc>
          <w:tcPr>
            <w:tcW w:w="1520" w:type="dxa"/>
            <w:vAlign w:val="bottom"/>
            <w:tcBorders>
              <w:bottom w:val="single" w:sz="8" w:color="0071CE"/>
            </w:tcBorders>
          </w:tcPr>
          <w:p>
            <w:pPr>
              <w:spacing w:after="0"/>
              <w:rPr>
                <w:sz w:val="3"/>
                <w:szCs w:val="3"/>
                <w:color w:val="auto"/>
              </w:rPr>
            </w:pPr>
          </w:p>
        </w:tc>
        <w:tc>
          <w:tcPr>
            <w:tcW w:w="3860" w:type="dxa"/>
            <w:vAlign w:val="bottom"/>
            <w:tcBorders>
              <w:bottom w:val="single" w:sz="8" w:color="0071CE"/>
            </w:tcBorders>
          </w:tcPr>
          <w:p>
            <w:pPr>
              <w:spacing w:after="0"/>
              <w:rPr>
                <w:sz w:val="3"/>
                <w:szCs w:val="3"/>
                <w:color w:val="auto"/>
              </w:rPr>
            </w:pPr>
          </w:p>
        </w:tc>
        <w:tc>
          <w:tcPr>
            <w:tcW w:w="1780" w:type="dxa"/>
            <w:vAlign w:val="bottom"/>
            <w:tcBorders>
              <w:bottom w:val="single" w:sz="8" w:color="0071CE"/>
            </w:tcBorders>
          </w:tcPr>
          <w:p>
            <w:pPr>
              <w:spacing w:after="0"/>
              <w:rPr>
                <w:sz w:val="3"/>
                <w:szCs w:val="3"/>
                <w:color w:val="auto"/>
              </w:rPr>
            </w:pPr>
          </w:p>
        </w:tc>
      </w:tr>
    </w:tbl>
    <w:p>
      <w:pPr>
        <w:spacing w:after="0" w:line="267" w:lineRule="exact"/>
        <w:rPr>
          <w:sz w:val="20"/>
          <w:szCs w:val="20"/>
          <w:color w:val="auto"/>
        </w:rPr>
      </w:pPr>
    </w:p>
    <w:p>
      <w:pPr>
        <w:jc w:val="right"/>
        <w:ind w:right="1360"/>
        <w:spacing w:after="0"/>
        <w:rPr>
          <w:sz w:val="20"/>
          <w:szCs w:val="20"/>
          <w:color w:val="auto"/>
        </w:rPr>
      </w:pPr>
      <w:r>
        <w:rPr>
          <w:sz w:val="1"/>
          <w:szCs w:val="1"/>
          <w:color w:val="auto"/>
        </w:rPr>
        <w:drawing>
          <wp:inline distT="0" distB="0" distL="0" distR="0">
            <wp:extent cx="77470" cy="76835"/>
            <wp:effectExtent l="0" t="0" r="0" b="0"/>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7470" cy="76835"/>
                    </a:xfrm>
                    <a:prstGeom prst="rect">
                      <a:avLst/>
                    </a:prstGeom>
                    <a:noFill/>
                    <a:ln>
                      <a:noFill/>
                    </a:ln>
                  </pic:spPr>
                </pic:pic>
              </a:graphicData>
            </a:graphic>
          </wp:inline>
        </w:drawing>
      </w:r>
      <w:r>
        <w:rPr>
          <w:rFonts w:ascii="Arial" w:cs="Arial" w:eastAsia="Arial" w:hAnsi="Arial"/>
          <w:sz w:val="18"/>
          <w:szCs w:val="18"/>
          <w:i w:val="1"/>
          <w:iCs w:val="1"/>
          <w:color w:val="3E3935"/>
        </w:rPr>
        <w:t xml:space="preserve"> Represents ESG Results</w:t>
      </w:r>
    </w:p>
    <w:p>
      <w:pPr>
        <w:sectPr>
          <w:pgSz w:w="11900" w:h="16838" w:orient="portrait"/>
          <w:cols w:equalWidth="0" w:num="1">
            <w:col w:w="11140"/>
          </w:cols>
          <w:pgMar w:left="320" w:top="482" w:right="439" w:bottom="1440" w:gutter="0" w:footer="0" w:header="0"/>
          <w:type w:val="continuous"/>
        </w:sectPr>
      </w:pPr>
    </w:p>
    <w:p>
      <w:pPr>
        <w:spacing w:after="0" w:line="287" w:lineRule="exact"/>
        <w:rPr>
          <w:sz w:val="20"/>
          <w:szCs w:val="20"/>
          <w:color w:val="auto"/>
        </w:rPr>
      </w:pPr>
    </w:p>
    <w:p>
      <w:pPr>
        <w:ind w:left="10660"/>
        <w:spacing w:after="0"/>
        <w:rPr>
          <w:sz w:val="20"/>
          <w:szCs w:val="20"/>
          <w:color w:val="auto"/>
        </w:rPr>
      </w:pPr>
      <w:r>
        <w:rPr>
          <w:rFonts w:ascii="Arial" w:cs="Arial" w:eastAsia="Arial" w:hAnsi="Arial"/>
          <w:sz w:val="14"/>
          <w:szCs w:val="14"/>
          <w:color w:val="0071CE"/>
        </w:rPr>
        <w:t>69</w:t>
      </w:r>
    </w:p>
    <w:p>
      <w:pPr>
        <w:sectPr>
          <w:pgSz w:w="11900" w:h="16838" w:orient="portrait"/>
          <w:cols w:equalWidth="0" w:num="1">
            <w:col w:w="11140"/>
          </w:cols>
          <w:pgMar w:left="320" w:top="482" w:right="439" w:bottom="1440" w:gutter="0" w:footer="0" w:header="0"/>
          <w:type w:val="continuous"/>
        </w:sectPr>
      </w:pPr>
    </w:p>
    <w:bookmarkStart w:id="75" w:name="page76"/>
    <w:bookmarkEnd w:id="7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29"/>
          <w:szCs w:val="29"/>
          <w:color w:val="3E3935"/>
        </w:rPr>
        <w:t>Compensation Policies and Governance Practices</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9"/>
          <w:szCs w:val="19"/>
          <w:color w:val="0071CE"/>
        </w:rPr>
        <w:t>u</w:t>
      </w:r>
      <w:r>
        <w:rPr>
          <w:rFonts w:ascii="Arial" w:cs="Arial" w:eastAsia="Arial" w:hAnsi="Arial"/>
          <w:sz w:val="25"/>
          <w:szCs w:val="25"/>
          <w:color w:val="3E3935"/>
        </w:rPr>
        <w:t>  Stock Ownership Requirements</w:t>
      </w:r>
    </w:p>
    <w:p>
      <w:pPr>
        <w:spacing w:after="0" w:line="158" w:lineRule="exact"/>
        <w:rPr>
          <w:sz w:val="20"/>
          <w:szCs w:val="20"/>
          <w:color w:val="auto"/>
        </w:rPr>
      </w:pPr>
    </w:p>
    <w:p>
      <w:pPr>
        <w:ind w:left="120" w:right="20"/>
        <w:spacing w:after="0" w:line="257" w:lineRule="auto"/>
        <w:rPr>
          <w:sz w:val="20"/>
          <w:szCs w:val="20"/>
          <w:color w:val="auto"/>
        </w:rPr>
      </w:pPr>
      <w:r>
        <w:rPr>
          <w:rFonts w:ascii="Arial" w:cs="Arial" w:eastAsia="Arial" w:hAnsi="Arial"/>
          <w:sz w:val="20"/>
          <w:szCs w:val="20"/>
          <w:color w:val="3E3935"/>
        </w:rPr>
        <w:t>The Company requires our senior leaders to own GM stock to align their interests with those of our shareholders. Our stock ownership requirements:</w:t>
      </w:r>
    </w:p>
    <w:p>
      <w:pPr>
        <w:spacing w:after="0" w:line="20" w:lineRule="exact"/>
        <w:rPr>
          <w:sz w:val="20"/>
          <w:szCs w:val="20"/>
          <w:color w:val="auto"/>
        </w:rPr>
      </w:pPr>
    </w:p>
    <w:p>
      <w:pPr>
        <w:ind w:left="340" w:hanging="224"/>
        <w:spacing w:after="0"/>
        <w:tabs>
          <w:tab w:leader="none" w:pos="340" w:val="left"/>
        </w:tabs>
        <w:numPr>
          <w:ilvl w:val="0"/>
          <w:numId w:val="111"/>
        </w:numPr>
        <w:rPr>
          <w:rFonts w:ascii="Arial" w:cs="Arial" w:eastAsia="Arial" w:hAnsi="Arial"/>
          <w:sz w:val="18"/>
          <w:szCs w:val="18"/>
          <w:color w:val="00C1DE"/>
        </w:rPr>
      </w:pPr>
      <w:r>
        <w:rPr>
          <w:rFonts w:ascii="Arial" w:cs="Arial" w:eastAsia="Arial" w:hAnsi="Arial"/>
          <w:sz w:val="20"/>
          <w:szCs w:val="20"/>
          <w:color w:val="3E3935"/>
        </w:rPr>
        <w:t>Cover all senior leaders</w:t>
      </w:r>
    </w:p>
    <w:p>
      <w:pPr>
        <w:spacing w:after="0" w:line="67" w:lineRule="exact"/>
        <w:rPr>
          <w:rFonts w:ascii="Arial" w:cs="Arial" w:eastAsia="Arial" w:hAnsi="Arial"/>
          <w:sz w:val="18"/>
          <w:szCs w:val="18"/>
          <w:color w:val="00C1DE"/>
        </w:rPr>
      </w:pPr>
    </w:p>
    <w:p>
      <w:pPr>
        <w:ind w:left="340" w:hanging="224"/>
        <w:spacing w:after="0"/>
        <w:tabs>
          <w:tab w:leader="none" w:pos="340" w:val="left"/>
        </w:tabs>
        <w:numPr>
          <w:ilvl w:val="0"/>
          <w:numId w:val="111"/>
        </w:numPr>
        <w:rPr>
          <w:rFonts w:ascii="Arial" w:cs="Arial" w:eastAsia="Arial" w:hAnsi="Arial"/>
          <w:sz w:val="18"/>
          <w:szCs w:val="18"/>
          <w:color w:val="00C1DE"/>
        </w:rPr>
      </w:pPr>
      <w:r>
        <w:rPr>
          <w:rFonts w:ascii="Arial" w:cs="Arial" w:eastAsia="Arial" w:hAnsi="Arial"/>
          <w:sz w:val="20"/>
          <w:szCs w:val="20"/>
          <w:color w:val="3E3935"/>
        </w:rPr>
        <w:t>Establish a multiple of each executive’s base salary</w:t>
      </w:r>
    </w:p>
    <w:p>
      <w:pPr>
        <w:spacing w:after="0" w:line="67" w:lineRule="exact"/>
        <w:rPr>
          <w:rFonts w:ascii="Arial" w:cs="Arial" w:eastAsia="Arial" w:hAnsi="Arial"/>
          <w:sz w:val="18"/>
          <w:szCs w:val="18"/>
          <w:color w:val="00C1DE"/>
        </w:rPr>
      </w:pPr>
    </w:p>
    <w:p>
      <w:pPr>
        <w:ind w:left="340" w:hanging="224"/>
        <w:spacing w:after="0"/>
        <w:tabs>
          <w:tab w:leader="none" w:pos="340" w:val="left"/>
        </w:tabs>
        <w:numPr>
          <w:ilvl w:val="0"/>
          <w:numId w:val="111"/>
        </w:numPr>
        <w:rPr>
          <w:rFonts w:ascii="Arial" w:cs="Arial" w:eastAsia="Arial" w:hAnsi="Arial"/>
          <w:sz w:val="18"/>
          <w:szCs w:val="18"/>
          <w:color w:val="00C1DE"/>
        </w:rPr>
      </w:pPr>
      <w:r>
        <w:rPr>
          <w:rFonts w:ascii="Arial" w:cs="Arial" w:eastAsia="Arial" w:hAnsi="Arial"/>
          <w:sz w:val="20"/>
          <w:szCs w:val="20"/>
          <w:color w:val="3E3935"/>
        </w:rPr>
        <w:t>Set a five-year time frame to meet ownership requirements</w:t>
      </w:r>
    </w:p>
    <w:p>
      <w:pPr>
        <w:spacing w:after="0" w:line="67" w:lineRule="exact"/>
        <w:rPr>
          <w:rFonts w:ascii="Arial" w:cs="Arial" w:eastAsia="Arial" w:hAnsi="Arial"/>
          <w:sz w:val="18"/>
          <w:szCs w:val="18"/>
          <w:color w:val="00C1DE"/>
        </w:rPr>
      </w:pPr>
    </w:p>
    <w:p>
      <w:pPr>
        <w:ind w:left="340" w:hanging="224"/>
        <w:spacing w:after="0"/>
        <w:tabs>
          <w:tab w:leader="none" w:pos="340" w:val="left"/>
        </w:tabs>
        <w:numPr>
          <w:ilvl w:val="0"/>
          <w:numId w:val="111"/>
        </w:numPr>
        <w:rPr>
          <w:rFonts w:ascii="Arial" w:cs="Arial" w:eastAsia="Arial" w:hAnsi="Arial"/>
          <w:sz w:val="18"/>
          <w:szCs w:val="18"/>
          <w:color w:val="00C1DE"/>
        </w:rPr>
      </w:pPr>
      <w:r>
        <w:rPr>
          <w:rFonts w:ascii="Arial" w:cs="Arial" w:eastAsia="Arial" w:hAnsi="Arial"/>
          <w:sz w:val="20"/>
          <w:szCs w:val="20"/>
          <w:color w:val="3E3935"/>
        </w:rPr>
        <w:t>Require senior leaders to continually hold shares to maintain ownership requirements</w:t>
      </w:r>
    </w:p>
    <w:p>
      <w:pPr>
        <w:spacing w:after="0" w:line="67" w:lineRule="exact"/>
        <w:rPr>
          <w:rFonts w:ascii="Arial" w:cs="Arial" w:eastAsia="Arial" w:hAnsi="Arial"/>
          <w:sz w:val="18"/>
          <w:szCs w:val="18"/>
          <w:color w:val="00C1DE"/>
        </w:rPr>
      </w:pPr>
    </w:p>
    <w:p>
      <w:pPr>
        <w:ind w:left="340" w:right="20" w:hanging="224"/>
        <w:spacing w:after="0" w:line="257" w:lineRule="auto"/>
        <w:tabs>
          <w:tab w:leader="none" w:pos="340" w:val="left"/>
        </w:tabs>
        <w:numPr>
          <w:ilvl w:val="0"/>
          <w:numId w:val="111"/>
        </w:numPr>
        <w:rPr>
          <w:rFonts w:ascii="Arial" w:cs="Arial" w:eastAsia="Arial" w:hAnsi="Arial"/>
          <w:sz w:val="18"/>
          <w:szCs w:val="18"/>
          <w:color w:val="00C1DE"/>
        </w:rPr>
      </w:pPr>
      <w:r>
        <w:rPr>
          <w:rFonts w:ascii="Arial" w:cs="Arial" w:eastAsia="Arial" w:hAnsi="Arial"/>
          <w:sz w:val="20"/>
          <w:szCs w:val="20"/>
          <w:color w:val="3E3935"/>
        </w:rPr>
        <w:t>Allow the opportunity to own either a required number of shares or the total dollar value of shares to meet ownership requirements</w:t>
      </w:r>
    </w:p>
    <w:p>
      <w:pPr>
        <w:spacing w:after="0" w:line="20" w:lineRule="exact"/>
        <w:rPr>
          <w:rFonts w:ascii="Arial" w:cs="Arial" w:eastAsia="Arial" w:hAnsi="Arial"/>
          <w:sz w:val="18"/>
          <w:szCs w:val="18"/>
          <w:color w:val="00C1DE"/>
        </w:rPr>
      </w:pPr>
    </w:p>
    <w:p>
      <w:pPr>
        <w:ind w:left="340" w:hanging="224"/>
        <w:spacing w:after="0"/>
        <w:tabs>
          <w:tab w:leader="none" w:pos="340" w:val="left"/>
        </w:tabs>
        <w:numPr>
          <w:ilvl w:val="0"/>
          <w:numId w:val="111"/>
        </w:numPr>
        <w:rPr>
          <w:rFonts w:ascii="Arial" w:cs="Arial" w:eastAsia="Arial" w:hAnsi="Arial"/>
          <w:sz w:val="18"/>
          <w:szCs w:val="18"/>
          <w:color w:val="00C1DE"/>
        </w:rPr>
      </w:pPr>
      <w:r>
        <w:rPr>
          <w:rFonts w:ascii="Arial" w:cs="Arial" w:eastAsia="Arial" w:hAnsi="Arial"/>
          <w:sz w:val="20"/>
          <w:szCs w:val="20"/>
          <w:color w:val="3E3935"/>
        </w:rPr>
        <w:t>Count only actual share holdings and unvested RSUs (i.e., excludes stock options and unvested PSUs)</w:t>
      </w:r>
    </w:p>
    <w:p>
      <w:pPr>
        <w:spacing w:after="0" w:line="67" w:lineRule="exact"/>
        <w:rPr>
          <w:rFonts w:ascii="Arial" w:cs="Arial" w:eastAsia="Arial" w:hAnsi="Arial"/>
          <w:sz w:val="18"/>
          <w:szCs w:val="18"/>
          <w:color w:val="00C1DE"/>
        </w:rPr>
      </w:pPr>
    </w:p>
    <w:p>
      <w:pPr>
        <w:ind w:left="340" w:hanging="224"/>
        <w:spacing w:after="0"/>
        <w:tabs>
          <w:tab w:leader="none" w:pos="340" w:val="left"/>
        </w:tabs>
        <w:numPr>
          <w:ilvl w:val="0"/>
          <w:numId w:val="111"/>
        </w:numPr>
        <w:rPr>
          <w:rFonts w:ascii="Arial" w:cs="Arial" w:eastAsia="Arial" w:hAnsi="Arial"/>
          <w:sz w:val="18"/>
          <w:szCs w:val="18"/>
          <w:color w:val="00C1DE"/>
        </w:rPr>
      </w:pPr>
      <w:r>
        <w:rPr>
          <w:rFonts w:ascii="Arial" w:cs="Arial" w:eastAsia="Arial" w:hAnsi="Arial"/>
          <w:sz w:val="20"/>
          <w:szCs w:val="20"/>
          <w:color w:val="3E3935"/>
        </w:rPr>
        <w:t>Ongoing refreshment of stock ownership requirements after each five-year requirement is met</w:t>
      </w:r>
    </w:p>
    <w:p>
      <w:pPr>
        <w:spacing w:after="0" w:line="202" w:lineRule="exact"/>
        <w:rPr>
          <w:sz w:val="20"/>
          <w:szCs w:val="20"/>
          <w:color w:val="auto"/>
        </w:rPr>
      </w:pPr>
    </w:p>
    <w:p>
      <w:pPr>
        <w:ind w:left="120" w:right="20"/>
        <w:spacing w:after="0" w:line="257" w:lineRule="auto"/>
        <w:rPr>
          <w:sz w:val="20"/>
          <w:szCs w:val="20"/>
          <w:color w:val="auto"/>
        </w:rPr>
      </w:pPr>
      <w:r>
        <w:rPr>
          <w:rFonts w:ascii="Arial" w:cs="Arial" w:eastAsia="Arial" w:hAnsi="Arial"/>
          <w:sz w:val="20"/>
          <w:szCs w:val="20"/>
          <w:color w:val="3E3935"/>
        </w:rPr>
        <w:t>The table below shows the stock ownership requirement by level in the Company. As of December 31, 2022, all NEOs have met or are on track to meet stock ownership requirements by their respective 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129540</wp:posOffset>
            </wp:positionV>
            <wp:extent cx="5186045" cy="99441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5186045" cy="9944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660" w:hanging="544"/>
        <w:spacing w:after="0"/>
        <w:tabs>
          <w:tab w:leader="none" w:pos="660" w:val="left"/>
        </w:tabs>
        <w:numPr>
          <w:ilvl w:val="0"/>
          <w:numId w:val="112"/>
        </w:numPr>
        <w:rPr>
          <w:rFonts w:ascii="Times New Roman" w:cs="Times New Roman" w:eastAsia="Times New Roman" w:hAnsi="Times New Roman"/>
          <w:sz w:val="19"/>
          <w:szCs w:val="19"/>
          <w:color w:val="0071CE"/>
        </w:rPr>
      </w:pPr>
      <w:r>
        <w:rPr>
          <w:rFonts w:ascii="Arial" w:cs="Arial" w:eastAsia="Arial" w:hAnsi="Arial"/>
          <w:sz w:val="25"/>
          <w:szCs w:val="25"/>
          <w:color w:val="3E3935"/>
        </w:rPr>
        <w:t>Compensation Risk Assessment</w:t>
      </w:r>
    </w:p>
    <w:p>
      <w:pPr>
        <w:spacing w:after="0" w:line="159" w:lineRule="exact"/>
        <w:rPr>
          <w:sz w:val="20"/>
          <w:szCs w:val="20"/>
          <w:color w:val="auto"/>
        </w:rPr>
      </w:pPr>
    </w:p>
    <w:p>
      <w:pPr>
        <w:jc w:val="both"/>
        <w:ind w:left="120" w:right="20"/>
        <w:spacing w:after="0" w:line="234" w:lineRule="auto"/>
        <w:rPr>
          <w:sz w:val="20"/>
          <w:szCs w:val="20"/>
          <w:color w:val="auto"/>
        </w:rPr>
      </w:pPr>
      <w:r>
        <w:rPr>
          <w:rFonts w:ascii="Arial" w:cs="Arial" w:eastAsia="Arial" w:hAnsi="Arial"/>
          <w:sz w:val="20"/>
          <w:szCs w:val="20"/>
          <w:color w:val="3E3935"/>
        </w:rPr>
        <w:t>Annually, the Compensation Committee reviews the potential impact of our compensation programs on organizational risk. The Compensation Committee discusses the compensation programs and risk mitigation features when evaluating whether the programs encourage or reward employees for engaging in excessive, imprudent, inappropriate, or unnecessary risk-taking. The committee also confirms the alignment of the compensation programs to the Company’s sustainability risks and opportunities.</w:t>
      </w:r>
    </w:p>
    <w:p>
      <w:pPr>
        <w:spacing w:after="0" w:line="94" w:lineRule="exact"/>
        <w:rPr>
          <w:sz w:val="20"/>
          <w:szCs w:val="20"/>
          <w:color w:val="auto"/>
        </w:rPr>
      </w:pPr>
    </w:p>
    <w:p>
      <w:pPr>
        <w:jc w:val="both"/>
        <w:ind w:left="120" w:right="20"/>
        <w:spacing w:after="0" w:line="241" w:lineRule="auto"/>
        <w:rPr>
          <w:sz w:val="20"/>
          <w:szCs w:val="20"/>
          <w:color w:val="auto"/>
        </w:rPr>
      </w:pPr>
      <w:r>
        <w:rPr>
          <w:rFonts w:ascii="Arial" w:cs="Arial" w:eastAsia="Arial" w:hAnsi="Arial"/>
          <w:sz w:val="20"/>
          <w:szCs w:val="20"/>
          <w:color w:val="3E3935"/>
        </w:rPr>
        <w:t>The annual risk review, completed on December 5, 2022, with assistance from our human resources, audit, and legal organizations, involved analyzing our current compensation programs in relation to risk. Our analysis concluded that our compensation programs include the following risk mitigation features:</w:t>
      </w:r>
    </w:p>
    <w:p>
      <w:pPr>
        <w:spacing w:after="0" w:line="102"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0071CE"/>
        </w:rPr>
        <w:t xml:space="preserve">Mix of Pay Elements </w:t>
      </w:r>
      <w:r>
        <w:rPr>
          <w:rFonts w:ascii="Arial" w:cs="Arial" w:eastAsia="Arial" w:hAnsi="Arial"/>
          <w:sz w:val="20"/>
          <w:szCs w:val="20"/>
          <w:color w:val="3E3935"/>
        </w:rPr>
        <w:t>– Base salary, STIP, PSUs, and stock options are included in the executive compensation program.</w:t>
      </w:r>
    </w:p>
    <w:p>
      <w:pPr>
        <w:spacing w:after="0" w:line="135" w:lineRule="exact"/>
        <w:rPr>
          <w:sz w:val="20"/>
          <w:szCs w:val="20"/>
          <w:color w:val="auto"/>
        </w:rPr>
      </w:pPr>
    </w:p>
    <w:p>
      <w:pPr>
        <w:jc w:val="both"/>
        <w:ind w:left="120" w:right="20"/>
        <w:spacing w:after="0" w:line="259" w:lineRule="auto"/>
        <w:rPr>
          <w:sz w:val="20"/>
          <w:szCs w:val="20"/>
          <w:color w:val="auto"/>
        </w:rPr>
      </w:pPr>
      <w:r>
        <w:rPr>
          <w:rFonts w:ascii="Arial" w:cs="Arial" w:eastAsia="Arial" w:hAnsi="Arial"/>
          <w:sz w:val="20"/>
          <w:szCs w:val="20"/>
          <w:b w:val="1"/>
          <w:bCs w:val="1"/>
          <w:color w:val="0071CE"/>
        </w:rPr>
        <w:t xml:space="preserve">Short-Term and Long-Term Plans </w:t>
      </w:r>
      <w:r>
        <w:rPr>
          <w:rFonts w:ascii="Arial" w:cs="Arial" w:eastAsia="Arial" w:hAnsi="Arial"/>
          <w:sz w:val="20"/>
          <w:szCs w:val="20"/>
          <w:color w:val="3E3935"/>
        </w:rPr>
        <w:t>– The mix of our short-term and long-term compensation plans appropriately reward</w:t>
      </w:r>
      <w:r>
        <w:rPr>
          <w:rFonts w:ascii="Arial" w:cs="Arial" w:eastAsia="Arial" w:hAnsi="Arial"/>
          <w:sz w:val="20"/>
          <w:szCs w:val="20"/>
          <w:b w:val="1"/>
          <w:bCs w:val="1"/>
          <w:color w:val="0071CE"/>
        </w:rPr>
        <w:t xml:space="preserve"> </w:t>
      </w:r>
      <w:r>
        <w:rPr>
          <w:rFonts w:ascii="Arial" w:cs="Arial" w:eastAsia="Arial" w:hAnsi="Arial"/>
          <w:sz w:val="20"/>
          <w:szCs w:val="20"/>
          <w:color w:val="3E3935"/>
        </w:rPr>
        <w:t>employees while balancing risk through the delayed payment of long-term awards.</w:t>
      </w:r>
    </w:p>
    <w:p>
      <w:pPr>
        <w:spacing w:after="0" w:line="71" w:lineRule="exact"/>
        <w:rPr>
          <w:sz w:val="20"/>
          <w:szCs w:val="20"/>
          <w:color w:val="auto"/>
        </w:rPr>
      </w:pPr>
    </w:p>
    <w:p>
      <w:pPr>
        <w:jc w:val="both"/>
        <w:ind w:left="120" w:right="20"/>
        <w:spacing w:after="0" w:line="259" w:lineRule="auto"/>
        <w:rPr>
          <w:sz w:val="20"/>
          <w:szCs w:val="20"/>
          <w:color w:val="auto"/>
        </w:rPr>
      </w:pPr>
      <w:r>
        <w:rPr>
          <w:rFonts w:ascii="Arial" w:cs="Arial" w:eastAsia="Arial" w:hAnsi="Arial"/>
          <w:sz w:val="20"/>
          <w:szCs w:val="20"/>
          <w:b w:val="1"/>
          <w:bCs w:val="1"/>
          <w:color w:val="0071CE"/>
        </w:rPr>
        <w:t xml:space="preserve">Adjustments to Compensation </w:t>
      </w:r>
      <w:r>
        <w:rPr>
          <w:rFonts w:ascii="Arial" w:cs="Arial" w:eastAsia="Arial" w:hAnsi="Arial"/>
          <w:sz w:val="20"/>
          <w:szCs w:val="20"/>
          <w:color w:val="3E3935"/>
        </w:rPr>
        <w:t>– Maximum payout caps are in place for incentive compensation, and the Compensation</w:t>
      </w:r>
      <w:r>
        <w:rPr>
          <w:rFonts w:ascii="Arial" w:cs="Arial" w:eastAsia="Arial" w:hAnsi="Arial"/>
          <w:sz w:val="20"/>
          <w:szCs w:val="20"/>
          <w:b w:val="1"/>
          <w:bCs w:val="1"/>
          <w:color w:val="0071CE"/>
        </w:rPr>
        <w:t xml:space="preserve"> </w:t>
      </w:r>
      <w:r>
        <w:rPr>
          <w:rFonts w:ascii="Arial" w:cs="Arial" w:eastAsia="Arial" w:hAnsi="Arial"/>
          <w:sz w:val="20"/>
          <w:szCs w:val="20"/>
          <w:color w:val="3E3935"/>
        </w:rPr>
        <w:t>Committee has the ability to apply negative discretion.</w:t>
      </w:r>
    </w:p>
    <w:p>
      <w:pPr>
        <w:spacing w:after="0" w:line="84" w:lineRule="exact"/>
        <w:rPr>
          <w:sz w:val="20"/>
          <w:szCs w:val="20"/>
          <w:color w:val="auto"/>
        </w:rPr>
      </w:pPr>
    </w:p>
    <w:p>
      <w:pPr>
        <w:jc w:val="both"/>
        <w:ind w:left="120" w:right="20"/>
        <w:spacing w:after="0" w:line="259" w:lineRule="auto"/>
        <w:rPr>
          <w:sz w:val="20"/>
          <w:szCs w:val="20"/>
          <w:color w:val="auto"/>
        </w:rPr>
      </w:pPr>
      <w:r>
        <w:rPr>
          <w:rFonts w:ascii="Arial" w:cs="Arial" w:eastAsia="Arial" w:hAnsi="Arial"/>
          <w:sz w:val="20"/>
          <w:szCs w:val="20"/>
          <w:b w:val="1"/>
          <w:bCs w:val="1"/>
          <w:color w:val="0071CE"/>
        </w:rPr>
        <w:t xml:space="preserve">Compensation Committee Oversight </w:t>
      </w:r>
      <w:r>
        <w:rPr>
          <w:rFonts w:ascii="Arial" w:cs="Arial" w:eastAsia="Arial" w:hAnsi="Arial"/>
          <w:sz w:val="20"/>
          <w:szCs w:val="20"/>
          <w:color w:val="3E3935"/>
        </w:rPr>
        <w:t>– Our Compensation Committee reviews plan performance and approves all</w:t>
      </w:r>
      <w:r>
        <w:rPr>
          <w:rFonts w:ascii="Arial" w:cs="Arial" w:eastAsia="Arial" w:hAnsi="Arial"/>
          <w:sz w:val="20"/>
          <w:szCs w:val="20"/>
          <w:b w:val="1"/>
          <w:bCs w:val="1"/>
          <w:color w:val="0071CE"/>
        </w:rPr>
        <w:t xml:space="preserve"> </w:t>
      </w:r>
      <w:r>
        <w:rPr>
          <w:rFonts w:ascii="Arial" w:cs="Arial" w:eastAsia="Arial" w:hAnsi="Arial"/>
          <w:sz w:val="20"/>
          <w:szCs w:val="20"/>
          <w:color w:val="3E3935"/>
        </w:rPr>
        <w:t>executive compensation plans and payouts.</w:t>
      </w:r>
    </w:p>
    <w:p>
      <w:pPr>
        <w:spacing w:after="0" w:line="84" w:lineRule="exact"/>
        <w:rPr>
          <w:sz w:val="20"/>
          <w:szCs w:val="20"/>
          <w:color w:val="auto"/>
        </w:rPr>
      </w:pPr>
    </w:p>
    <w:p>
      <w:pPr>
        <w:jc w:val="both"/>
        <w:ind w:left="120" w:right="20"/>
        <w:spacing w:after="0" w:line="259" w:lineRule="auto"/>
        <w:rPr>
          <w:sz w:val="20"/>
          <w:szCs w:val="20"/>
          <w:color w:val="auto"/>
        </w:rPr>
      </w:pPr>
      <w:r>
        <w:rPr>
          <w:rFonts w:ascii="Arial" w:cs="Arial" w:eastAsia="Arial" w:hAnsi="Arial"/>
          <w:sz w:val="20"/>
          <w:szCs w:val="20"/>
          <w:b w:val="1"/>
          <w:bCs w:val="1"/>
          <w:color w:val="0071CE"/>
        </w:rPr>
        <w:t xml:space="preserve">Multiple Performance Measures </w:t>
      </w:r>
      <w:r>
        <w:rPr>
          <w:rFonts w:ascii="Arial" w:cs="Arial" w:eastAsia="Arial" w:hAnsi="Arial"/>
          <w:sz w:val="20"/>
          <w:szCs w:val="20"/>
          <w:color w:val="3E3935"/>
        </w:rPr>
        <w:t>– Multiple performance measures work together to balance risk in our incentive</w:t>
      </w:r>
      <w:r>
        <w:rPr>
          <w:rFonts w:ascii="Arial" w:cs="Arial" w:eastAsia="Arial" w:hAnsi="Arial"/>
          <w:sz w:val="20"/>
          <w:szCs w:val="20"/>
          <w:b w:val="1"/>
          <w:bCs w:val="1"/>
          <w:color w:val="0071CE"/>
        </w:rPr>
        <w:t xml:space="preserve"> </w:t>
      </w:r>
      <w:r>
        <w:rPr>
          <w:rFonts w:ascii="Arial" w:cs="Arial" w:eastAsia="Arial" w:hAnsi="Arial"/>
          <w:sz w:val="20"/>
          <w:szCs w:val="20"/>
          <w:color w:val="3E3935"/>
        </w:rPr>
        <w:t>compensation plans.</w:t>
      </w:r>
    </w:p>
    <w:p>
      <w:pPr>
        <w:spacing w:after="0" w:line="71" w:lineRule="exact"/>
        <w:rPr>
          <w:sz w:val="20"/>
          <w:szCs w:val="20"/>
          <w:color w:val="auto"/>
        </w:rPr>
      </w:pPr>
    </w:p>
    <w:p>
      <w:pPr>
        <w:jc w:val="both"/>
        <w:ind w:left="120"/>
        <w:spacing w:after="0" w:line="259" w:lineRule="auto"/>
        <w:rPr>
          <w:sz w:val="20"/>
          <w:szCs w:val="20"/>
          <w:color w:val="auto"/>
        </w:rPr>
      </w:pPr>
      <w:r>
        <w:rPr>
          <w:rFonts w:ascii="Arial" w:cs="Arial" w:eastAsia="Arial" w:hAnsi="Arial"/>
          <w:sz w:val="20"/>
          <w:szCs w:val="20"/>
          <w:b w:val="1"/>
          <w:bCs w:val="1"/>
          <w:color w:val="0071CE"/>
        </w:rPr>
        <w:t xml:space="preserve">Stock Ownership Requirements </w:t>
      </w:r>
      <w:r>
        <w:rPr>
          <w:rFonts w:ascii="Arial" w:cs="Arial" w:eastAsia="Arial" w:hAnsi="Arial"/>
          <w:sz w:val="20"/>
          <w:szCs w:val="20"/>
          <w:color w:val="3E3935"/>
        </w:rPr>
        <w:t>– All senior leaders are subject to stock ownership requirements of at least one times their</w:t>
      </w:r>
      <w:r>
        <w:rPr>
          <w:rFonts w:ascii="Arial" w:cs="Arial" w:eastAsia="Arial" w:hAnsi="Arial"/>
          <w:sz w:val="20"/>
          <w:szCs w:val="20"/>
          <w:b w:val="1"/>
          <w:bCs w:val="1"/>
          <w:color w:val="0071CE"/>
        </w:rPr>
        <w:t xml:space="preserve"> </w:t>
      </w:r>
      <w:r>
        <w:rPr>
          <w:rFonts w:ascii="Arial" w:cs="Arial" w:eastAsia="Arial" w:hAnsi="Arial"/>
          <w:sz w:val="20"/>
          <w:szCs w:val="20"/>
          <w:color w:val="3E3935"/>
        </w:rPr>
        <w:t>salary, as described above.</w:t>
      </w:r>
    </w:p>
    <w:p>
      <w:pPr>
        <w:spacing w:after="0" w:line="99" w:lineRule="exact"/>
        <w:rPr>
          <w:sz w:val="20"/>
          <w:szCs w:val="20"/>
          <w:color w:val="auto"/>
        </w:rPr>
      </w:pPr>
    </w:p>
    <w:p>
      <w:pPr>
        <w:ind w:left="120"/>
        <w:spacing w:after="0"/>
        <w:rPr>
          <w:sz w:val="20"/>
          <w:szCs w:val="20"/>
          <w:color w:val="auto"/>
        </w:rPr>
      </w:pPr>
      <w:r>
        <w:rPr>
          <w:rFonts w:ascii="Arial" w:cs="Arial" w:eastAsia="Arial" w:hAnsi="Arial"/>
          <w:sz w:val="14"/>
          <w:szCs w:val="14"/>
          <w:color w:val="0071CE"/>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wp:posOffset>
            </wp:positionH>
            <wp:positionV relativeFrom="paragraph">
              <wp:posOffset>-95885</wp:posOffset>
            </wp:positionV>
            <wp:extent cx="5983605" cy="10287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5983605" cy="102870"/>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4" w:lineRule="exact"/>
        <w:rPr>
          <w:sz w:val="20"/>
          <w:szCs w:val="20"/>
          <w:color w:val="auto"/>
        </w:rPr>
      </w:pPr>
    </w:p>
    <w:p>
      <w:pPr>
        <w:jc w:val="both"/>
        <w:ind w:left="120" w:right="20"/>
        <w:spacing w:after="0" w:line="259" w:lineRule="auto"/>
        <w:rPr>
          <w:sz w:val="20"/>
          <w:szCs w:val="20"/>
          <w:color w:val="auto"/>
        </w:rPr>
      </w:pPr>
      <w:r>
        <w:rPr>
          <w:rFonts w:ascii="Arial" w:cs="Arial" w:eastAsia="Arial" w:hAnsi="Arial"/>
          <w:sz w:val="20"/>
          <w:szCs w:val="20"/>
          <w:b w:val="1"/>
          <w:bCs w:val="1"/>
          <w:color w:val="0071CE"/>
        </w:rPr>
        <w:t xml:space="preserve">Clawback and Cancellation Provisions </w:t>
      </w:r>
      <w:r>
        <w:rPr>
          <w:rFonts w:ascii="Arial" w:cs="Arial" w:eastAsia="Arial" w:hAnsi="Arial"/>
          <w:sz w:val="20"/>
          <w:szCs w:val="20"/>
          <w:color w:val="3E3935"/>
        </w:rPr>
        <w:t>– All awards are subject to our Policy on Recoupment of Incentive Compensation,</w:t>
      </w:r>
      <w:r>
        <w:rPr>
          <w:rFonts w:ascii="Arial" w:cs="Arial" w:eastAsia="Arial" w:hAnsi="Arial"/>
          <w:sz w:val="20"/>
          <w:szCs w:val="20"/>
          <w:b w:val="1"/>
          <w:bCs w:val="1"/>
          <w:color w:val="0071CE"/>
        </w:rPr>
        <w:t xml:space="preserve"> </w:t>
      </w:r>
      <w:r>
        <w:rPr>
          <w:rFonts w:ascii="Arial" w:cs="Arial" w:eastAsia="Arial" w:hAnsi="Arial"/>
          <w:sz w:val="20"/>
          <w:szCs w:val="20"/>
          <w:color w:val="3E3935"/>
        </w:rPr>
        <w:t>as described below. In addition, cancellation provisions apply to all outstanding STIP and LTIP awards.</w:t>
      </w:r>
    </w:p>
    <w:p>
      <w:pPr>
        <w:spacing w:after="0" w:line="86" w:lineRule="exact"/>
        <w:rPr>
          <w:sz w:val="20"/>
          <w:szCs w:val="20"/>
          <w:color w:val="auto"/>
        </w:rPr>
      </w:pPr>
    </w:p>
    <w:p>
      <w:pPr>
        <w:jc w:val="both"/>
        <w:ind w:left="120" w:right="20"/>
        <w:spacing w:after="0" w:line="241" w:lineRule="auto"/>
        <w:rPr>
          <w:sz w:val="20"/>
          <w:szCs w:val="20"/>
          <w:color w:val="auto"/>
        </w:rPr>
      </w:pPr>
      <w:r>
        <w:rPr>
          <w:rFonts w:ascii="Arial" w:cs="Arial" w:eastAsia="Arial" w:hAnsi="Arial"/>
          <w:sz w:val="20"/>
          <w:szCs w:val="20"/>
          <w:color w:val="3E3935"/>
        </w:rPr>
        <w:t>In 2022, the Compensation Committee determined that our compensation programs have sufficient risk mitigation features and do not encourage or reward employees for engaging in excessive, imprudent, inappropriate, or unnecessary risk-taking. Based on the Compensation Committee’s review, it was determined our compensation programs are low risk.</w:t>
      </w:r>
    </w:p>
    <w:p>
      <w:pPr>
        <w:spacing w:after="0" w:line="292" w:lineRule="exact"/>
        <w:rPr>
          <w:sz w:val="20"/>
          <w:szCs w:val="20"/>
          <w:color w:val="auto"/>
        </w:rPr>
      </w:pPr>
    </w:p>
    <w:p>
      <w:pPr>
        <w:ind w:left="660" w:hanging="544"/>
        <w:spacing w:after="0"/>
        <w:tabs>
          <w:tab w:leader="none" w:pos="660" w:val="left"/>
        </w:tabs>
        <w:numPr>
          <w:ilvl w:val="0"/>
          <w:numId w:val="113"/>
        </w:numPr>
        <w:rPr>
          <w:rFonts w:ascii="Times New Roman" w:cs="Times New Roman" w:eastAsia="Times New Roman" w:hAnsi="Times New Roman"/>
          <w:sz w:val="19"/>
          <w:szCs w:val="19"/>
          <w:color w:val="0071CE"/>
        </w:rPr>
      </w:pPr>
      <w:r>
        <w:rPr>
          <w:rFonts w:ascii="Arial" w:cs="Arial" w:eastAsia="Arial" w:hAnsi="Arial"/>
          <w:sz w:val="25"/>
          <w:szCs w:val="25"/>
          <w:color w:val="3E3935"/>
        </w:rPr>
        <w:t>Policy on Recoupment of Incentive Compensation</w:t>
      </w:r>
    </w:p>
    <w:p>
      <w:pPr>
        <w:spacing w:after="0" w:line="159" w:lineRule="exact"/>
        <w:rPr>
          <w:sz w:val="20"/>
          <w:szCs w:val="20"/>
          <w:color w:val="auto"/>
        </w:rPr>
      </w:pPr>
    </w:p>
    <w:p>
      <w:pPr>
        <w:jc w:val="both"/>
        <w:ind w:left="120"/>
        <w:spacing w:after="0" w:line="232" w:lineRule="auto"/>
        <w:rPr>
          <w:sz w:val="20"/>
          <w:szCs w:val="20"/>
          <w:color w:val="auto"/>
        </w:rPr>
      </w:pPr>
      <w:r>
        <w:rPr>
          <w:rFonts w:ascii="Arial" w:cs="Arial" w:eastAsia="Arial" w:hAnsi="Arial"/>
          <w:sz w:val="20"/>
          <w:szCs w:val="20"/>
          <w:color w:val="3E3935"/>
        </w:rPr>
        <w:t xml:space="preserve">Under our Policy on Recoupment of Incentive Compensation (available on our website at </w:t>
      </w:r>
      <w:r>
        <w:rPr>
          <w:rFonts w:ascii="Arial" w:cs="Arial" w:eastAsia="Arial" w:hAnsi="Arial"/>
          <w:sz w:val="20"/>
          <w:szCs w:val="20"/>
          <w:i w:val="1"/>
          <w:iCs w:val="1"/>
          <w:color w:val="00C1DE"/>
        </w:rPr>
        <w:t>investor.gm.com/esg</w:t>
      </w:r>
      <w:r>
        <w:rPr>
          <w:rFonts w:ascii="Arial" w:cs="Arial" w:eastAsia="Arial" w:hAnsi="Arial"/>
          <w:sz w:val="20"/>
          <w:szCs w:val="20"/>
          <w:color w:val="3E3935"/>
        </w:rPr>
        <w:t>), the Compensation Committee is empowered to recoup (“clawback”) compensation paid to executive officers and other executives under its purview. In the event of employee misconduct that causes specified financial or reputational damage, a materially inaccurate performance calculation, or an accounting restatement, the Compensation Committee may seek to clawback paid incentive compensation. The Compensation Committee may also cancel outstanding equity-based awards granted to any covered employee if that employee engages in conduct detrimental to the Company. This policy was expanded in 2020 to cover additional executives and scenarios of misconduct beyond only an accounting restatement.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139700</wp:posOffset>
            </wp:positionV>
            <wp:extent cx="6995160" cy="825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30" w:lineRule="exact"/>
        <w:rPr>
          <w:sz w:val="20"/>
          <w:szCs w:val="20"/>
          <w:color w:val="auto"/>
        </w:rPr>
      </w:pPr>
    </w:p>
    <w:tbl>
      <w:tblPr>
        <w:tblLayout w:type="fixed"/>
        <w:tblInd w:w="120" w:type="dxa"/>
        <w:tblCellMar>
          <w:top w:w="0" w:type="dxa"/>
          <w:left w:w="0" w:type="dxa"/>
          <w:bottom w:w="0" w:type="dxa"/>
          <w:right w:w="0" w:type="dxa"/>
        </w:tblCellMar>
      </w:tblPr>
      <w:tr>
        <w:trPr>
          <w:trHeight w:val="230"/>
        </w:trPr>
        <w:tc>
          <w:tcPr>
            <w:tcW w:w="2420" w:type="dxa"/>
            <w:vAlign w:val="bottom"/>
          </w:tcPr>
          <w:p>
            <w:pPr>
              <w:spacing w:after="0"/>
              <w:rPr>
                <w:sz w:val="19"/>
                <w:szCs w:val="19"/>
                <w:color w:val="auto"/>
              </w:rPr>
            </w:pPr>
          </w:p>
        </w:tc>
        <w:tc>
          <w:tcPr>
            <w:tcW w:w="3020" w:type="dxa"/>
            <w:vAlign w:val="bottom"/>
          </w:tcPr>
          <w:p>
            <w:pPr>
              <w:spacing w:after="0"/>
              <w:rPr>
                <w:sz w:val="19"/>
                <w:szCs w:val="19"/>
                <w:color w:val="auto"/>
              </w:rPr>
            </w:pPr>
          </w:p>
        </w:tc>
        <w:tc>
          <w:tcPr>
            <w:tcW w:w="2880" w:type="dxa"/>
            <w:vAlign w:val="bottom"/>
          </w:tcPr>
          <w:p>
            <w:pPr>
              <w:jc w:val="center"/>
              <w:ind w:left="41"/>
              <w:spacing w:after="0"/>
              <w:rPr>
                <w:sz w:val="20"/>
                <w:szCs w:val="20"/>
                <w:color w:val="auto"/>
              </w:rPr>
            </w:pPr>
            <w:r>
              <w:rPr>
                <w:rFonts w:ascii="Arial" w:cs="Arial" w:eastAsia="Arial" w:hAnsi="Arial"/>
                <w:sz w:val="20"/>
                <w:szCs w:val="20"/>
                <w:b w:val="1"/>
                <w:bCs w:val="1"/>
                <w:color w:val="00C1DE"/>
                <w:w w:val="98"/>
              </w:rPr>
              <w:t>Cancellation and</w:t>
            </w:r>
          </w:p>
        </w:tc>
        <w:tc>
          <w:tcPr>
            <w:tcW w:w="2700" w:type="dxa"/>
            <w:vAlign w:val="bottom"/>
          </w:tcPr>
          <w:p>
            <w:pPr>
              <w:jc w:val="center"/>
              <w:spacing w:after="0"/>
              <w:rPr>
                <w:sz w:val="20"/>
                <w:szCs w:val="20"/>
                <w:color w:val="auto"/>
              </w:rPr>
            </w:pPr>
            <w:r>
              <w:rPr>
                <w:rFonts w:ascii="Arial" w:cs="Arial" w:eastAsia="Arial" w:hAnsi="Arial"/>
                <w:sz w:val="20"/>
                <w:szCs w:val="20"/>
                <w:b w:val="1"/>
                <w:bCs w:val="1"/>
                <w:color w:val="00C1DE"/>
                <w:w w:val="99"/>
              </w:rPr>
              <w:t>Cancellation of</w:t>
            </w:r>
          </w:p>
        </w:tc>
        <w:tc>
          <w:tcPr>
            <w:tcW w:w="0" w:type="dxa"/>
            <w:vAlign w:val="bottom"/>
          </w:tcPr>
          <w:p>
            <w:pPr>
              <w:spacing w:after="0"/>
              <w:rPr>
                <w:sz w:val="1"/>
                <w:szCs w:val="1"/>
                <w:color w:val="auto"/>
              </w:rPr>
            </w:pPr>
          </w:p>
        </w:tc>
      </w:tr>
      <w:tr>
        <w:trPr>
          <w:trHeight w:val="216"/>
        </w:trPr>
        <w:tc>
          <w:tcPr>
            <w:tcW w:w="2420" w:type="dxa"/>
            <w:vAlign w:val="bottom"/>
          </w:tcPr>
          <w:p>
            <w:pPr>
              <w:spacing w:after="0"/>
              <w:rPr>
                <w:sz w:val="18"/>
                <w:szCs w:val="18"/>
                <w:color w:val="auto"/>
              </w:rPr>
            </w:pPr>
          </w:p>
        </w:tc>
        <w:tc>
          <w:tcPr>
            <w:tcW w:w="3020" w:type="dxa"/>
            <w:vAlign w:val="bottom"/>
            <w:vMerge w:val="restart"/>
          </w:tcPr>
          <w:p>
            <w:pPr>
              <w:jc w:val="center"/>
              <w:ind w:left="81"/>
              <w:spacing w:after="0"/>
              <w:rPr>
                <w:sz w:val="20"/>
                <w:szCs w:val="20"/>
                <w:color w:val="auto"/>
              </w:rPr>
            </w:pPr>
            <w:r>
              <w:rPr>
                <w:rFonts w:ascii="Arial" w:cs="Arial" w:eastAsia="Arial" w:hAnsi="Arial"/>
                <w:sz w:val="20"/>
                <w:szCs w:val="20"/>
                <w:b w:val="1"/>
                <w:bCs w:val="1"/>
                <w:color w:val="00C1DE"/>
                <w:w w:val="99"/>
              </w:rPr>
              <w:t>Clawback Policy</w:t>
            </w:r>
          </w:p>
        </w:tc>
        <w:tc>
          <w:tcPr>
            <w:tcW w:w="2880" w:type="dxa"/>
            <w:vAlign w:val="bottom"/>
          </w:tcPr>
          <w:p>
            <w:pPr>
              <w:jc w:val="center"/>
              <w:ind w:left="21"/>
              <w:spacing w:after="0" w:line="216" w:lineRule="exact"/>
              <w:rPr>
                <w:sz w:val="20"/>
                <w:szCs w:val="20"/>
                <w:color w:val="auto"/>
              </w:rPr>
            </w:pPr>
            <w:r>
              <w:rPr>
                <w:rFonts w:ascii="Arial" w:cs="Arial" w:eastAsia="Arial" w:hAnsi="Arial"/>
                <w:sz w:val="20"/>
                <w:szCs w:val="20"/>
                <w:b w:val="1"/>
                <w:bCs w:val="1"/>
                <w:color w:val="00C1DE"/>
                <w:w w:val="99"/>
              </w:rPr>
              <w:t>Clawback Due to Violation</w:t>
            </w:r>
          </w:p>
        </w:tc>
        <w:tc>
          <w:tcPr>
            <w:tcW w:w="2700" w:type="dxa"/>
            <w:vAlign w:val="bottom"/>
          </w:tcPr>
          <w:p>
            <w:pPr>
              <w:jc w:val="center"/>
              <w:spacing w:after="0" w:line="216" w:lineRule="exact"/>
              <w:rPr>
                <w:sz w:val="20"/>
                <w:szCs w:val="20"/>
                <w:color w:val="auto"/>
              </w:rPr>
            </w:pPr>
            <w:r>
              <w:rPr>
                <w:rFonts w:ascii="Arial" w:cs="Arial" w:eastAsia="Arial" w:hAnsi="Arial"/>
                <w:sz w:val="20"/>
                <w:szCs w:val="20"/>
                <w:b w:val="1"/>
                <w:bCs w:val="1"/>
                <w:color w:val="00C1DE"/>
                <w:w w:val="97"/>
              </w:rPr>
              <w:t>Unvested</w:t>
            </w:r>
          </w:p>
        </w:tc>
        <w:tc>
          <w:tcPr>
            <w:tcW w:w="0" w:type="dxa"/>
            <w:vAlign w:val="bottom"/>
          </w:tcPr>
          <w:p>
            <w:pPr>
              <w:spacing w:after="0"/>
              <w:rPr>
                <w:sz w:val="1"/>
                <w:szCs w:val="1"/>
                <w:color w:val="auto"/>
              </w:rPr>
            </w:pPr>
          </w:p>
        </w:tc>
      </w:tr>
      <w:tr>
        <w:trPr>
          <w:trHeight w:val="216"/>
        </w:trPr>
        <w:tc>
          <w:tcPr>
            <w:tcW w:w="2420" w:type="dxa"/>
            <w:vAlign w:val="bottom"/>
          </w:tcPr>
          <w:p>
            <w:pPr>
              <w:spacing w:after="0"/>
              <w:rPr>
                <w:sz w:val="18"/>
                <w:szCs w:val="18"/>
                <w:color w:val="auto"/>
              </w:rPr>
            </w:pPr>
          </w:p>
        </w:tc>
        <w:tc>
          <w:tcPr>
            <w:tcW w:w="3020" w:type="dxa"/>
            <w:vAlign w:val="bottom"/>
            <w:vMerge w:val="continue"/>
          </w:tcPr>
          <w:p>
            <w:pPr>
              <w:spacing w:after="0"/>
              <w:rPr>
                <w:sz w:val="18"/>
                <w:szCs w:val="18"/>
                <w:color w:val="auto"/>
              </w:rPr>
            </w:pPr>
          </w:p>
        </w:tc>
        <w:tc>
          <w:tcPr>
            <w:tcW w:w="2880" w:type="dxa"/>
            <w:vAlign w:val="bottom"/>
          </w:tcPr>
          <w:p>
            <w:pPr>
              <w:jc w:val="center"/>
              <w:ind w:left="21"/>
              <w:spacing w:after="0" w:line="216" w:lineRule="exact"/>
              <w:rPr>
                <w:sz w:val="20"/>
                <w:szCs w:val="20"/>
                <w:color w:val="auto"/>
              </w:rPr>
            </w:pPr>
            <w:r>
              <w:rPr>
                <w:rFonts w:ascii="Arial" w:cs="Arial" w:eastAsia="Arial" w:hAnsi="Arial"/>
                <w:sz w:val="20"/>
                <w:szCs w:val="20"/>
                <w:b w:val="1"/>
                <w:bCs w:val="1"/>
                <w:color w:val="00C1DE"/>
                <w:w w:val="99"/>
              </w:rPr>
              <w:t>of Non-Compete and</w:t>
            </w:r>
          </w:p>
        </w:tc>
        <w:tc>
          <w:tcPr>
            <w:tcW w:w="2700" w:type="dxa"/>
            <w:vAlign w:val="bottom"/>
          </w:tcPr>
          <w:p>
            <w:pPr>
              <w:jc w:val="center"/>
              <w:spacing w:after="0" w:line="216" w:lineRule="exact"/>
              <w:rPr>
                <w:sz w:val="20"/>
                <w:szCs w:val="20"/>
                <w:color w:val="auto"/>
              </w:rPr>
            </w:pPr>
            <w:r>
              <w:rPr>
                <w:rFonts w:ascii="Arial" w:cs="Arial" w:eastAsia="Arial" w:hAnsi="Arial"/>
                <w:sz w:val="20"/>
                <w:szCs w:val="20"/>
                <w:b w:val="1"/>
                <w:bCs w:val="1"/>
                <w:color w:val="00C1DE"/>
                <w:w w:val="99"/>
              </w:rPr>
              <w:t>and Outstanding</w:t>
            </w:r>
          </w:p>
        </w:tc>
        <w:tc>
          <w:tcPr>
            <w:tcW w:w="0" w:type="dxa"/>
            <w:vAlign w:val="bottom"/>
          </w:tcPr>
          <w:p>
            <w:pPr>
              <w:spacing w:after="0"/>
              <w:rPr>
                <w:sz w:val="1"/>
                <w:szCs w:val="1"/>
                <w:color w:val="auto"/>
              </w:rPr>
            </w:pPr>
          </w:p>
        </w:tc>
      </w:tr>
      <w:tr>
        <w:trPr>
          <w:trHeight w:val="280"/>
        </w:trPr>
        <w:tc>
          <w:tcPr>
            <w:tcW w:w="2420" w:type="dxa"/>
            <w:vAlign w:val="bottom"/>
            <w:tcBorders>
              <w:bottom w:val="single" w:sz="8" w:color="00C1DE"/>
            </w:tcBorders>
          </w:tcPr>
          <w:p>
            <w:pPr>
              <w:spacing w:after="0"/>
              <w:rPr>
                <w:sz w:val="24"/>
                <w:szCs w:val="24"/>
                <w:color w:val="auto"/>
              </w:rPr>
            </w:pPr>
          </w:p>
        </w:tc>
        <w:tc>
          <w:tcPr>
            <w:tcW w:w="3020" w:type="dxa"/>
            <w:vAlign w:val="bottom"/>
            <w:tcBorders>
              <w:bottom w:val="single" w:sz="8" w:color="00C1DE"/>
            </w:tcBorders>
          </w:tcPr>
          <w:p>
            <w:pPr>
              <w:spacing w:after="0"/>
              <w:rPr>
                <w:sz w:val="24"/>
                <w:szCs w:val="24"/>
                <w:color w:val="auto"/>
              </w:rPr>
            </w:pPr>
          </w:p>
        </w:tc>
        <w:tc>
          <w:tcPr>
            <w:tcW w:w="2880" w:type="dxa"/>
            <w:vAlign w:val="bottom"/>
            <w:tcBorders>
              <w:bottom w:val="single" w:sz="8" w:color="00C1DE"/>
            </w:tcBorders>
          </w:tcPr>
          <w:p>
            <w:pPr>
              <w:jc w:val="center"/>
              <w:ind w:left="21"/>
              <w:spacing w:after="0"/>
              <w:rPr>
                <w:sz w:val="20"/>
                <w:szCs w:val="20"/>
                <w:color w:val="auto"/>
              </w:rPr>
            </w:pPr>
            <w:r>
              <w:rPr>
                <w:rFonts w:ascii="Arial" w:cs="Arial" w:eastAsia="Arial" w:hAnsi="Arial"/>
                <w:sz w:val="20"/>
                <w:szCs w:val="20"/>
                <w:b w:val="1"/>
                <w:bCs w:val="1"/>
                <w:color w:val="00C1DE"/>
                <w:w w:val="98"/>
              </w:rPr>
              <w:t>Non-Solicitation Terms</w:t>
            </w:r>
          </w:p>
        </w:tc>
        <w:tc>
          <w:tcPr>
            <w:tcW w:w="2700" w:type="dxa"/>
            <w:vAlign w:val="bottom"/>
            <w:tcBorders>
              <w:bottom w:val="single" w:sz="8" w:color="00C1DE"/>
            </w:tcBorders>
          </w:tcPr>
          <w:p>
            <w:pPr>
              <w:jc w:val="center"/>
              <w:spacing w:after="0"/>
              <w:rPr>
                <w:sz w:val="20"/>
                <w:szCs w:val="20"/>
                <w:color w:val="auto"/>
              </w:rPr>
            </w:pPr>
            <w:r>
              <w:rPr>
                <w:rFonts w:ascii="Arial" w:cs="Arial" w:eastAsia="Arial" w:hAnsi="Arial"/>
                <w:sz w:val="20"/>
                <w:szCs w:val="20"/>
                <w:b w:val="1"/>
                <w:bCs w:val="1"/>
                <w:color w:val="00C1DE"/>
                <w:w w:val="99"/>
              </w:rPr>
              <w:t>Awards</w:t>
            </w:r>
          </w:p>
        </w:tc>
        <w:tc>
          <w:tcPr>
            <w:tcW w:w="0" w:type="dxa"/>
            <w:vAlign w:val="bottom"/>
          </w:tcPr>
          <w:p>
            <w:pPr>
              <w:spacing w:after="0"/>
              <w:rPr>
                <w:sz w:val="1"/>
                <w:szCs w:val="1"/>
                <w:color w:val="auto"/>
              </w:rPr>
            </w:pPr>
          </w:p>
        </w:tc>
      </w:tr>
      <w:tr>
        <w:trPr>
          <w:trHeight w:val="255"/>
        </w:trPr>
        <w:tc>
          <w:tcPr>
            <w:tcW w:w="2420" w:type="dxa"/>
            <w:vAlign w:val="bottom"/>
          </w:tcPr>
          <w:p>
            <w:pPr>
              <w:spacing w:after="0"/>
              <w:rPr>
                <w:sz w:val="22"/>
                <w:szCs w:val="22"/>
                <w:color w:val="auto"/>
              </w:rPr>
            </w:pPr>
          </w:p>
        </w:tc>
        <w:tc>
          <w:tcPr>
            <w:tcW w:w="3020" w:type="dxa"/>
            <w:vAlign w:val="bottom"/>
          </w:tcPr>
          <w:p>
            <w:pPr>
              <w:jc w:val="center"/>
              <w:ind w:left="81"/>
              <w:spacing w:after="0"/>
              <w:rPr>
                <w:sz w:val="20"/>
                <w:szCs w:val="20"/>
                <w:color w:val="auto"/>
              </w:rPr>
            </w:pPr>
            <w:r>
              <w:rPr>
                <w:rFonts w:ascii="Arial" w:cs="Arial" w:eastAsia="Arial" w:hAnsi="Arial"/>
                <w:sz w:val="20"/>
                <w:szCs w:val="20"/>
                <w:color w:val="3E3935"/>
                <w:w w:val="98"/>
              </w:rPr>
              <w:t>Executive officers and</w:t>
            </w:r>
          </w:p>
        </w:tc>
        <w:tc>
          <w:tcPr>
            <w:tcW w:w="2880" w:type="dxa"/>
            <w:vAlign w:val="bottom"/>
            <w:vMerge w:val="restart"/>
          </w:tcPr>
          <w:p>
            <w:pPr>
              <w:jc w:val="center"/>
              <w:ind w:left="21"/>
              <w:spacing w:after="0"/>
              <w:rPr>
                <w:sz w:val="20"/>
                <w:szCs w:val="20"/>
                <w:color w:val="auto"/>
              </w:rPr>
            </w:pPr>
            <w:r>
              <w:rPr>
                <w:rFonts w:ascii="Arial" w:cs="Arial" w:eastAsia="Arial" w:hAnsi="Arial"/>
                <w:sz w:val="20"/>
                <w:szCs w:val="20"/>
                <w:color w:val="3E3935"/>
                <w:w w:val="98"/>
              </w:rPr>
              <w:t>Approximately 250</w:t>
            </w:r>
          </w:p>
        </w:tc>
        <w:tc>
          <w:tcPr>
            <w:tcW w:w="2700" w:type="dxa"/>
            <w:vAlign w:val="bottom"/>
            <w:vMerge w:val="restart"/>
          </w:tcPr>
          <w:p>
            <w:pPr>
              <w:jc w:val="center"/>
              <w:spacing w:after="0"/>
              <w:rPr>
                <w:sz w:val="20"/>
                <w:szCs w:val="20"/>
                <w:color w:val="auto"/>
              </w:rPr>
            </w:pPr>
            <w:r>
              <w:rPr>
                <w:rFonts w:ascii="Arial" w:cs="Arial" w:eastAsia="Arial" w:hAnsi="Arial"/>
                <w:sz w:val="20"/>
                <w:szCs w:val="20"/>
                <w:color w:val="3E3935"/>
                <w:w w:val="99"/>
              </w:rPr>
              <w:t>All employees that</w:t>
            </w:r>
          </w:p>
        </w:tc>
        <w:tc>
          <w:tcPr>
            <w:tcW w:w="0" w:type="dxa"/>
            <w:vAlign w:val="bottom"/>
          </w:tcPr>
          <w:p>
            <w:pPr>
              <w:spacing w:after="0"/>
              <w:rPr>
                <w:sz w:val="1"/>
                <w:szCs w:val="1"/>
                <w:color w:val="auto"/>
              </w:rPr>
            </w:pPr>
          </w:p>
        </w:tc>
      </w:tr>
      <w:tr>
        <w:trPr>
          <w:trHeight w:val="95"/>
        </w:trPr>
        <w:tc>
          <w:tcPr>
            <w:tcW w:w="2420" w:type="dxa"/>
            <w:vAlign w:val="bottom"/>
          </w:tcPr>
          <w:p>
            <w:pPr>
              <w:spacing w:after="0"/>
              <w:rPr>
                <w:sz w:val="8"/>
                <w:szCs w:val="8"/>
                <w:color w:val="auto"/>
              </w:rPr>
            </w:pPr>
          </w:p>
        </w:tc>
        <w:tc>
          <w:tcPr>
            <w:tcW w:w="3020" w:type="dxa"/>
            <w:vAlign w:val="bottom"/>
            <w:vMerge w:val="restart"/>
          </w:tcPr>
          <w:p>
            <w:pPr>
              <w:jc w:val="center"/>
              <w:ind w:left="81"/>
              <w:spacing w:after="0" w:line="203" w:lineRule="exact"/>
              <w:rPr>
                <w:sz w:val="20"/>
                <w:szCs w:val="20"/>
                <w:color w:val="auto"/>
              </w:rPr>
            </w:pPr>
            <w:r>
              <w:rPr>
                <w:rFonts w:ascii="Arial" w:cs="Arial" w:eastAsia="Arial" w:hAnsi="Arial"/>
                <w:sz w:val="20"/>
                <w:szCs w:val="20"/>
                <w:color w:val="3E3935"/>
                <w:w w:val="98"/>
              </w:rPr>
              <w:t>other executives under</w:t>
            </w:r>
          </w:p>
        </w:tc>
        <w:tc>
          <w:tcPr>
            <w:tcW w:w="2880" w:type="dxa"/>
            <w:vAlign w:val="bottom"/>
            <w:vMerge w:val="continue"/>
          </w:tcPr>
          <w:p>
            <w:pPr>
              <w:spacing w:after="0"/>
              <w:rPr>
                <w:sz w:val="8"/>
                <w:szCs w:val="8"/>
                <w:color w:val="auto"/>
              </w:rPr>
            </w:pPr>
          </w:p>
        </w:tc>
        <w:tc>
          <w:tcPr>
            <w:tcW w:w="27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2420" w:type="dxa"/>
            <w:vAlign w:val="bottom"/>
            <w:vMerge w:val="restart"/>
          </w:tcPr>
          <w:p>
            <w:pPr>
              <w:ind w:left="80"/>
              <w:spacing w:after="0" w:line="216" w:lineRule="exact"/>
              <w:rPr>
                <w:sz w:val="20"/>
                <w:szCs w:val="20"/>
                <w:color w:val="auto"/>
              </w:rPr>
            </w:pPr>
            <w:r>
              <w:rPr>
                <w:rFonts w:ascii="Arial" w:cs="Arial" w:eastAsia="Arial" w:hAnsi="Arial"/>
                <w:sz w:val="20"/>
                <w:szCs w:val="20"/>
                <w:b w:val="1"/>
                <w:bCs w:val="1"/>
                <w:color w:val="3E3935"/>
              </w:rPr>
              <w:t>Covered Population</w:t>
            </w:r>
          </w:p>
        </w:tc>
        <w:tc>
          <w:tcPr>
            <w:tcW w:w="3020" w:type="dxa"/>
            <w:vAlign w:val="bottom"/>
            <w:vMerge w:val="continue"/>
          </w:tcPr>
          <w:p>
            <w:pPr>
              <w:spacing w:after="0"/>
              <w:rPr>
                <w:sz w:val="9"/>
                <w:szCs w:val="9"/>
                <w:color w:val="auto"/>
              </w:rPr>
            </w:pPr>
          </w:p>
        </w:tc>
        <w:tc>
          <w:tcPr>
            <w:tcW w:w="2880" w:type="dxa"/>
            <w:vAlign w:val="bottom"/>
            <w:vMerge w:val="continue"/>
          </w:tcPr>
          <w:p>
            <w:pPr>
              <w:spacing w:after="0"/>
              <w:rPr>
                <w:sz w:val="9"/>
                <w:szCs w:val="9"/>
                <w:color w:val="auto"/>
              </w:rPr>
            </w:pPr>
          </w:p>
        </w:tc>
        <w:tc>
          <w:tcPr>
            <w:tcW w:w="2700" w:type="dxa"/>
            <w:vAlign w:val="bottom"/>
            <w:vMerge w:val="restart"/>
          </w:tcPr>
          <w:p>
            <w:pPr>
              <w:jc w:val="center"/>
              <w:spacing w:after="0" w:line="216" w:lineRule="exact"/>
              <w:rPr>
                <w:sz w:val="20"/>
                <w:szCs w:val="20"/>
                <w:color w:val="auto"/>
              </w:rPr>
            </w:pPr>
            <w:r>
              <w:rPr>
                <w:rFonts w:ascii="Arial" w:cs="Arial" w:eastAsia="Arial" w:hAnsi="Arial"/>
                <w:sz w:val="20"/>
                <w:szCs w:val="20"/>
                <w:color w:val="3E3935"/>
                <w:w w:val="99"/>
              </w:rPr>
              <w:t>receive awards through</w:t>
            </w:r>
          </w:p>
        </w:tc>
        <w:tc>
          <w:tcPr>
            <w:tcW w:w="0" w:type="dxa"/>
            <w:vAlign w:val="bottom"/>
          </w:tcPr>
          <w:p>
            <w:pPr>
              <w:spacing w:after="0"/>
              <w:rPr>
                <w:sz w:val="1"/>
                <w:szCs w:val="1"/>
                <w:color w:val="auto"/>
              </w:rPr>
            </w:pPr>
          </w:p>
        </w:tc>
      </w:tr>
      <w:tr>
        <w:trPr>
          <w:trHeight w:val="108"/>
        </w:trPr>
        <w:tc>
          <w:tcPr>
            <w:tcW w:w="2420" w:type="dxa"/>
            <w:vAlign w:val="bottom"/>
            <w:vMerge w:val="continue"/>
          </w:tcPr>
          <w:p>
            <w:pPr>
              <w:spacing w:after="0"/>
              <w:rPr>
                <w:sz w:val="9"/>
                <w:szCs w:val="9"/>
                <w:color w:val="auto"/>
              </w:rPr>
            </w:pPr>
          </w:p>
        </w:tc>
        <w:tc>
          <w:tcPr>
            <w:tcW w:w="3020" w:type="dxa"/>
            <w:vAlign w:val="bottom"/>
            <w:vMerge w:val="restart"/>
          </w:tcPr>
          <w:p>
            <w:pPr>
              <w:jc w:val="center"/>
              <w:ind w:left="81"/>
              <w:spacing w:after="0"/>
              <w:rPr>
                <w:sz w:val="20"/>
                <w:szCs w:val="20"/>
                <w:color w:val="auto"/>
              </w:rPr>
            </w:pPr>
            <w:r>
              <w:rPr>
                <w:rFonts w:ascii="Arial" w:cs="Arial" w:eastAsia="Arial" w:hAnsi="Arial"/>
                <w:sz w:val="20"/>
                <w:szCs w:val="20"/>
                <w:color w:val="3E3935"/>
                <w:w w:val="98"/>
              </w:rPr>
              <w:t>the purview of the</w:t>
            </w:r>
          </w:p>
        </w:tc>
        <w:tc>
          <w:tcPr>
            <w:tcW w:w="2880" w:type="dxa"/>
            <w:vAlign w:val="bottom"/>
            <w:vMerge w:val="restart"/>
          </w:tcPr>
          <w:p>
            <w:pPr>
              <w:jc w:val="center"/>
              <w:ind w:left="21"/>
              <w:spacing w:after="0"/>
              <w:rPr>
                <w:sz w:val="20"/>
                <w:szCs w:val="20"/>
                <w:color w:val="auto"/>
              </w:rPr>
            </w:pPr>
            <w:r>
              <w:rPr>
                <w:rFonts w:ascii="Arial" w:cs="Arial" w:eastAsia="Arial" w:hAnsi="Arial"/>
                <w:sz w:val="20"/>
                <w:szCs w:val="20"/>
                <w:color w:val="3E3935"/>
                <w:w w:val="98"/>
              </w:rPr>
              <w:t>senior leaders</w:t>
            </w:r>
          </w:p>
        </w:tc>
        <w:tc>
          <w:tcPr>
            <w:tcW w:w="27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2420" w:type="dxa"/>
            <w:vAlign w:val="bottom"/>
          </w:tcPr>
          <w:p>
            <w:pPr>
              <w:spacing w:after="0"/>
              <w:rPr>
                <w:sz w:val="10"/>
                <w:szCs w:val="10"/>
                <w:color w:val="auto"/>
              </w:rPr>
            </w:pPr>
          </w:p>
        </w:tc>
        <w:tc>
          <w:tcPr>
            <w:tcW w:w="3020" w:type="dxa"/>
            <w:vAlign w:val="bottom"/>
            <w:vMerge w:val="continue"/>
          </w:tcPr>
          <w:p>
            <w:pPr>
              <w:spacing w:after="0"/>
              <w:rPr>
                <w:sz w:val="10"/>
                <w:szCs w:val="10"/>
                <w:color w:val="auto"/>
              </w:rPr>
            </w:pPr>
          </w:p>
        </w:tc>
        <w:tc>
          <w:tcPr>
            <w:tcW w:w="2880" w:type="dxa"/>
            <w:vAlign w:val="bottom"/>
            <w:vMerge w:val="continue"/>
          </w:tcPr>
          <w:p>
            <w:pPr>
              <w:spacing w:after="0"/>
              <w:rPr>
                <w:sz w:val="10"/>
                <w:szCs w:val="10"/>
                <w:color w:val="auto"/>
              </w:rPr>
            </w:pPr>
          </w:p>
        </w:tc>
        <w:tc>
          <w:tcPr>
            <w:tcW w:w="2700" w:type="dxa"/>
            <w:vAlign w:val="bottom"/>
            <w:vMerge w:val="restart"/>
          </w:tcPr>
          <w:p>
            <w:pPr>
              <w:jc w:val="center"/>
              <w:spacing w:after="0"/>
              <w:rPr>
                <w:sz w:val="20"/>
                <w:szCs w:val="20"/>
                <w:color w:val="auto"/>
              </w:rPr>
            </w:pPr>
            <w:r>
              <w:rPr>
                <w:rFonts w:ascii="Arial" w:cs="Arial" w:eastAsia="Arial" w:hAnsi="Arial"/>
                <w:sz w:val="20"/>
                <w:szCs w:val="20"/>
                <w:color w:val="3E3935"/>
                <w:w w:val="96"/>
              </w:rPr>
              <w:t>STIP or LTIP</w:t>
            </w:r>
          </w:p>
        </w:tc>
        <w:tc>
          <w:tcPr>
            <w:tcW w:w="0" w:type="dxa"/>
            <w:vAlign w:val="bottom"/>
          </w:tcPr>
          <w:p>
            <w:pPr>
              <w:spacing w:after="0"/>
              <w:rPr>
                <w:sz w:val="1"/>
                <w:szCs w:val="1"/>
                <w:color w:val="auto"/>
              </w:rPr>
            </w:pPr>
          </w:p>
        </w:tc>
      </w:tr>
      <w:tr>
        <w:trPr>
          <w:trHeight w:val="140"/>
        </w:trPr>
        <w:tc>
          <w:tcPr>
            <w:tcW w:w="2420" w:type="dxa"/>
            <w:vAlign w:val="bottom"/>
          </w:tcPr>
          <w:p>
            <w:pPr>
              <w:spacing w:after="0"/>
              <w:rPr>
                <w:sz w:val="12"/>
                <w:szCs w:val="12"/>
                <w:color w:val="auto"/>
              </w:rPr>
            </w:pPr>
          </w:p>
        </w:tc>
        <w:tc>
          <w:tcPr>
            <w:tcW w:w="3020" w:type="dxa"/>
            <w:vAlign w:val="bottom"/>
            <w:vMerge w:val="restart"/>
          </w:tcPr>
          <w:p>
            <w:pPr>
              <w:jc w:val="center"/>
              <w:ind w:left="81"/>
              <w:spacing w:after="0"/>
              <w:rPr>
                <w:sz w:val="20"/>
                <w:szCs w:val="20"/>
                <w:color w:val="auto"/>
              </w:rPr>
            </w:pPr>
            <w:r>
              <w:rPr>
                <w:rFonts w:ascii="Arial" w:cs="Arial" w:eastAsia="Arial" w:hAnsi="Arial"/>
                <w:sz w:val="20"/>
                <w:szCs w:val="20"/>
                <w:color w:val="3E3935"/>
                <w:w w:val="98"/>
              </w:rPr>
              <w:t>Compensation Committee</w:t>
            </w:r>
          </w:p>
        </w:tc>
        <w:tc>
          <w:tcPr>
            <w:tcW w:w="2880" w:type="dxa"/>
            <w:vAlign w:val="bottom"/>
          </w:tcPr>
          <w:p>
            <w:pPr>
              <w:spacing w:after="0"/>
              <w:rPr>
                <w:sz w:val="12"/>
                <w:szCs w:val="12"/>
                <w:color w:val="auto"/>
              </w:rPr>
            </w:pPr>
          </w:p>
        </w:tc>
        <w:tc>
          <w:tcPr>
            <w:tcW w:w="27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2420" w:type="dxa"/>
            <w:vAlign w:val="bottom"/>
          </w:tcPr>
          <w:p>
            <w:pPr>
              <w:spacing w:after="0"/>
              <w:rPr>
                <w:sz w:val="10"/>
                <w:szCs w:val="10"/>
                <w:color w:val="auto"/>
              </w:rPr>
            </w:pPr>
          </w:p>
        </w:tc>
        <w:tc>
          <w:tcPr>
            <w:tcW w:w="3020" w:type="dxa"/>
            <w:vAlign w:val="bottom"/>
            <w:vMerge w:val="continue"/>
          </w:tcPr>
          <w:p>
            <w:pPr>
              <w:spacing w:after="0"/>
              <w:rPr>
                <w:sz w:val="10"/>
                <w:szCs w:val="10"/>
                <w:color w:val="auto"/>
              </w:rPr>
            </w:pPr>
          </w:p>
        </w:tc>
        <w:tc>
          <w:tcPr>
            <w:tcW w:w="2880" w:type="dxa"/>
            <w:vAlign w:val="bottom"/>
          </w:tcPr>
          <w:p>
            <w:pPr>
              <w:spacing w:after="0"/>
              <w:rPr>
                <w:sz w:val="10"/>
                <w:szCs w:val="10"/>
                <w:color w:val="auto"/>
              </w:rPr>
            </w:pPr>
          </w:p>
        </w:tc>
        <w:tc>
          <w:tcPr>
            <w:tcW w:w="2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0"/>
        </w:trPr>
        <w:tc>
          <w:tcPr>
            <w:tcW w:w="2420" w:type="dxa"/>
            <w:vAlign w:val="bottom"/>
            <w:tcBorders>
              <w:bottom w:val="single" w:sz="8" w:color="3E3935"/>
            </w:tcBorders>
          </w:tcPr>
          <w:p>
            <w:pPr>
              <w:spacing w:after="0"/>
              <w:rPr>
                <w:sz w:val="2"/>
                <w:szCs w:val="2"/>
                <w:color w:val="auto"/>
              </w:rPr>
            </w:pPr>
          </w:p>
        </w:tc>
        <w:tc>
          <w:tcPr>
            <w:tcW w:w="3020" w:type="dxa"/>
            <w:vAlign w:val="bottom"/>
            <w:tcBorders>
              <w:bottom w:val="single" w:sz="8" w:color="3E3935"/>
            </w:tcBorders>
          </w:tcPr>
          <w:p>
            <w:pPr>
              <w:spacing w:after="0"/>
              <w:rPr>
                <w:sz w:val="2"/>
                <w:szCs w:val="2"/>
                <w:color w:val="auto"/>
              </w:rPr>
            </w:pPr>
          </w:p>
        </w:tc>
        <w:tc>
          <w:tcPr>
            <w:tcW w:w="2880" w:type="dxa"/>
            <w:vAlign w:val="bottom"/>
            <w:tcBorders>
              <w:bottom w:val="single" w:sz="8" w:color="3E3935"/>
            </w:tcBorders>
          </w:tcPr>
          <w:p>
            <w:pPr>
              <w:spacing w:after="0"/>
              <w:rPr>
                <w:sz w:val="2"/>
                <w:szCs w:val="2"/>
                <w:color w:val="auto"/>
              </w:rPr>
            </w:pPr>
          </w:p>
        </w:tc>
        <w:tc>
          <w:tcPr>
            <w:tcW w:w="2700" w:type="dxa"/>
            <w:vAlign w:val="bottom"/>
            <w:tcBorders>
              <w:bottom w:val="single" w:sz="8" w:color="3E3935"/>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2420" w:type="dxa"/>
            <w:vAlign w:val="bottom"/>
          </w:tcPr>
          <w:p>
            <w:pPr>
              <w:spacing w:after="0"/>
              <w:rPr>
                <w:sz w:val="22"/>
                <w:szCs w:val="22"/>
                <w:color w:val="auto"/>
              </w:rPr>
            </w:pPr>
          </w:p>
        </w:tc>
        <w:tc>
          <w:tcPr>
            <w:tcW w:w="3020" w:type="dxa"/>
            <w:vAlign w:val="bottom"/>
          </w:tcPr>
          <w:p>
            <w:pPr>
              <w:jc w:val="center"/>
              <w:ind w:left="81"/>
              <w:spacing w:after="0"/>
              <w:rPr>
                <w:sz w:val="20"/>
                <w:szCs w:val="20"/>
                <w:color w:val="auto"/>
              </w:rPr>
            </w:pPr>
            <w:r>
              <w:rPr>
                <w:rFonts w:ascii="Arial" w:cs="Arial" w:eastAsia="Arial" w:hAnsi="Arial"/>
                <w:sz w:val="20"/>
                <w:szCs w:val="20"/>
                <w:color w:val="3E3935"/>
                <w:w w:val="99"/>
              </w:rPr>
              <w:t>Following employee</w:t>
            </w:r>
          </w:p>
        </w:tc>
        <w:tc>
          <w:tcPr>
            <w:tcW w:w="2880" w:type="dxa"/>
            <w:vAlign w:val="bottom"/>
          </w:tcPr>
          <w:p>
            <w:pPr>
              <w:spacing w:after="0"/>
              <w:rPr>
                <w:sz w:val="22"/>
                <w:szCs w:val="22"/>
                <w:color w:val="auto"/>
              </w:rPr>
            </w:pPr>
          </w:p>
        </w:tc>
        <w:tc>
          <w:tcPr>
            <w:tcW w:w="27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420" w:type="dxa"/>
            <w:vAlign w:val="bottom"/>
          </w:tcPr>
          <w:p>
            <w:pPr>
              <w:spacing w:after="0"/>
              <w:rPr>
                <w:sz w:val="18"/>
                <w:szCs w:val="18"/>
                <w:color w:val="auto"/>
              </w:rPr>
            </w:pPr>
          </w:p>
        </w:tc>
        <w:tc>
          <w:tcPr>
            <w:tcW w:w="3020" w:type="dxa"/>
            <w:vAlign w:val="bottom"/>
          </w:tcPr>
          <w:p>
            <w:pPr>
              <w:jc w:val="center"/>
              <w:ind w:left="81"/>
              <w:spacing w:after="0" w:line="216" w:lineRule="exact"/>
              <w:rPr>
                <w:sz w:val="20"/>
                <w:szCs w:val="20"/>
                <w:color w:val="auto"/>
              </w:rPr>
            </w:pPr>
            <w:r>
              <w:rPr>
                <w:rFonts w:ascii="Arial" w:cs="Arial" w:eastAsia="Arial" w:hAnsi="Arial"/>
                <w:sz w:val="20"/>
                <w:szCs w:val="20"/>
                <w:color w:val="3E3935"/>
                <w:w w:val="99"/>
              </w:rPr>
              <w:t>misconduct that causes</w:t>
            </w:r>
          </w:p>
        </w:tc>
        <w:tc>
          <w:tcPr>
            <w:tcW w:w="288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20" w:type="dxa"/>
            <w:vAlign w:val="bottom"/>
          </w:tcPr>
          <w:p>
            <w:pPr>
              <w:spacing w:after="0"/>
              <w:rPr>
                <w:sz w:val="18"/>
                <w:szCs w:val="18"/>
                <w:color w:val="auto"/>
              </w:rPr>
            </w:pPr>
          </w:p>
        </w:tc>
        <w:tc>
          <w:tcPr>
            <w:tcW w:w="3020" w:type="dxa"/>
            <w:vAlign w:val="bottom"/>
          </w:tcPr>
          <w:p>
            <w:pPr>
              <w:jc w:val="center"/>
              <w:ind w:left="81"/>
              <w:spacing w:after="0" w:line="216" w:lineRule="exact"/>
              <w:rPr>
                <w:sz w:val="20"/>
                <w:szCs w:val="20"/>
                <w:color w:val="auto"/>
              </w:rPr>
            </w:pPr>
            <w:r>
              <w:rPr>
                <w:rFonts w:ascii="Arial" w:cs="Arial" w:eastAsia="Arial" w:hAnsi="Arial"/>
                <w:sz w:val="20"/>
                <w:szCs w:val="20"/>
                <w:color w:val="3E3935"/>
                <w:w w:val="99"/>
              </w:rPr>
              <w:t>specified financial or</w:t>
            </w:r>
          </w:p>
        </w:tc>
        <w:tc>
          <w:tcPr>
            <w:tcW w:w="2880" w:type="dxa"/>
            <w:vAlign w:val="bottom"/>
            <w:vMerge w:val="restart"/>
          </w:tcPr>
          <w:p>
            <w:pPr>
              <w:jc w:val="center"/>
              <w:ind w:left="21"/>
              <w:spacing w:after="0"/>
              <w:rPr>
                <w:sz w:val="20"/>
                <w:szCs w:val="20"/>
                <w:color w:val="auto"/>
              </w:rPr>
            </w:pPr>
            <w:r>
              <w:rPr>
                <w:rFonts w:ascii="Arial" w:cs="Arial" w:eastAsia="Arial" w:hAnsi="Arial"/>
                <w:sz w:val="20"/>
                <w:szCs w:val="20"/>
                <w:color w:val="3E3935"/>
                <w:w w:val="98"/>
              </w:rPr>
              <w:t>Employee violates</w:t>
            </w:r>
          </w:p>
        </w:tc>
        <w:tc>
          <w:tcPr>
            <w:tcW w:w="2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420" w:type="dxa"/>
            <w:vAlign w:val="bottom"/>
            <w:vMerge w:val="restart"/>
          </w:tcPr>
          <w:p>
            <w:pPr>
              <w:ind w:left="80"/>
              <w:spacing w:after="0"/>
              <w:rPr>
                <w:sz w:val="20"/>
                <w:szCs w:val="20"/>
                <w:color w:val="auto"/>
              </w:rPr>
            </w:pPr>
            <w:r>
              <w:rPr>
                <w:rFonts w:ascii="Arial" w:cs="Arial" w:eastAsia="Arial" w:hAnsi="Arial"/>
                <w:sz w:val="20"/>
                <w:szCs w:val="20"/>
                <w:b w:val="1"/>
                <w:bCs w:val="1"/>
                <w:color w:val="3E3935"/>
              </w:rPr>
              <w:t>Event Applicable</w:t>
            </w:r>
          </w:p>
        </w:tc>
        <w:tc>
          <w:tcPr>
            <w:tcW w:w="3020" w:type="dxa"/>
            <w:vAlign w:val="bottom"/>
          </w:tcPr>
          <w:p>
            <w:pPr>
              <w:jc w:val="center"/>
              <w:ind w:left="81"/>
              <w:spacing w:after="0" w:line="203" w:lineRule="exact"/>
              <w:rPr>
                <w:sz w:val="20"/>
                <w:szCs w:val="20"/>
                <w:color w:val="auto"/>
              </w:rPr>
            </w:pPr>
            <w:r>
              <w:rPr>
                <w:rFonts w:ascii="Arial" w:cs="Arial" w:eastAsia="Arial" w:hAnsi="Arial"/>
                <w:sz w:val="20"/>
                <w:szCs w:val="20"/>
                <w:color w:val="3E3935"/>
                <w:w w:val="99"/>
              </w:rPr>
              <w:t>reputational damage, a</w:t>
            </w:r>
          </w:p>
        </w:tc>
        <w:tc>
          <w:tcPr>
            <w:tcW w:w="2880" w:type="dxa"/>
            <w:vAlign w:val="bottom"/>
            <w:vMerge w:val="continue"/>
          </w:tcPr>
          <w:p>
            <w:pPr>
              <w:spacing w:after="0"/>
              <w:rPr>
                <w:sz w:val="17"/>
                <w:szCs w:val="17"/>
                <w:color w:val="auto"/>
              </w:rPr>
            </w:pPr>
          </w:p>
        </w:tc>
        <w:tc>
          <w:tcPr>
            <w:tcW w:w="2700" w:type="dxa"/>
            <w:vAlign w:val="bottom"/>
          </w:tcPr>
          <w:p>
            <w:pPr>
              <w:jc w:val="center"/>
              <w:spacing w:after="0" w:line="203" w:lineRule="exact"/>
              <w:rPr>
                <w:sz w:val="20"/>
                <w:szCs w:val="20"/>
                <w:color w:val="auto"/>
              </w:rPr>
            </w:pPr>
            <w:r>
              <w:rPr>
                <w:rFonts w:ascii="Arial" w:cs="Arial" w:eastAsia="Arial" w:hAnsi="Arial"/>
                <w:sz w:val="20"/>
                <w:szCs w:val="20"/>
                <w:color w:val="3E3935"/>
                <w:w w:val="98"/>
              </w:rPr>
              <w:t>Employee engages in</w:t>
            </w:r>
          </w:p>
        </w:tc>
        <w:tc>
          <w:tcPr>
            <w:tcW w:w="0" w:type="dxa"/>
            <w:vAlign w:val="bottom"/>
          </w:tcPr>
          <w:p>
            <w:pPr>
              <w:spacing w:after="0"/>
              <w:rPr>
                <w:sz w:val="1"/>
                <w:szCs w:val="1"/>
                <w:color w:val="auto"/>
              </w:rPr>
            </w:pPr>
          </w:p>
        </w:tc>
      </w:tr>
      <w:tr>
        <w:trPr>
          <w:trHeight w:val="216"/>
        </w:trPr>
        <w:tc>
          <w:tcPr>
            <w:tcW w:w="2420" w:type="dxa"/>
            <w:vAlign w:val="bottom"/>
            <w:vMerge w:val="continue"/>
          </w:tcPr>
          <w:p>
            <w:pPr>
              <w:spacing w:after="0"/>
              <w:rPr>
                <w:sz w:val="18"/>
                <w:szCs w:val="18"/>
                <w:color w:val="auto"/>
              </w:rPr>
            </w:pPr>
          </w:p>
        </w:tc>
        <w:tc>
          <w:tcPr>
            <w:tcW w:w="3020" w:type="dxa"/>
            <w:vAlign w:val="bottom"/>
          </w:tcPr>
          <w:p>
            <w:pPr>
              <w:jc w:val="center"/>
              <w:ind w:left="81"/>
              <w:spacing w:after="0" w:line="216" w:lineRule="exact"/>
              <w:rPr>
                <w:sz w:val="20"/>
                <w:szCs w:val="20"/>
                <w:color w:val="auto"/>
              </w:rPr>
            </w:pPr>
            <w:r>
              <w:rPr>
                <w:rFonts w:ascii="Arial" w:cs="Arial" w:eastAsia="Arial" w:hAnsi="Arial"/>
                <w:sz w:val="20"/>
                <w:szCs w:val="20"/>
                <w:color w:val="3E3935"/>
                <w:w w:val="98"/>
              </w:rPr>
              <w:t>materially inaccurate</w:t>
            </w:r>
          </w:p>
        </w:tc>
        <w:tc>
          <w:tcPr>
            <w:tcW w:w="2880" w:type="dxa"/>
            <w:vAlign w:val="bottom"/>
          </w:tcPr>
          <w:p>
            <w:pPr>
              <w:jc w:val="center"/>
              <w:ind w:left="21"/>
              <w:spacing w:after="0" w:line="216" w:lineRule="exact"/>
              <w:rPr>
                <w:sz w:val="20"/>
                <w:szCs w:val="20"/>
                <w:color w:val="auto"/>
              </w:rPr>
            </w:pPr>
            <w:r>
              <w:rPr>
                <w:rFonts w:ascii="Arial" w:cs="Arial" w:eastAsia="Arial" w:hAnsi="Arial"/>
                <w:sz w:val="20"/>
                <w:szCs w:val="20"/>
                <w:color w:val="3E3935"/>
                <w:w w:val="99"/>
              </w:rPr>
              <w:t>non-compete or</w:t>
            </w:r>
          </w:p>
        </w:tc>
        <w:tc>
          <w:tcPr>
            <w:tcW w:w="2700" w:type="dxa"/>
            <w:vAlign w:val="bottom"/>
          </w:tcPr>
          <w:p>
            <w:pPr>
              <w:jc w:val="center"/>
              <w:spacing w:after="0" w:line="216" w:lineRule="exact"/>
              <w:rPr>
                <w:sz w:val="20"/>
                <w:szCs w:val="20"/>
                <w:color w:val="auto"/>
              </w:rPr>
            </w:pPr>
            <w:r>
              <w:rPr>
                <w:rFonts w:ascii="Arial" w:cs="Arial" w:eastAsia="Arial" w:hAnsi="Arial"/>
                <w:sz w:val="20"/>
                <w:szCs w:val="20"/>
                <w:color w:val="3E3935"/>
                <w:w w:val="99"/>
              </w:rPr>
              <w:t>conduct deemed detrimental</w:t>
            </w:r>
          </w:p>
        </w:tc>
        <w:tc>
          <w:tcPr>
            <w:tcW w:w="0" w:type="dxa"/>
            <w:vAlign w:val="bottom"/>
          </w:tcPr>
          <w:p>
            <w:pPr>
              <w:spacing w:after="0"/>
              <w:rPr>
                <w:sz w:val="1"/>
                <w:szCs w:val="1"/>
                <w:color w:val="auto"/>
              </w:rPr>
            </w:pPr>
          </w:p>
        </w:tc>
      </w:tr>
      <w:tr>
        <w:trPr>
          <w:trHeight w:val="230"/>
        </w:trPr>
        <w:tc>
          <w:tcPr>
            <w:tcW w:w="2420" w:type="dxa"/>
            <w:vAlign w:val="bottom"/>
          </w:tcPr>
          <w:p>
            <w:pPr>
              <w:spacing w:after="0"/>
              <w:rPr>
                <w:sz w:val="19"/>
                <w:szCs w:val="19"/>
                <w:color w:val="auto"/>
              </w:rPr>
            </w:pPr>
          </w:p>
        </w:tc>
        <w:tc>
          <w:tcPr>
            <w:tcW w:w="3020" w:type="dxa"/>
            <w:vAlign w:val="bottom"/>
          </w:tcPr>
          <w:p>
            <w:pPr>
              <w:jc w:val="center"/>
              <w:ind w:left="81"/>
              <w:spacing w:after="0"/>
              <w:rPr>
                <w:sz w:val="20"/>
                <w:szCs w:val="20"/>
                <w:color w:val="auto"/>
              </w:rPr>
            </w:pPr>
            <w:r>
              <w:rPr>
                <w:rFonts w:ascii="Arial" w:cs="Arial" w:eastAsia="Arial" w:hAnsi="Arial"/>
                <w:sz w:val="20"/>
                <w:szCs w:val="20"/>
                <w:color w:val="3E3935"/>
                <w:w w:val="99"/>
              </w:rPr>
              <w:t>performance calculation,</w:t>
            </w:r>
          </w:p>
        </w:tc>
        <w:tc>
          <w:tcPr>
            <w:tcW w:w="2880" w:type="dxa"/>
            <w:vAlign w:val="bottom"/>
          </w:tcPr>
          <w:p>
            <w:pPr>
              <w:jc w:val="center"/>
              <w:ind w:left="21"/>
              <w:spacing w:after="0"/>
              <w:rPr>
                <w:sz w:val="20"/>
                <w:szCs w:val="20"/>
                <w:color w:val="auto"/>
              </w:rPr>
            </w:pPr>
            <w:r>
              <w:rPr>
                <w:rFonts w:ascii="Arial" w:cs="Arial" w:eastAsia="Arial" w:hAnsi="Arial"/>
                <w:sz w:val="20"/>
                <w:szCs w:val="20"/>
                <w:color w:val="3E3935"/>
                <w:w w:val="99"/>
              </w:rPr>
              <w:t>non-solicitation terms</w:t>
            </w:r>
          </w:p>
        </w:tc>
        <w:tc>
          <w:tcPr>
            <w:tcW w:w="2700" w:type="dxa"/>
            <w:vAlign w:val="bottom"/>
          </w:tcPr>
          <w:p>
            <w:pPr>
              <w:jc w:val="center"/>
              <w:spacing w:after="0"/>
              <w:rPr>
                <w:sz w:val="20"/>
                <w:szCs w:val="20"/>
                <w:color w:val="auto"/>
              </w:rPr>
            </w:pPr>
            <w:r>
              <w:rPr>
                <w:rFonts w:ascii="Arial" w:cs="Arial" w:eastAsia="Arial" w:hAnsi="Arial"/>
                <w:sz w:val="20"/>
                <w:szCs w:val="20"/>
                <w:color w:val="3E3935"/>
                <w:w w:val="99"/>
              </w:rPr>
              <w:t>to the Company</w:t>
            </w:r>
          </w:p>
        </w:tc>
        <w:tc>
          <w:tcPr>
            <w:tcW w:w="0" w:type="dxa"/>
            <w:vAlign w:val="bottom"/>
          </w:tcPr>
          <w:p>
            <w:pPr>
              <w:spacing w:after="0"/>
              <w:rPr>
                <w:sz w:val="1"/>
                <w:szCs w:val="1"/>
                <w:color w:val="auto"/>
              </w:rPr>
            </w:pPr>
          </w:p>
        </w:tc>
      </w:tr>
      <w:tr>
        <w:trPr>
          <w:trHeight w:val="216"/>
        </w:trPr>
        <w:tc>
          <w:tcPr>
            <w:tcW w:w="2420" w:type="dxa"/>
            <w:vAlign w:val="bottom"/>
          </w:tcPr>
          <w:p>
            <w:pPr>
              <w:spacing w:after="0"/>
              <w:rPr>
                <w:sz w:val="18"/>
                <w:szCs w:val="18"/>
                <w:color w:val="auto"/>
              </w:rPr>
            </w:pPr>
          </w:p>
        </w:tc>
        <w:tc>
          <w:tcPr>
            <w:tcW w:w="3020" w:type="dxa"/>
            <w:vAlign w:val="bottom"/>
          </w:tcPr>
          <w:p>
            <w:pPr>
              <w:jc w:val="center"/>
              <w:ind w:left="81"/>
              <w:spacing w:after="0" w:line="216" w:lineRule="exact"/>
              <w:rPr>
                <w:sz w:val="20"/>
                <w:szCs w:val="20"/>
                <w:color w:val="auto"/>
              </w:rPr>
            </w:pPr>
            <w:r>
              <w:rPr>
                <w:rFonts w:ascii="Arial" w:cs="Arial" w:eastAsia="Arial" w:hAnsi="Arial"/>
                <w:sz w:val="20"/>
                <w:szCs w:val="20"/>
                <w:color w:val="3E3935"/>
              </w:rPr>
              <w:t>or an accounting</w:t>
            </w:r>
          </w:p>
        </w:tc>
        <w:tc>
          <w:tcPr>
            <w:tcW w:w="288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20" w:type="dxa"/>
            <w:vAlign w:val="bottom"/>
          </w:tcPr>
          <w:p>
            <w:pPr>
              <w:spacing w:after="0"/>
              <w:rPr>
                <w:sz w:val="18"/>
                <w:szCs w:val="18"/>
                <w:color w:val="auto"/>
              </w:rPr>
            </w:pPr>
          </w:p>
        </w:tc>
        <w:tc>
          <w:tcPr>
            <w:tcW w:w="3020" w:type="dxa"/>
            <w:vAlign w:val="bottom"/>
          </w:tcPr>
          <w:p>
            <w:pPr>
              <w:jc w:val="center"/>
              <w:ind w:left="81"/>
              <w:spacing w:after="0" w:line="216" w:lineRule="exact"/>
              <w:rPr>
                <w:sz w:val="20"/>
                <w:szCs w:val="20"/>
                <w:color w:val="auto"/>
              </w:rPr>
            </w:pPr>
            <w:r>
              <w:rPr>
                <w:rFonts w:ascii="Arial" w:cs="Arial" w:eastAsia="Arial" w:hAnsi="Arial"/>
                <w:sz w:val="20"/>
                <w:szCs w:val="20"/>
                <w:color w:val="3E3935"/>
                <w:w w:val="99"/>
              </w:rPr>
              <w:t>restatement, as defined</w:t>
            </w:r>
          </w:p>
        </w:tc>
        <w:tc>
          <w:tcPr>
            <w:tcW w:w="288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1"/>
        </w:trPr>
        <w:tc>
          <w:tcPr>
            <w:tcW w:w="2420" w:type="dxa"/>
            <w:vAlign w:val="bottom"/>
          </w:tcPr>
          <w:p>
            <w:pPr>
              <w:spacing w:after="0"/>
              <w:rPr>
                <w:sz w:val="22"/>
                <w:szCs w:val="22"/>
                <w:color w:val="auto"/>
              </w:rPr>
            </w:pPr>
          </w:p>
        </w:tc>
        <w:tc>
          <w:tcPr>
            <w:tcW w:w="3020" w:type="dxa"/>
            <w:vAlign w:val="bottom"/>
          </w:tcPr>
          <w:p>
            <w:pPr>
              <w:jc w:val="center"/>
              <w:ind w:left="61"/>
              <w:spacing w:after="0"/>
              <w:rPr>
                <w:sz w:val="20"/>
                <w:szCs w:val="20"/>
                <w:color w:val="auto"/>
              </w:rPr>
            </w:pPr>
            <w:r>
              <w:rPr>
                <w:rFonts w:ascii="Arial" w:cs="Arial" w:eastAsia="Arial" w:hAnsi="Arial"/>
                <w:sz w:val="20"/>
                <w:szCs w:val="20"/>
                <w:color w:val="3E3935"/>
                <w:w w:val="98"/>
              </w:rPr>
              <w:t>by the policy</w:t>
            </w:r>
          </w:p>
        </w:tc>
        <w:tc>
          <w:tcPr>
            <w:tcW w:w="2880" w:type="dxa"/>
            <w:vAlign w:val="bottom"/>
          </w:tcPr>
          <w:p>
            <w:pPr>
              <w:spacing w:after="0"/>
              <w:rPr>
                <w:sz w:val="22"/>
                <w:szCs w:val="22"/>
                <w:color w:val="auto"/>
              </w:rPr>
            </w:pPr>
          </w:p>
        </w:tc>
        <w:tc>
          <w:tcPr>
            <w:tcW w:w="27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0"/>
        </w:trPr>
        <w:tc>
          <w:tcPr>
            <w:tcW w:w="2420" w:type="dxa"/>
            <w:vAlign w:val="bottom"/>
            <w:tcBorders>
              <w:bottom w:val="single" w:sz="8" w:color="3E3935"/>
            </w:tcBorders>
          </w:tcPr>
          <w:p>
            <w:pPr>
              <w:spacing w:after="0"/>
              <w:rPr>
                <w:sz w:val="2"/>
                <w:szCs w:val="2"/>
                <w:color w:val="auto"/>
              </w:rPr>
            </w:pPr>
          </w:p>
        </w:tc>
        <w:tc>
          <w:tcPr>
            <w:tcW w:w="3020" w:type="dxa"/>
            <w:vAlign w:val="bottom"/>
            <w:tcBorders>
              <w:bottom w:val="single" w:sz="8" w:color="3E3935"/>
            </w:tcBorders>
          </w:tcPr>
          <w:p>
            <w:pPr>
              <w:spacing w:after="0"/>
              <w:rPr>
                <w:sz w:val="2"/>
                <w:szCs w:val="2"/>
                <w:color w:val="auto"/>
              </w:rPr>
            </w:pPr>
          </w:p>
        </w:tc>
        <w:tc>
          <w:tcPr>
            <w:tcW w:w="2880" w:type="dxa"/>
            <w:vAlign w:val="bottom"/>
            <w:tcBorders>
              <w:bottom w:val="single" w:sz="8" w:color="3E3935"/>
            </w:tcBorders>
          </w:tcPr>
          <w:p>
            <w:pPr>
              <w:spacing w:after="0"/>
              <w:rPr>
                <w:sz w:val="2"/>
                <w:szCs w:val="2"/>
                <w:color w:val="auto"/>
              </w:rPr>
            </w:pPr>
          </w:p>
        </w:tc>
        <w:tc>
          <w:tcPr>
            <w:tcW w:w="2700" w:type="dxa"/>
            <w:vAlign w:val="bottom"/>
            <w:tcBorders>
              <w:bottom w:val="single" w:sz="8" w:color="3E3935"/>
            </w:tcBorders>
          </w:tcPr>
          <w:p>
            <w:pPr>
              <w:spacing w:after="0"/>
              <w:rPr>
                <w:sz w:val="2"/>
                <w:szCs w:val="2"/>
                <w:color w:val="auto"/>
              </w:rPr>
            </w:pPr>
          </w:p>
        </w:tc>
        <w:tc>
          <w:tcPr>
            <w:tcW w:w="0" w:type="dxa"/>
            <w:vAlign w:val="bottom"/>
          </w:tcPr>
          <w:p>
            <w:pPr>
              <w:spacing w:after="0"/>
              <w:rPr>
                <w:sz w:val="1"/>
                <w:szCs w:val="1"/>
                <w:color w:val="auto"/>
              </w:rPr>
            </w:pPr>
          </w:p>
        </w:tc>
      </w:tr>
      <w:tr>
        <w:trPr>
          <w:trHeight w:val="253"/>
        </w:trPr>
        <w:tc>
          <w:tcPr>
            <w:tcW w:w="2420" w:type="dxa"/>
            <w:vAlign w:val="bottom"/>
          </w:tcPr>
          <w:p>
            <w:pPr>
              <w:ind w:left="80"/>
              <w:spacing w:after="0"/>
              <w:rPr>
                <w:sz w:val="20"/>
                <w:szCs w:val="20"/>
                <w:color w:val="auto"/>
              </w:rPr>
            </w:pPr>
            <w:r>
              <w:rPr>
                <w:rFonts w:ascii="Arial" w:cs="Arial" w:eastAsia="Arial" w:hAnsi="Arial"/>
                <w:sz w:val="20"/>
                <w:szCs w:val="20"/>
                <w:b w:val="1"/>
                <w:bCs w:val="1"/>
                <w:color w:val="3E3935"/>
              </w:rPr>
              <w:t>Awards Subject to</w:t>
            </w:r>
          </w:p>
        </w:tc>
        <w:tc>
          <w:tcPr>
            <w:tcW w:w="3020" w:type="dxa"/>
            <w:vAlign w:val="bottom"/>
            <w:vMerge w:val="restart"/>
          </w:tcPr>
          <w:p>
            <w:pPr>
              <w:jc w:val="center"/>
              <w:ind w:left="81"/>
              <w:spacing w:after="0"/>
              <w:rPr>
                <w:sz w:val="20"/>
                <w:szCs w:val="20"/>
                <w:color w:val="auto"/>
              </w:rPr>
            </w:pPr>
            <w:r>
              <w:rPr>
                <w:rFonts w:ascii="Arial" w:cs="Arial" w:eastAsia="Arial" w:hAnsi="Arial"/>
                <w:sz w:val="20"/>
                <w:szCs w:val="20"/>
                <w:color w:val="3E3935"/>
                <w:w w:val="97"/>
              </w:rPr>
              <w:t>STIP, PSUs, RSUs,</w:t>
            </w:r>
          </w:p>
        </w:tc>
        <w:tc>
          <w:tcPr>
            <w:tcW w:w="2880" w:type="dxa"/>
            <w:vAlign w:val="bottom"/>
            <w:vMerge w:val="restart"/>
          </w:tcPr>
          <w:p>
            <w:pPr>
              <w:jc w:val="center"/>
              <w:ind w:left="21"/>
              <w:spacing w:after="0"/>
              <w:rPr>
                <w:sz w:val="20"/>
                <w:szCs w:val="20"/>
                <w:color w:val="auto"/>
              </w:rPr>
            </w:pPr>
            <w:r>
              <w:rPr>
                <w:rFonts w:ascii="Arial" w:cs="Arial" w:eastAsia="Arial" w:hAnsi="Arial"/>
                <w:sz w:val="20"/>
                <w:szCs w:val="20"/>
                <w:color w:val="3E3935"/>
                <w:w w:val="98"/>
              </w:rPr>
              <w:t>PSUs, RSUs, and</w:t>
            </w:r>
          </w:p>
        </w:tc>
        <w:tc>
          <w:tcPr>
            <w:tcW w:w="2700" w:type="dxa"/>
            <w:vAlign w:val="bottom"/>
            <w:vMerge w:val="restart"/>
          </w:tcPr>
          <w:p>
            <w:pPr>
              <w:jc w:val="center"/>
              <w:spacing w:after="0"/>
              <w:rPr>
                <w:sz w:val="20"/>
                <w:szCs w:val="20"/>
                <w:color w:val="auto"/>
              </w:rPr>
            </w:pPr>
            <w:r>
              <w:rPr>
                <w:rFonts w:ascii="Arial" w:cs="Arial" w:eastAsia="Arial" w:hAnsi="Arial"/>
                <w:sz w:val="20"/>
                <w:szCs w:val="20"/>
                <w:color w:val="3E3935"/>
                <w:w w:val="97"/>
              </w:rPr>
              <w:t>STIP, PSUs, RSUs,</w:t>
            </w:r>
          </w:p>
        </w:tc>
        <w:tc>
          <w:tcPr>
            <w:tcW w:w="0" w:type="dxa"/>
            <w:vAlign w:val="bottom"/>
          </w:tcPr>
          <w:p>
            <w:pPr>
              <w:spacing w:after="0"/>
              <w:rPr>
                <w:sz w:val="1"/>
                <w:szCs w:val="1"/>
                <w:color w:val="auto"/>
              </w:rPr>
            </w:pPr>
          </w:p>
        </w:tc>
      </w:tr>
      <w:tr>
        <w:trPr>
          <w:trHeight w:val="205"/>
        </w:trPr>
        <w:tc>
          <w:tcPr>
            <w:tcW w:w="2420" w:type="dxa"/>
            <w:vAlign w:val="bottom"/>
          </w:tcPr>
          <w:p>
            <w:pPr>
              <w:ind w:left="80"/>
              <w:spacing w:after="0" w:line="205" w:lineRule="exact"/>
              <w:rPr>
                <w:sz w:val="20"/>
                <w:szCs w:val="20"/>
                <w:color w:val="auto"/>
              </w:rPr>
            </w:pPr>
            <w:r>
              <w:rPr>
                <w:rFonts w:ascii="Arial" w:cs="Arial" w:eastAsia="Arial" w:hAnsi="Arial"/>
                <w:sz w:val="20"/>
                <w:szCs w:val="20"/>
                <w:b w:val="1"/>
                <w:bCs w:val="1"/>
                <w:color w:val="3E3935"/>
              </w:rPr>
              <w:t>Cancellation,</w:t>
            </w:r>
          </w:p>
        </w:tc>
        <w:tc>
          <w:tcPr>
            <w:tcW w:w="3020" w:type="dxa"/>
            <w:vAlign w:val="bottom"/>
            <w:vMerge w:val="continue"/>
          </w:tcPr>
          <w:p>
            <w:pPr>
              <w:spacing w:after="0"/>
              <w:rPr>
                <w:sz w:val="17"/>
                <w:szCs w:val="17"/>
                <w:color w:val="auto"/>
              </w:rPr>
            </w:pPr>
          </w:p>
        </w:tc>
        <w:tc>
          <w:tcPr>
            <w:tcW w:w="2880" w:type="dxa"/>
            <w:vAlign w:val="bottom"/>
            <w:vMerge w:val="continue"/>
          </w:tcPr>
          <w:p>
            <w:pPr>
              <w:spacing w:after="0"/>
              <w:rPr>
                <w:sz w:val="17"/>
                <w:szCs w:val="17"/>
                <w:color w:val="auto"/>
              </w:rPr>
            </w:pPr>
          </w:p>
        </w:tc>
        <w:tc>
          <w:tcPr>
            <w:tcW w:w="27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420" w:type="dxa"/>
            <w:vAlign w:val="bottom"/>
          </w:tcPr>
          <w:p>
            <w:pPr>
              <w:ind w:left="80"/>
              <w:spacing w:after="0" w:line="228" w:lineRule="exact"/>
              <w:rPr>
                <w:sz w:val="20"/>
                <w:szCs w:val="20"/>
                <w:color w:val="auto"/>
              </w:rPr>
            </w:pPr>
            <w:r>
              <w:rPr>
                <w:rFonts w:ascii="Arial" w:cs="Arial" w:eastAsia="Arial" w:hAnsi="Arial"/>
                <w:sz w:val="20"/>
                <w:szCs w:val="20"/>
                <w:b w:val="1"/>
                <w:bCs w:val="1"/>
                <w:color w:val="3E3935"/>
              </w:rPr>
              <w:t>Forfeiture, and/or</w:t>
            </w:r>
          </w:p>
        </w:tc>
        <w:tc>
          <w:tcPr>
            <w:tcW w:w="3020" w:type="dxa"/>
            <w:vAlign w:val="bottom"/>
          </w:tcPr>
          <w:p>
            <w:pPr>
              <w:jc w:val="center"/>
              <w:ind w:left="81"/>
              <w:spacing w:after="0" w:line="228" w:lineRule="exact"/>
              <w:rPr>
                <w:sz w:val="20"/>
                <w:szCs w:val="20"/>
                <w:color w:val="auto"/>
              </w:rPr>
            </w:pPr>
            <w:r>
              <w:rPr>
                <w:rFonts w:ascii="Arial" w:cs="Arial" w:eastAsia="Arial" w:hAnsi="Arial"/>
                <w:sz w:val="20"/>
                <w:szCs w:val="20"/>
                <w:color w:val="3E3935"/>
                <w:w w:val="97"/>
              </w:rPr>
              <w:t>and Stock Options</w:t>
            </w:r>
          </w:p>
        </w:tc>
        <w:tc>
          <w:tcPr>
            <w:tcW w:w="2880" w:type="dxa"/>
            <w:vAlign w:val="bottom"/>
          </w:tcPr>
          <w:p>
            <w:pPr>
              <w:jc w:val="center"/>
              <w:ind w:left="21"/>
              <w:spacing w:after="0" w:line="228" w:lineRule="exact"/>
              <w:rPr>
                <w:sz w:val="20"/>
                <w:szCs w:val="20"/>
                <w:color w:val="auto"/>
              </w:rPr>
            </w:pPr>
            <w:r>
              <w:rPr>
                <w:rFonts w:ascii="Arial" w:cs="Arial" w:eastAsia="Arial" w:hAnsi="Arial"/>
                <w:sz w:val="20"/>
                <w:szCs w:val="20"/>
                <w:color w:val="3E3935"/>
                <w:w w:val="99"/>
              </w:rPr>
              <w:t>Stock Options</w:t>
            </w:r>
          </w:p>
        </w:tc>
        <w:tc>
          <w:tcPr>
            <w:tcW w:w="2700" w:type="dxa"/>
            <w:vAlign w:val="bottom"/>
          </w:tcPr>
          <w:p>
            <w:pPr>
              <w:jc w:val="center"/>
              <w:spacing w:after="0" w:line="228" w:lineRule="exact"/>
              <w:rPr>
                <w:sz w:val="20"/>
                <w:szCs w:val="20"/>
                <w:color w:val="auto"/>
              </w:rPr>
            </w:pPr>
            <w:r>
              <w:rPr>
                <w:rFonts w:ascii="Arial" w:cs="Arial" w:eastAsia="Arial" w:hAnsi="Arial"/>
                <w:sz w:val="20"/>
                <w:szCs w:val="20"/>
                <w:color w:val="3E3935"/>
                <w:w w:val="99"/>
              </w:rPr>
              <w:t>and Stock Options</w:t>
            </w:r>
          </w:p>
        </w:tc>
        <w:tc>
          <w:tcPr>
            <w:tcW w:w="0" w:type="dxa"/>
            <w:vAlign w:val="bottom"/>
          </w:tcPr>
          <w:p>
            <w:pPr>
              <w:spacing w:after="0"/>
              <w:rPr>
                <w:sz w:val="1"/>
                <w:szCs w:val="1"/>
                <w:color w:val="auto"/>
              </w:rPr>
            </w:pPr>
          </w:p>
        </w:tc>
      </w:tr>
      <w:tr>
        <w:trPr>
          <w:trHeight w:val="273"/>
        </w:trPr>
        <w:tc>
          <w:tcPr>
            <w:tcW w:w="2420" w:type="dxa"/>
            <w:vAlign w:val="bottom"/>
          </w:tcPr>
          <w:p>
            <w:pPr>
              <w:ind w:left="80"/>
              <w:spacing w:after="0"/>
              <w:rPr>
                <w:sz w:val="20"/>
                <w:szCs w:val="20"/>
                <w:color w:val="auto"/>
              </w:rPr>
            </w:pPr>
            <w:r>
              <w:rPr>
                <w:rFonts w:ascii="Arial" w:cs="Arial" w:eastAsia="Arial" w:hAnsi="Arial"/>
                <w:sz w:val="20"/>
                <w:szCs w:val="20"/>
                <w:b w:val="1"/>
                <w:bCs w:val="1"/>
                <w:color w:val="3E3935"/>
              </w:rPr>
              <w:t>Recoupment</w:t>
            </w:r>
          </w:p>
        </w:tc>
        <w:tc>
          <w:tcPr>
            <w:tcW w:w="3020" w:type="dxa"/>
            <w:vAlign w:val="bottom"/>
          </w:tcPr>
          <w:p>
            <w:pPr>
              <w:spacing w:after="0"/>
              <w:rPr>
                <w:sz w:val="23"/>
                <w:szCs w:val="23"/>
                <w:color w:val="auto"/>
              </w:rPr>
            </w:pPr>
          </w:p>
        </w:tc>
        <w:tc>
          <w:tcPr>
            <w:tcW w:w="2880" w:type="dxa"/>
            <w:vAlign w:val="bottom"/>
          </w:tcPr>
          <w:p>
            <w:pPr>
              <w:spacing w:after="0"/>
              <w:rPr>
                <w:sz w:val="23"/>
                <w:szCs w:val="23"/>
                <w:color w:val="auto"/>
              </w:rPr>
            </w:pPr>
          </w:p>
        </w:tc>
        <w:tc>
          <w:tcPr>
            <w:tcW w:w="27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2420" w:type="dxa"/>
            <w:vAlign w:val="bottom"/>
            <w:tcBorders>
              <w:bottom w:val="single" w:sz="8" w:color="0071CE"/>
            </w:tcBorders>
          </w:tcPr>
          <w:p>
            <w:pPr>
              <w:spacing w:after="0" w:line="20" w:lineRule="exact"/>
              <w:rPr>
                <w:sz w:val="1"/>
                <w:szCs w:val="1"/>
                <w:color w:val="auto"/>
              </w:rPr>
            </w:pPr>
          </w:p>
        </w:tc>
        <w:tc>
          <w:tcPr>
            <w:tcW w:w="3020" w:type="dxa"/>
            <w:vAlign w:val="bottom"/>
            <w:tcBorders>
              <w:bottom w:val="single" w:sz="8" w:color="0071CE"/>
            </w:tcBorders>
          </w:tcPr>
          <w:p>
            <w:pPr>
              <w:spacing w:after="0" w:line="20" w:lineRule="exact"/>
              <w:rPr>
                <w:sz w:val="1"/>
                <w:szCs w:val="1"/>
                <w:color w:val="auto"/>
              </w:rPr>
            </w:pPr>
          </w:p>
        </w:tc>
        <w:tc>
          <w:tcPr>
            <w:tcW w:w="2880" w:type="dxa"/>
            <w:vAlign w:val="bottom"/>
            <w:tcBorders>
              <w:bottom w:val="single" w:sz="8" w:color="0071CE"/>
            </w:tcBorders>
          </w:tcPr>
          <w:p>
            <w:pPr>
              <w:spacing w:after="0" w:line="20" w:lineRule="exact"/>
              <w:rPr>
                <w:sz w:val="1"/>
                <w:szCs w:val="1"/>
                <w:color w:val="auto"/>
              </w:rPr>
            </w:pPr>
          </w:p>
        </w:tc>
        <w:tc>
          <w:tcPr>
            <w:tcW w:w="2700" w:type="dxa"/>
            <w:vAlign w:val="bottom"/>
            <w:tcBorders>
              <w:bottom w:val="single" w:sz="8" w:color="0071CE"/>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5" w:lineRule="exact"/>
        <w:rPr>
          <w:sz w:val="20"/>
          <w:szCs w:val="20"/>
          <w:color w:val="auto"/>
        </w:rPr>
      </w:pPr>
    </w:p>
    <w:p>
      <w:pPr>
        <w:ind w:left="660" w:hanging="544"/>
        <w:spacing w:after="0"/>
        <w:tabs>
          <w:tab w:leader="none" w:pos="660" w:val="left"/>
        </w:tabs>
        <w:numPr>
          <w:ilvl w:val="0"/>
          <w:numId w:val="114"/>
        </w:numPr>
        <w:rPr>
          <w:rFonts w:ascii="Times New Roman" w:cs="Times New Roman" w:eastAsia="Times New Roman" w:hAnsi="Times New Roman"/>
          <w:sz w:val="19"/>
          <w:szCs w:val="19"/>
          <w:color w:val="0071CE"/>
        </w:rPr>
      </w:pPr>
      <w:r>
        <w:rPr>
          <w:rFonts w:ascii="Arial" w:cs="Arial" w:eastAsia="Arial" w:hAnsi="Arial"/>
          <w:sz w:val="25"/>
          <w:szCs w:val="25"/>
          <w:color w:val="3E3935"/>
        </w:rPr>
        <w:t>Trading GM Securities</w:t>
      </w:r>
    </w:p>
    <w:p>
      <w:pPr>
        <w:spacing w:after="0" w:line="145" w:lineRule="exact"/>
        <w:rPr>
          <w:sz w:val="20"/>
          <w:szCs w:val="20"/>
          <w:color w:val="auto"/>
        </w:rPr>
      </w:pPr>
    </w:p>
    <w:p>
      <w:pPr>
        <w:jc w:val="both"/>
        <w:ind w:left="120"/>
        <w:spacing w:after="0" w:line="233" w:lineRule="auto"/>
        <w:rPr>
          <w:sz w:val="20"/>
          <w:szCs w:val="20"/>
          <w:color w:val="auto"/>
        </w:rPr>
      </w:pPr>
      <w:r>
        <w:rPr>
          <w:rFonts w:ascii="Arial" w:cs="Arial" w:eastAsia="Arial" w:hAnsi="Arial"/>
          <w:sz w:val="20"/>
          <w:szCs w:val="20"/>
          <w:color w:val="3E3935"/>
        </w:rPr>
        <w:t>Our Insider Trading Policy, which applies to (i) directors, executive officers, and employees of GM, (ii) such persons’ family members, and (iii) GM contractors and consultants who have access to material nonpublic information concerning GM (collectively, “Insiders”), prohibits Insiders from buying or selling GM securities when in possession of material nonpublic information and during other closed periods. Any sale or purchase of common stock by directors, executive officers, and all other senior leaders must be made during pre-established periods after receiving preclearance by a member of the GM legal staff or pursuant to a pre-approved and pre-established Rule 10b5-1 trading plan.</w:t>
      </w:r>
    </w:p>
    <w:p>
      <w:pPr>
        <w:spacing w:after="0" w:line="117" w:lineRule="exact"/>
        <w:rPr>
          <w:sz w:val="20"/>
          <w:szCs w:val="20"/>
          <w:color w:val="auto"/>
        </w:rPr>
      </w:pPr>
    </w:p>
    <w:p>
      <w:pPr>
        <w:ind w:left="10660"/>
        <w:spacing w:after="0"/>
        <w:rPr>
          <w:sz w:val="20"/>
          <w:szCs w:val="20"/>
          <w:color w:val="auto"/>
        </w:rPr>
      </w:pPr>
      <w:r>
        <w:rPr>
          <w:rFonts w:ascii="Arial" w:cs="Arial" w:eastAsia="Arial" w:hAnsi="Arial"/>
          <w:sz w:val="14"/>
          <w:szCs w:val="14"/>
          <w:color w:val="0071CE"/>
        </w:rPr>
        <w:t>71</w:t>
      </w:r>
    </w:p>
    <w:p>
      <w:pPr>
        <w:sectPr>
          <w:pgSz w:w="11900" w:h="16838" w:orient="portrait"/>
          <w:cols w:equalWidth="0" w:num="1">
            <w:col w:w="11140"/>
          </w:cols>
          <w:pgMar w:left="320" w:top="482" w:right="4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6" w:lineRule="exact"/>
        <w:rPr>
          <w:sz w:val="20"/>
          <w:szCs w:val="20"/>
          <w:color w:val="auto"/>
        </w:rPr>
      </w:pPr>
    </w:p>
    <w:p>
      <w:pPr>
        <w:ind w:left="120"/>
        <w:spacing w:after="0" w:line="257" w:lineRule="auto"/>
        <w:rPr>
          <w:sz w:val="20"/>
          <w:szCs w:val="20"/>
          <w:color w:val="auto"/>
        </w:rPr>
      </w:pPr>
      <w:r>
        <w:rPr>
          <w:rFonts w:ascii="Arial" w:cs="Arial" w:eastAsia="Arial" w:hAnsi="Arial"/>
          <w:sz w:val="20"/>
          <w:szCs w:val="20"/>
          <w:color w:val="3E3935"/>
        </w:rPr>
        <w:t xml:space="preserve">Trading in GM derivatives (i.e., puts or calls), engaging in short sales or otherwise engaging in hedging activities, and pledging of GM securities is prohibited for all Insiders. This policy is posted on our website at </w:t>
      </w:r>
      <w:r>
        <w:rPr>
          <w:rFonts w:ascii="Arial" w:cs="Arial" w:eastAsia="Arial" w:hAnsi="Arial"/>
          <w:sz w:val="20"/>
          <w:szCs w:val="20"/>
          <w:i w:val="1"/>
          <w:iCs w:val="1"/>
          <w:color w:val="00C1DE"/>
        </w:rPr>
        <w:t>investor.gm.com/esg</w:t>
      </w:r>
      <w:r>
        <w:rPr>
          <w:rFonts w:ascii="Arial" w:cs="Arial" w:eastAsia="Arial" w:hAnsi="Arial"/>
          <w:sz w:val="20"/>
          <w:szCs w:val="20"/>
          <w:color w:val="3E3935"/>
        </w:rPr>
        <w:t>.</w:t>
      </w:r>
    </w:p>
    <w:p>
      <w:pPr>
        <w:spacing w:after="0" w:line="276" w:lineRule="exact"/>
        <w:rPr>
          <w:sz w:val="20"/>
          <w:szCs w:val="20"/>
          <w:color w:val="auto"/>
        </w:rPr>
      </w:pPr>
    </w:p>
    <w:p>
      <w:pPr>
        <w:ind w:left="660" w:hanging="544"/>
        <w:spacing w:after="0"/>
        <w:tabs>
          <w:tab w:leader="none" w:pos="660" w:val="left"/>
        </w:tabs>
        <w:numPr>
          <w:ilvl w:val="0"/>
          <w:numId w:val="115"/>
        </w:numPr>
        <w:rPr>
          <w:rFonts w:ascii="Times New Roman" w:cs="Times New Roman" w:eastAsia="Times New Roman" w:hAnsi="Times New Roman"/>
          <w:sz w:val="19"/>
          <w:szCs w:val="19"/>
          <w:color w:val="0071CE"/>
        </w:rPr>
      </w:pPr>
      <w:r>
        <w:rPr>
          <w:rFonts w:ascii="Arial" w:cs="Arial" w:eastAsia="Arial" w:hAnsi="Arial"/>
          <w:sz w:val="25"/>
          <w:szCs w:val="25"/>
          <w:color w:val="3E3935"/>
        </w:rPr>
        <w:t>Tax Considerations</w:t>
      </w:r>
    </w:p>
    <w:p>
      <w:pPr>
        <w:spacing w:after="0" w:line="159" w:lineRule="exact"/>
        <w:rPr>
          <w:sz w:val="20"/>
          <w:szCs w:val="20"/>
          <w:color w:val="auto"/>
        </w:rPr>
      </w:pPr>
    </w:p>
    <w:p>
      <w:pPr>
        <w:jc w:val="both"/>
        <w:ind w:left="120" w:right="20"/>
        <w:spacing w:after="0" w:line="231" w:lineRule="auto"/>
        <w:rPr>
          <w:sz w:val="20"/>
          <w:szCs w:val="20"/>
          <w:color w:val="auto"/>
        </w:rPr>
      </w:pPr>
      <w:r>
        <w:rPr>
          <w:rFonts w:ascii="Arial" w:cs="Arial" w:eastAsia="Arial" w:hAnsi="Arial"/>
          <w:sz w:val="20"/>
          <w:szCs w:val="20"/>
          <w:color w:val="3E3935"/>
        </w:rPr>
        <w:t>The Tax Cuts and Jobs Act enacted on December 22, 2017, modified IRC Section 162(m) to, among other things, limit the federal tax deduction for annual individual compensation paid to $1 million for NEOs beginning with the 2018 tax year. Previously, compensation paid in excess of $1 million could be deducted if it was performance-based. The Tax Cuts and Jobs Act includes a transition relief rule in which these changes do not apply to compensation payable pursuant to a written binding contract in effect on November 2, 2017, and is not materially modified after that date. To the extent it is applicable to our existing arrangements, the Compensation Committee may avail itself of this rule. The Compensation Committee continues to closely align executive pay with performance, regardless of the performance-based exception being removed under IRC Section 162(m).</w:t>
      </w:r>
    </w:p>
    <w:p>
      <w:pPr>
        <w:spacing w:after="0" w:line="294" w:lineRule="exact"/>
        <w:rPr>
          <w:sz w:val="20"/>
          <w:szCs w:val="20"/>
          <w:color w:val="auto"/>
        </w:rPr>
      </w:pPr>
    </w:p>
    <w:p>
      <w:pPr>
        <w:ind w:left="660" w:hanging="544"/>
        <w:spacing w:after="0"/>
        <w:tabs>
          <w:tab w:leader="none" w:pos="660" w:val="left"/>
        </w:tabs>
        <w:numPr>
          <w:ilvl w:val="0"/>
          <w:numId w:val="116"/>
        </w:numPr>
        <w:rPr>
          <w:rFonts w:ascii="Times New Roman" w:cs="Times New Roman" w:eastAsia="Times New Roman" w:hAnsi="Times New Roman"/>
          <w:sz w:val="19"/>
          <w:szCs w:val="19"/>
          <w:color w:val="0071CE"/>
        </w:rPr>
      </w:pPr>
      <w:r>
        <w:rPr>
          <w:rFonts w:ascii="Arial" w:cs="Arial" w:eastAsia="Arial" w:hAnsi="Arial"/>
          <w:sz w:val="25"/>
          <w:szCs w:val="25"/>
          <w:color w:val="3E3935"/>
        </w:rPr>
        <w:t>Compensation Committee and Consultant Independence</w:t>
      </w:r>
    </w:p>
    <w:p>
      <w:pPr>
        <w:spacing w:after="0" w:line="159" w:lineRule="exact"/>
        <w:rPr>
          <w:sz w:val="20"/>
          <w:szCs w:val="20"/>
          <w:color w:val="auto"/>
        </w:rPr>
      </w:pPr>
    </w:p>
    <w:p>
      <w:pPr>
        <w:jc w:val="both"/>
        <w:ind w:left="120" w:right="20"/>
        <w:spacing w:after="0" w:line="241" w:lineRule="auto"/>
        <w:rPr>
          <w:sz w:val="20"/>
          <w:szCs w:val="20"/>
          <w:color w:val="auto"/>
        </w:rPr>
      </w:pPr>
      <w:r>
        <w:rPr>
          <w:rFonts w:ascii="Arial" w:cs="Arial" w:eastAsia="Arial" w:hAnsi="Arial"/>
          <w:sz w:val="20"/>
          <w:szCs w:val="20"/>
          <w:color w:val="3E3935"/>
        </w:rPr>
        <w:t>Our Compensation Committee is composed entirely of independent directors as determined by the Board under NYSE and SEC rules, and as defined for various regulatory purposes. Under its charter, the Compensation Committee has the authority to hire outside consultants and advisors at the Company’s expense.</w:t>
      </w:r>
    </w:p>
    <w:p>
      <w:pPr>
        <w:spacing w:after="0" w:line="90" w:lineRule="exact"/>
        <w:rPr>
          <w:sz w:val="20"/>
          <w:szCs w:val="20"/>
          <w:color w:val="auto"/>
        </w:rPr>
      </w:pPr>
    </w:p>
    <w:p>
      <w:pPr>
        <w:jc w:val="both"/>
        <w:ind w:left="120"/>
        <w:spacing w:after="0" w:line="232" w:lineRule="auto"/>
        <w:rPr>
          <w:sz w:val="20"/>
          <w:szCs w:val="20"/>
          <w:color w:val="auto"/>
        </w:rPr>
      </w:pPr>
      <w:r>
        <w:rPr>
          <w:rFonts w:ascii="Arial" w:cs="Arial" w:eastAsia="Arial" w:hAnsi="Arial"/>
          <w:sz w:val="20"/>
          <w:szCs w:val="20"/>
          <w:color w:val="3E3935"/>
        </w:rPr>
        <w:t>For 2022, the Compensation Committee retained the services of Frederic W. Cook &amp; Co., Inc. (“FW Cook”), an independent consultant, for advice related to the compensation of NEOs and other executive compensation-related matters. FW Cook takes direction from, and is solely responsible to, the Compensation Committee and does not provide services to the Company’s management. A representative from FW Cook attended all Compensation Committee meetings, either in person or virtually, consulted with and advised the Compensation Committee members on executive compensation, including the structure and amounts of various pay elements, and developed executive benchmarking data. The Compensation Committee is also aided in its deliberations by in-house legal counsel.</w:t>
      </w:r>
    </w:p>
    <w:p>
      <w:pPr>
        <w:spacing w:after="0" w:line="104" w:lineRule="exact"/>
        <w:rPr>
          <w:sz w:val="20"/>
          <w:szCs w:val="20"/>
          <w:color w:val="auto"/>
        </w:rPr>
      </w:pPr>
    </w:p>
    <w:p>
      <w:pPr>
        <w:jc w:val="both"/>
        <w:ind w:left="120" w:right="20"/>
        <w:spacing w:after="0" w:line="257" w:lineRule="auto"/>
        <w:rPr>
          <w:sz w:val="20"/>
          <w:szCs w:val="20"/>
          <w:color w:val="auto"/>
        </w:rPr>
      </w:pPr>
      <w:r>
        <w:rPr>
          <w:rFonts w:ascii="Arial" w:cs="Arial" w:eastAsia="Arial" w:hAnsi="Arial"/>
          <w:sz w:val="20"/>
          <w:szCs w:val="20"/>
          <w:color w:val="3E3935"/>
        </w:rPr>
        <w:t>The Compensation Committee annually reviews the performance of its compensation consultant and considers the following factors when assessing the independence of FW Cook in accordance with NYSE standards:</w:t>
      </w:r>
    </w:p>
    <w:p>
      <w:pPr>
        <w:spacing w:after="0" w:line="20" w:lineRule="exact"/>
        <w:rPr>
          <w:sz w:val="20"/>
          <w:szCs w:val="20"/>
          <w:color w:val="auto"/>
        </w:rPr>
      </w:pPr>
    </w:p>
    <w:p>
      <w:pPr>
        <w:ind w:left="340" w:hanging="224"/>
        <w:spacing w:after="0"/>
        <w:tabs>
          <w:tab w:leader="none" w:pos="340" w:val="left"/>
        </w:tabs>
        <w:numPr>
          <w:ilvl w:val="0"/>
          <w:numId w:val="117"/>
        </w:numPr>
        <w:rPr>
          <w:rFonts w:ascii="Arial" w:cs="Arial" w:eastAsia="Arial" w:hAnsi="Arial"/>
          <w:sz w:val="18"/>
          <w:szCs w:val="18"/>
          <w:color w:val="00C1DE"/>
        </w:rPr>
      </w:pPr>
      <w:r>
        <w:rPr>
          <w:rFonts w:ascii="Arial" w:cs="Arial" w:eastAsia="Arial" w:hAnsi="Arial"/>
          <w:sz w:val="20"/>
          <w:szCs w:val="20"/>
          <w:color w:val="3E3935"/>
        </w:rPr>
        <w:t>Services provided to GM management outside the services provided to the Compensation Committee;</w:t>
      </w:r>
    </w:p>
    <w:p>
      <w:pPr>
        <w:spacing w:after="0" w:line="67" w:lineRule="exact"/>
        <w:rPr>
          <w:rFonts w:ascii="Arial" w:cs="Arial" w:eastAsia="Arial" w:hAnsi="Arial"/>
          <w:sz w:val="18"/>
          <w:szCs w:val="18"/>
          <w:color w:val="00C1DE"/>
        </w:rPr>
      </w:pPr>
    </w:p>
    <w:p>
      <w:pPr>
        <w:ind w:left="340" w:hanging="224"/>
        <w:spacing w:after="0"/>
        <w:tabs>
          <w:tab w:leader="none" w:pos="340" w:val="left"/>
        </w:tabs>
        <w:numPr>
          <w:ilvl w:val="0"/>
          <w:numId w:val="117"/>
        </w:numPr>
        <w:rPr>
          <w:rFonts w:ascii="Arial" w:cs="Arial" w:eastAsia="Arial" w:hAnsi="Arial"/>
          <w:sz w:val="18"/>
          <w:szCs w:val="18"/>
          <w:color w:val="00C1DE"/>
        </w:rPr>
      </w:pPr>
      <w:r>
        <w:rPr>
          <w:rFonts w:ascii="Arial" w:cs="Arial" w:eastAsia="Arial" w:hAnsi="Arial"/>
          <w:sz w:val="20"/>
          <w:szCs w:val="20"/>
          <w:color w:val="3E3935"/>
        </w:rPr>
        <w:t>Fees paid as a percentage of FW Cook’s total revenue;</w:t>
      </w:r>
    </w:p>
    <w:p>
      <w:pPr>
        <w:spacing w:after="0" w:line="67" w:lineRule="exact"/>
        <w:rPr>
          <w:rFonts w:ascii="Arial" w:cs="Arial" w:eastAsia="Arial" w:hAnsi="Arial"/>
          <w:sz w:val="18"/>
          <w:szCs w:val="18"/>
          <w:color w:val="00C1DE"/>
        </w:rPr>
      </w:pPr>
    </w:p>
    <w:p>
      <w:pPr>
        <w:ind w:left="340" w:hanging="224"/>
        <w:spacing w:after="0"/>
        <w:tabs>
          <w:tab w:leader="none" w:pos="340" w:val="left"/>
        </w:tabs>
        <w:numPr>
          <w:ilvl w:val="0"/>
          <w:numId w:val="117"/>
        </w:numPr>
        <w:rPr>
          <w:rFonts w:ascii="Arial" w:cs="Arial" w:eastAsia="Arial" w:hAnsi="Arial"/>
          <w:sz w:val="18"/>
          <w:szCs w:val="18"/>
          <w:color w:val="00C1DE"/>
        </w:rPr>
      </w:pPr>
      <w:r>
        <w:rPr>
          <w:rFonts w:ascii="Arial" w:cs="Arial" w:eastAsia="Arial" w:hAnsi="Arial"/>
          <w:sz w:val="20"/>
          <w:szCs w:val="20"/>
          <w:color w:val="3E3935"/>
        </w:rPr>
        <w:t>Policies and procedures designed to prevent conflicts of interest;</w:t>
      </w:r>
    </w:p>
    <w:p>
      <w:pPr>
        <w:spacing w:after="0" w:line="67" w:lineRule="exact"/>
        <w:rPr>
          <w:rFonts w:ascii="Arial" w:cs="Arial" w:eastAsia="Arial" w:hAnsi="Arial"/>
          <w:sz w:val="18"/>
          <w:szCs w:val="18"/>
          <w:color w:val="00C1DE"/>
        </w:rPr>
      </w:pPr>
    </w:p>
    <w:p>
      <w:pPr>
        <w:ind w:left="340" w:hanging="224"/>
        <w:spacing w:after="0"/>
        <w:tabs>
          <w:tab w:leader="none" w:pos="340" w:val="left"/>
        </w:tabs>
        <w:numPr>
          <w:ilvl w:val="0"/>
          <w:numId w:val="117"/>
        </w:numPr>
        <w:rPr>
          <w:rFonts w:ascii="Arial" w:cs="Arial" w:eastAsia="Arial" w:hAnsi="Arial"/>
          <w:sz w:val="18"/>
          <w:szCs w:val="18"/>
          <w:color w:val="00C1DE"/>
        </w:rPr>
      </w:pPr>
      <w:r>
        <w:rPr>
          <w:rFonts w:ascii="Arial" w:cs="Arial" w:eastAsia="Arial" w:hAnsi="Arial"/>
          <w:sz w:val="20"/>
          <w:szCs w:val="20"/>
          <w:color w:val="3E3935"/>
        </w:rPr>
        <w:t>Any business or personal relationships between members of the Compensation Committee and FW Cook;</w:t>
      </w:r>
    </w:p>
    <w:p>
      <w:pPr>
        <w:spacing w:after="0" w:line="67" w:lineRule="exact"/>
        <w:rPr>
          <w:rFonts w:ascii="Arial" w:cs="Arial" w:eastAsia="Arial" w:hAnsi="Arial"/>
          <w:sz w:val="18"/>
          <w:szCs w:val="18"/>
          <w:color w:val="00C1DE"/>
        </w:rPr>
      </w:pPr>
    </w:p>
    <w:p>
      <w:pPr>
        <w:ind w:left="340" w:hanging="224"/>
        <w:spacing w:after="0"/>
        <w:tabs>
          <w:tab w:leader="none" w:pos="340" w:val="left"/>
        </w:tabs>
        <w:numPr>
          <w:ilvl w:val="0"/>
          <w:numId w:val="117"/>
        </w:numPr>
        <w:rPr>
          <w:rFonts w:ascii="Arial" w:cs="Arial" w:eastAsia="Arial" w:hAnsi="Arial"/>
          <w:sz w:val="18"/>
          <w:szCs w:val="18"/>
          <w:color w:val="00C1DE"/>
        </w:rPr>
      </w:pPr>
      <w:r>
        <w:rPr>
          <w:rFonts w:ascii="Arial" w:cs="Arial" w:eastAsia="Arial" w:hAnsi="Arial"/>
          <w:sz w:val="20"/>
          <w:szCs w:val="20"/>
          <w:color w:val="3E3935"/>
        </w:rPr>
        <w:t>GM stock ownership by employees of FW Cook; and</w:t>
      </w:r>
    </w:p>
    <w:p>
      <w:pPr>
        <w:spacing w:after="0" w:line="67" w:lineRule="exact"/>
        <w:rPr>
          <w:rFonts w:ascii="Arial" w:cs="Arial" w:eastAsia="Arial" w:hAnsi="Arial"/>
          <w:sz w:val="18"/>
          <w:szCs w:val="18"/>
          <w:color w:val="00C1DE"/>
        </w:rPr>
      </w:pPr>
    </w:p>
    <w:p>
      <w:pPr>
        <w:ind w:left="340" w:hanging="224"/>
        <w:spacing w:after="0"/>
        <w:tabs>
          <w:tab w:leader="none" w:pos="340" w:val="left"/>
        </w:tabs>
        <w:numPr>
          <w:ilvl w:val="0"/>
          <w:numId w:val="117"/>
        </w:numPr>
        <w:rPr>
          <w:rFonts w:ascii="Arial" w:cs="Arial" w:eastAsia="Arial" w:hAnsi="Arial"/>
          <w:sz w:val="18"/>
          <w:szCs w:val="18"/>
          <w:color w:val="00C1DE"/>
        </w:rPr>
      </w:pPr>
      <w:r>
        <w:rPr>
          <w:rFonts w:ascii="Arial" w:cs="Arial" w:eastAsia="Arial" w:hAnsi="Arial"/>
          <w:sz w:val="20"/>
          <w:szCs w:val="20"/>
          <w:color w:val="3E3935"/>
        </w:rPr>
        <w:t>Any business or personal relationships between GM and FW Cook.</w:t>
      </w:r>
    </w:p>
    <w:p>
      <w:pPr>
        <w:spacing w:after="0" w:line="135" w:lineRule="exact"/>
        <w:rPr>
          <w:sz w:val="20"/>
          <w:szCs w:val="20"/>
          <w:color w:val="auto"/>
        </w:rPr>
      </w:pPr>
    </w:p>
    <w:p>
      <w:pPr>
        <w:ind w:left="120" w:right="20"/>
        <w:spacing w:after="0" w:line="257" w:lineRule="auto"/>
        <w:rPr>
          <w:sz w:val="20"/>
          <w:szCs w:val="20"/>
          <w:color w:val="auto"/>
        </w:rPr>
      </w:pPr>
      <w:r>
        <w:rPr>
          <w:rFonts w:ascii="Arial" w:cs="Arial" w:eastAsia="Arial" w:hAnsi="Arial"/>
          <w:sz w:val="20"/>
          <w:szCs w:val="20"/>
          <w:color w:val="3E3935"/>
        </w:rPr>
        <w:t>After reviewing the performance and independence of its consultant, the Compensation Committee determined FW Cook was independent based on the standards above.</w:t>
      </w:r>
    </w:p>
    <w:p>
      <w:pPr>
        <w:spacing w:after="0" w:line="276" w:lineRule="exact"/>
        <w:rPr>
          <w:sz w:val="20"/>
          <w:szCs w:val="20"/>
          <w:color w:val="auto"/>
        </w:rPr>
      </w:pPr>
    </w:p>
    <w:p>
      <w:pPr>
        <w:ind w:left="660" w:hanging="544"/>
        <w:spacing w:after="0"/>
        <w:tabs>
          <w:tab w:leader="none" w:pos="660" w:val="left"/>
        </w:tabs>
        <w:numPr>
          <w:ilvl w:val="0"/>
          <w:numId w:val="118"/>
        </w:numPr>
        <w:rPr>
          <w:rFonts w:ascii="Times New Roman" w:cs="Times New Roman" w:eastAsia="Times New Roman" w:hAnsi="Times New Roman"/>
          <w:sz w:val="19"/>
          <w:szCs w:val="19"/>
          <w:color w:val="0071CE"/>
        </w:rPr>
      </w:pPr>
      <w:r>
        <w:rPr>
          <w:rFonts w:ascii="Arial" w:cs="Arial" w:eastAsia="Arial" w:hAnsi="Arial"/>
          <w:sz w:val="25"/>
          <w:szCs w:val="25"/>
          <w:color w:val="3E3935"/>
        </w:rPr>
        <w:t>Employment and Termination Agreements</w:t>
      </w:r>
    </w:p>
    <w:p>
      <w:pPr>
        <w:spacing w:after="0" w:line="145" w:lineRule="exact"/>
        <w:rPr>
          <w:sz w:val="20"/>
          <w:szCs w:val="20"/>
          <w:color w:val="auto"/>
        </w:rPr>
      </w:pPr>
    </w:p>
    <w:p>
      <w:pPr>
        <w:ind w:left="120" w:right="20"/>
        <w:spacing w:after="0" w:line="257" w:lineRule="auto"/>
        <w:rPr>
          <w:sz w:val="20"/>
          <w:szCs w:val="20"/>
          <w:color w:val="auto"/>
        </w:rPr>
      </w:pPr>
      <w:r>
        <w:rPr>
          <w:rFonts w:ascii="Arial" w:cs="Arial" w:eastAsia="Arial" w:hAnsi="Arial"/>
          <w:sz w:val="20"/>
          <w:szCs w:val="20"/>
          <w:color w:val="3E3935"/>
        </w:rPr>
        <w:t>The Company has no employment or pre-defined termination agreements with any of our 2022 NEOs. All NEOs participate in the General Motors LLC U.S. Executive Severance Program filed as an exhibit to the Company’s 2022 Form 10-K.</w:t>
      </w:r>
    </w:p>
    <w:p>
      <w:pPr>
        <w:spacing w:after="0" w:line="100" w:lineRule="exact"/>
        <w:rPr>
          <w:sz w:val="20"/>
          <w:szCs w:val="20"/>
          <w:color w:val="auto"/>
        </w:rPr>
      </w:pPr>
    </w:p>
    <w:p>
      <w:pPr>
        <w:ind w:left="120"/>
        <w:spacing w:after="0"/>
        <w:rPr>
          <w:sz w:val="20"/>
          <w:szCs w:val="20"/>
          <w:color w:val="auto"/>
        </w:rPr>
      </w:pPr>
      <w:r>
        <w:rPr>
          <w:rFonts w:ascii="Arial" w:cs="Arial" w:eastAsia="Arial" w:hAnsi="Arial"/>
          <w:sz w:val="14"/>
          <w:szCs w:val="14"/>
          <w:color w:val="0071CE"/>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wp:posOffset>
            </wp:positionH>
            <wp:positionV relativeFrom="paragraph">
              <wp:posOffset>-95885</wp:posOffset>
            </wp:positionV>
            <wp:extent cx="5983605" cy="10287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5983605" cy="102870"/>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29"/>
          <w:szCs w:val="29"/>
          <w:color w:val="3E3935"/>
        </w:rPr>
        <w:t>Compensation Committee Report</w:t>
      </w:r>
    </w:p>
    <w:p>
      <w:pPr>
        <w:spacing w:after="0" w:line="163" w:lineRule="exact"/>
        <w:rPr>
          <w:sz w:val="20"/>
          <w:szCs w:val="20"/>
          <w:color w:val="auto"/>
        </w:rPr>
      </w:pPr>
    </w:p>
    <w:p>
      <w:pPr>
        <w:jc w:val="both"/>
        <w:ind w:left="120"/>
        <w:spacing w:after="0" w:line="234" w:lineRule="auto"/>
        <w:rPr>
          <w:sz w:val="20"/>
          <w:szCs w:val="20"/>
          <w:color w:val="auto"/>
        </w:rPr>
      </w:pPr>
      <w:r>
        <w:rPr>
          <w:rFonts w:ascii="Arial" w:cs="Arial" w:eastAsia="Arial" w:hAnsi="Arial"/>
          <w:sz w:val="20"/>
          <w:szCs w:val="20"/>
          <w:color w:val="3E3935"/>
        </w:rPr>
        <w:t>The Compensation Committee has reviewed and discussed with management the Compensation Discussion and Analysis and, based on that review and discussion, has recommended to the Board of Directors that the Compensation Discussion and Analysis be included in this Proxy Statement and incorporated by reference into the Company’s Annual Report on Form 10-K for the year ended December 31, 2022, as filed with the U.S. Securities and Exchange Commission on January 31, 2023.</w:t>
      </w:r>
    </w:p>
    <w:p>
      <w:pPr>
        <w:spacing w:after="0" w:line="200" w:lineRule="exact"/>
        <w:rPr>
          <w:sz w:val="20"/>
          <w:szCs w:val="20"/>
          <w:color w:val="auto"/>
        </w:rPr>
      </w:pPr>
    </w:p>
    <w:p>
      <w:pPr>
        <w:ind w:left="6620"/>
        <w:spacing w:after="0"/>
        <w:rPr>
          <w:sz w:val="20"/>
          <w:szCs w:val="20"/>
          <w:color w:val="auto"/>
        </w:rPr>
      </w:pPr>
      <w:r>
        <w:rPr>
          <w:rFonts w:ascii="Arial" w:cs="Arial" w:eastAsia="Arial" w:hAnsi="Arial"/>
          <w:sz w:val="20"/>
          <w:szCs w:val="20"/>
          <w:b w:val="1"/>
          <w:bCs w:val="1"/>
          <w:color w:val="3E3935"/>
        </w:rPr>
        <w:t>Compensation Committee</w:t>
      </w:r>
    </w:p>
    <w:p>
      <w:pPr>
        <w:spacing w:after="0" w:line="110" w:lineRule="exact"/>
        <w:rPr>
          <w:sz w:val="20"/>
          <w:szCs w:val="20"/>
          <w:color w:val="auto"/>
        </w:rPr>
      </w:pPr>
    </w:p>
    <w:p>
      <w:pPr>
        <w:ind w:left="6620"/>
        <w:spacing w:after="0"/>
        <w:rPr>
          <w:sz w:val="20"/>
          <w:szCs w:val="20"/>
          <w:color w:val="auto"/>
        </w:rPr>
      </w:pPr>
      <w:r>
        <w:rPr>
          <w:rFonts w:ascii="Arial" w:cs="Arial" w:eastAsia="Arial" w:hAnsi="Arial"/>
          <w:sz w:val="20"/>
          <w:szCs w:val="20"/>
          <w:color w:val="3E3935"/>
        </w:rPr>
        <w:t>Wesley G. Bush (Chair)</w:t>
      </w:r>
    </w:p>
    <w:p>
      <w:pPr>
        <w:ind w:left="6620"/>
        <w:spacing w:after="0" w:line="229" w:lineRule="auto"/>
        <w:rPr>
          <w:sz w:val="20"/>
          <w:szCs w:val="20"/>
          <w:color w:val="auto"/>
        </w:rPr>
      </w:pPr>
      <w:r>
        <w:rPr>
          <w:rFonts w:ascii="Arial" w:cs="Arial" w:eastAsia="Arial" w:hAnsi="Arial"/>
          <w:sz w:val="20"/>
          <w:szCs w:val="20"/>
          <w:color w:val="3E3935"/>
        </w:rPr>
        <w:t>Aneel Bhusri</w:t>
      </w:r>
    </w:p>
    <w:p>
      <w:pPr>
        <w:ind w:left="6620"/>
        <w:spacing w:after="0" w:line="226" w:lineRule="auto"/>
        <w:rPr>
          <w:sz w:val="20"/>
          <w:szCs w:val="20"/>
          <w:color w:val="auto"/>
        </w:rPr>
      </w:pPr>
      <w:r>
        <w:rPr>
          <w:rFonts w:ascii="Arial" w:cs="Arial" w:eastAsia="Arial" w:hAnsi="Arial"/>
          <w:sz w:val="20"/>
          <w:szCs w:val="20"/>
          <w:color w:val="3E3935"/>
        </w:rPr>
        <w:t>Joseph Jimenez</w:t>
      </w:r>
    </w:p>
    <w:p>
      <w:pPr>
        <w:ind w:left="6620"/>
        <w:spacing w:after="0" w:line="225" w:lineRule="auto"/>
        <w:rPr>
          <w:sz w:val="20"/>
          <w:szCs w:val="20"/>
          <w:color w:val="auto"/>
        </w:rPr>
      </w:pPr>
      <w:r>
        <w:rPr>
          <w:rFonts w:ascii="Arial" w:cs="Arial" w:eastAsia="Arial" w:hAnsi="Arial"/>
          <w:sz w:val="20"/>
          <w:szCs w:val="20"/>
          <w:color w:val="3E3935"/>
        </w:rPr>
        <w:t>Patricia F. Russo</w:t>
      </w:r>
    </w:p>
    <w:p>
      <w:pPr>
        <w:ind w:left="6620"/>
        <w:spacing w:after="0"/>
        <w:rPr>
          <w:sz w:val="20"/>
          <w:szCs w:val="20"/>
          <w:color w:val="auto"/>
        </w:rPr>
      </w:pPr>
      <w:r>
        <w:rPr>
          <w:rFonts w:ascii="Arial" w:cs="Arial" w:eastAsia="Arial" w:hAnsi="Arial"/>
          <w:sz w:val="20"/>
          <w:szCs w:val="20"/>
          <w:color w:val="3E3935"/>
        </w:rPr>
        <w:t>Carol M. Stephenson</w:t>
      </w:r>
    </w:p>
    <w:p>
      <w:pPr>
        <w:spacing w:after="0" w:line="142" w:lineRule="exact"/>
        <w:rPr>
          <w:sz w:val="20"/>
          <w:szCs w:val="20"/>
          <w:color w:val="auto"/>
        </w:rPr>
      </w:pPr>
    </w:p>
    <w:p>
      <w:pPr>
        <w:ind w:left="10660"/>
        <w:spacing w:after="0"/>
        <w:rPr>
          <w:sz w:val="20"/>
          <w:szCs w:val="20"/>
          <w:color w:val="auto"/>
        </w:rPr>
      </w:pPr>
      <w:r>
        <w:rPr>
          <w:rFonts w:ascii="Arial" w:cs="Arial" w:eastAsia="Arial" w:hAnsi="Arial"/>
          <w:sz w:val="14"/>
          <w:szCs w:val="14"/>
          <w:color w:val="0071CE"/>
        </w:rPr>
        <w:t>73</w:t>
      </w:r>
    </w:p>
    <w:p>
      <w:pPr>
        <w:sectPr>
          <w:pgSz w:w="11900" w:h="16838" w:orient="portrait"/>
          <w:cols w:equalWidth="0" w:num="1">
            <w:col w:w="11140"/>
          </w:cols>
          <w:pgMar w:left="320" w:top="482" w:right="4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98" w:lineRule="exact"/>
        <w:rPr>
          <w:sz w:val="20"/>
          <w:szCs w:val="20"/>
          <w:color w:val="auto"/>
        </w:rPr>
      </w:pPr>
    </w:p>
    <w:p>
      <w:pPr>
        <w:ind w:left="120"/>
        <w:spacing w:after="0"/>
        <w:rPr>
          <w:sz w:val="20"/>
          <w:szCs w:val="20"/>
          <w:color w:val="auto"/>
        </w:rPr>
      </w:pPr>
      <w:r>
        <w:rPr>
          <w:rFonts w:ascii="Arial" w:cs="Arial" w:eastAsia="Arial" w:hAnsi="Arial"/>
          <w:sz w:val="32"/>
          <w:szCs w:val="32"/>
          <w:b w:val="1"/>
          <w:bCs w:val="1"/>
          <w:color w:val="0071CE"/>
        </w:rPr>
        <w:t>EXECUTIVE COMPENSATION TABLES</w:t>
      </w:r>
    </w:p>
    <w:p>
      <w:pPr>
        <w:spacing w:after="0" w:line="157" w:lineRule="exact"/>
        <w:rPr>
          <w:sz w:val="20"/>
          <w:szCs w:val="20"/>
          <w:color w:val="auto"/>
        </w:rPr>
      </w:pPr>
    </w:p>
    <w:p>
      <w:pPr>
        <w:ind w:left="120"/>
        <w:spacing w:after="0"/>
        <w:rPr>
          <w:sz w:val="20"/>
          <w:szCs w:val="20"/>
          <w:color w:val="auto"/>
        </w:rPr>
      </w:pPr>
      <w:r>
        <w:rPr>
          <w:rFonts w:ascii="Arial" w:cs="Arial" w:eastAsia="Arial" w:hAnsi="Arial"/>
          <w:sz w:val="31"/>
          <w:szCs w:val="31"/>
          <w:color w:val="3E3935"/>
        </w:rPr>
        <w:t>Summary Compensation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179705</wp:posOffset>
            </wp:positionV>
            <wp:extent cx="6995160" cy="825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00" w:lineRule="exact"/>
        <w:rPr>
          <w:sz w:val="20"/>
          <w:szCs w:val="20"/>
          <w:color w:val="auto"/>
        </w:rPr>
      </w:pPr>
    </w:p>
    <w:tbl>
      <w:tblPr>
        <w:tblLayout w:type="fixed"/>
        <w:tblInd w:w="120" w:type="dxa"/>
        <w:tblCellMar>
          <w:top w:w="0" w:type="dxa"/>
          <w:left w:w="0" w:type="dxa"/>
          <w:bottom w:w="0" w:type="dxa"/>
          <w:right w:w="0" w:type="dxa"/>
        </w:tblCellMar>
      </w:tblPr>
      <w:tr>
        <w:trPr>
          <w:trHeight w:val="172"/>
        </w:trPr>
        <w:tc>
          <w:tcPr>
            <w:tcW w:w="2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240" w:type="dxa"/>
            <w:vAlign w:val="bottom"/>
          </w:tcPr>
          <w:p>
            <w:pPr>
              <w:jc w:val="right"/>
              <w:ind w:right="27"/>
              <w:spacing w:after="0"/>
              <w:rPr>
                <w:sz w:val="20"/>
                <w:szCs w:val="20"/>
                <w:color w:val="auto"/>
              </w:rPr>
            </w:pPr>
            <w:r>
              <w:rPr>
                <w:rFonts w:ascii="Arial" w:cs="Arial" w:eastAsia="Arial" w:hAnsi="Arial"/>
                <w:sz w:val="15"/>
                <w:szCs w:val="15"/>
                <w:b w:val="1"/>
                <w:bCs w:val="1"/>
                <w:color w:val="00C1DE"/>
              </w:rPr>
              <w:t>Change in</w:t>
            </w:r>
          </w:p>
        </w:tc>
        <w:tc>
          <w:tcPr>
            <w:tcW w:w="13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240" w:type="dxa"/>
            <w:vAlign w:val="bottom"/>
          </w:tcPr>
          <w:p>
            <w:pPr>
              <w:jc w:val="right"/>
              <w:ind w:right="27"/>
              <w:spacing w:after="0" w:line="162" w:lineRule="exact"/>
              <w:rPr>
                <w:sz w:val="20"/>
                <w:szCs w:val="20"/>
                <w:color w:val="auto"/>
              </w:rPr>
            </w:pPr>
            <w:r>
              <w:rPr>
                <w:rFonts w:ascii="Arial" w:cs="Arial" w:eastAsia="Arial" w:hAnsi="Arial"/>
                <w:sz w:val="15"/>
                <w:szCs w:val="15"/>
                <w:b w:val="1"/>
                <w:bCs w:val="1"/>
                <w:color w:val="00C1DE"/>
              </w:rPr>
              <w:t>Pension</w:t>
            </w:r>
          </w:p>
        </w:tc>
        <w:tc>
          <w:tcPr>
            <w:tcW w:w="13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0" w:type="dxa"/>
            <w:vAlign w:val="bottom"/>
            <w:vMerge w:val="restart"/>
          </w:tcPr>
          <w:p>
            <w:pPr>
              <w:jc w:val="right"/>
              <w:ind w:right="27"/>
              <w:spacing w:after="0"/>
              <w:rPr>
                <w:sz w:val="20"/>
                <w:szCs w:val="20"/>
                <w:color w:val="auto"/>
              </w:rPr>
            </w:pPr>
            <w:r>
              <w:rPr>
                <w:rFonts w:ascii="Arial" w:cs="Arial" w:eastAsia="Arial" w:hAnsi="Arial"/>
                <w:sz w:val="15"/>
                <w:szCs w:val="15"/>
                <w:b w:val="1"/>
                <w:bCs w:val="1"/>
                <w:color w:val="00C1DE"/>
              </w:rPr>
              <w:t>Nonequity</w:t>
            </w:r>
          </w:p>
        </w:tc>
        <w:tc>
          <w:tcPr>
            <w:tcW w:w="1240" w:type="dxa"/>
            <w:vAlign w:val="bottom"/>
          </w:tcPr>
          <w:p>
            <w:pPr>
              <w:jc w:val="right"/>
              <w:ind w:right="27"/>
              <w:spacing w:after="0" w:line="162" w:lineRule="exact"/>
              <w:rPr>
                <w:sz w:val="20"/>
                <w:szCs w:val="20"/>
                <w:color w:val="auto"/>
              </w:rPr>
            </w:pPr>
            <w:r>
              <w:rPr>
                <w:rFonts w:ascii="Arial" w:cs="Arial" w:eastAsia="Arial" w:hAnsi="Arial"/>
                <w:sz w:val="15"/>
                <w:szCs w:val="15"/>
                <w:b w:val="1"/>
                <w:bCs w:val="1"/>
                <w:color w:val="00C1DE"/>
              </w:rPr>
              <w:t>Value and</w:t>
            </w:r>
          </w:p>
        </w:tc>
        <w:tc>
          <w:tcPr>
            <w:tcW w:w="13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160" w:type="dxa"/>
            <w:vAlign w:val="bottom"/>
            <w:vMerge w:val="restart"/>
          </w:tcPr>
          <w:p>
            <w:pPr>
              <w:ind w:left="80"/>
              <w:spacing w:after="0"/>
              <w:rPr>
                <w:sz w:val="20"/>
                <w:szCs w:val="20"/>
                <w:color w:val="auto"/>
              </w:rPr>
            </w:pPr>
            <w:r>
              <w:rPr>
                <w:rFonts w:ascii="Arial" w:cs="Arial" w:eastAsia="Arial" w:hAnsi="Arial"/>
                <w:sz w:val="15"/>
                <w:szCs w:val="15"/>
                <w:b w:val="1"/>
                <w:bCs w:val="1"/>
                <w:color w:val="00C1DE"/>
              </w:rPr>
              <w:t>Name and</w:t>
            </w:r>
          </w:p>
        </w:tc>
        <w:tc>
          <w:tcPr>
            <w:tcW w:w="6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20" w:type="dxa"/>
            <w:vAlign w:val="bottom"/>
            <w:vMerge w:val="restart"/>
          </w:tcPr>
          <w:p>
            <w:pPr>
              <w:jc w:val="right"/>
              <w:ind w:right="7"/>
              <w:spacing w:after="0"/>
              <w:rPr>
                <w:sz w:val="20"/>
                <w:szCs w:val="20"/>
                <w:color w:val="auto"/>
              </w:rPr>
            </w:pPr>
            <w:r>
              <w:rPr>
                <w:rFonts w:ascii="Arial" w:cs="Arial" w:eastAsia="Arial" w:hAnsi="Arial"/>
                <w:sz w:val="15"/>
                <w:szCs w:val="15"/>
                <w:b w:val="1"/>
                <w:bCs w:val="1"/>
                <w:color w:val="00C1DE"/>
              </w:rPr>
              <w:t>Stock</w:t>
            </w:r>
          </w:p>
        </w:tc>
        <w:tc>
          <w:tcPr>
            <w:tcW w:w="880" w:type="dxa"/>
            <w:vAlign w:val="bottom"/>
            <w:vMerge w:val="restart"/>
          </w:tcPr>
          <w:p>
            <w:pPr>
              <w:jc w:val="right"/>
              <w:ind w:right="7"/>
              <w:spacing w:after="0"/>
              <w:rPr>
                <w:sz w:val="20"/>
                <w:szCs w:val="20"/>
                <w:color w:val="auto"/>
              </w:rPr>
            </w:pPr>
            <w:r>
              <w:rPr>
                <w:rFonts w:ascii="Arial" w:cs="Arial" w:eastAsia="Arial" w:hAnsi="Arial"/>
                <w:sz w:val="15"/>
                <w:szCs w:val="15"/>
                <w:b w:val="1"/>
                <w:bCs w:val="1"/>
                <w:color w:val="00C1DE"/>
              </w:rPr>
              <w:t>Option</w:t>
            </w:r>
          </w:p>
        </w:tc>
        <w:tc>
          <w:tcPr>
            <w:tcW w:w="1400" w:type="dxa"/>
            <w:vAlign w:val="bottom"/>
            <w:vMerge w:val="continue"/>
          </w:tcPr>
          <w:p>
            <w:pPr>
              <w:spacing w:after="0"/>
              <w:rPr>
                <w:sz w:val="14"/>
                <w:szCs w:val="14"/>
                <w:color w:val="auto"/>
              </w:rPr>
            </w:pPr>
          </w:p>
        </w:tc>
        <w:tc>
          <w:tcPr>
            <w:tcW w:w="1240" w:type="dxa"/>
            <w:vAlign w:val="bottom"/>
          </w:tcPr>
          <w:p>
            <w:pPr>
              <w:jc w:val="right"/>
              <w:ind w:right="27"/>
              <w:spacing w:after="0" w:line="162" w:lineRule="exact"/>
              <w:rPr>
                <w:sz w:val="20"/>
                <w:szCs w:val="20"/>
                <w:color w:val="auto"/>
              </w:rPr>
            </w:pPr>
            <w:r>
              <w:rPr>
                <w:rFonts w:ascii="Arial" w:cs="Arial" w:eastAsia="Arial" w:hAnsi="Arial"/>
                <w:sz w:val="15"/>
                <w:szCs w:val="15"/>
                <w:b w:val="1"/>
                <w:bCs w:val="1"/>
                <w:color w:val="00C1DE"/>
              </w:rPr>
              <w:t>NQ Deferred</w:t>
            </w:r>
          </w:p>
        </w:tc>
        <w:tc>
          <w:tcPr>
            <w:tcW w:w="1380" w:type="dxa"/>
            <w:vAlign w:val="bottom"/>
            <w:vMerge w:val="restart"/>
          </w:tcPr>
          <w:p>
            <w:pPr>
              <w:jc w:val="right"/>
              <w:ind w:right="7"/>
              <w:spacing w:after="0"/>
              <w:rPr>
                <w:sz w:val="20"/>
                <w:szCs w:val="20"/>
                <w:color w:val="auto"/>
              </w:rPr>
            </w:pPr>
            <w:r>
              <w:rPr>
                <w:rFonts w:ascii="Arial" w:cs="Arial" w:eastAsia="Arial" w:hAnsi="Arial"/>
                <w:sz w:val="15"/>
                <w:szCs w:val="15"/>
                <w:b w:val="1"/>
                <w:bCs w:val="1"/>
                <w:color w:val="00C1DE"/>
              </w:rPr>
              <w:t>All Other</w:t>
            </w: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160" w:type="dxa"/>
            <w:vAlign w:val="bottom"/>
            <w:vMerge w:val="continue"/>
          </w:tcPr>
          <w:p>
            <w:pPr>
              <w:spacing w:after="0"/>
              <w:rPr>
                <w:sz w:val="14"/>
                <w:szCs w:val="14"/>
                <w:color w:val="auto"/>
              </w:rPr>
            </w:pPr>
          </w:p>
        </w:tc>
        <w:tc>
          <w:tcPr>
            <w:tcW w:w="600" w:type="dxa"/>
            <w:vAlign w:val="bottom"/>
          </w:tcPr>
          <w:p>
            <w:pPr>
              <w:spacing w:after="0"/>
              <w:rPr>
                <w:sz w:val="14"/>
                <w:szCs w:val="14"/>
                <w:color w:val="auto"/>
              </w:rPr>
            </w:pPr>
          </w:p>
        </w:tc>
        <w:tc>
          <w:tcPr>
            <w:tcW w:w="840" w:type="dxa"/>
            <w:vAlign w:val="bottom"/>
            <w:vMerge w:val="restart"/>
          </w:tcPr>
          <w:p>
            <w:pPr>
              <w:jc w:val="right"/>
              <w:ind w:right="28"/>
              <w:spacing w:after="0"/>
              <w:rPr>
                <w:sz w:val="20"/>
                <w:szCs w:val="20"/>
                <w:color w:val="auto"/>
              </w:rPr>
            </w:pPr>
            <w:r>
              <w:rPr>
                <w:rFonts w:ascii="Arial" w:cs="Arial" w:eastAsia="Arial" w:hAnsi="Arial"/>
                <w:sz w:val="15"/>
                <w:szCs w:val="15"/>
                <w:b w:val="1"/>
                <w:bCs w:val="1"/>
                <w:color w:val="00C1DE"/>
              </w:rPr>
              <w:t>Salary</w:t>
            </w:r>
          </w:p>
        </w:tc>
        <w:tc>
          <w:tcPr>
            <w:tcW w:w="680" w:type="dxa"/>
            <w:vAlign w:val="bottom"/>
            <w:vMerge w:val="restart"/>
          </w:tcPr>
          <w:p>
            <w:pPr>
              <w:jc w:val="right"/>
              <w:ind w:right="48"/>
              <w:spacing w:after="0"/>
              <w:rPr>
                <w:sz w:val="20"/>
                <w:szCs w:val="20"/>
                <w:color w:val="auto"/>
              </w:rPr>
            </w:pPr>
            <w:r>
              <w:rPr>
                <w:rFonts w:ascii="Arial" w:cs="Arial" w:eastAsia="Arial" w:hAnsi="Arial"/>
                <w:sz w:val="15"/>
                <w:szCs w:val="15"/>
                <w:b w:val="1"/>
                <w:bCs w:val="1"/>
                <w:color w:val="00C1DE"/>
              </w:rPr>
              <w:t>Bonus</w:t>
            </w:r>
          </w:p>
        </w:tc>
        <w:tc>
          <w:tcPr>
            <w:tcW w:w="92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1400" w:type="dxa"/>
            <w:vAlign w:val="bottom"/>
          </w:tcPr>
          <w:p>
            <w:pPr>
              <w:jc w:val="right"/>
              <w:ind w:right="27"/>
              <w:spacing w:after="0" w:line="162" w:lineRule="exact"/>
              <w:rPr>
                <w:sz w:val="20"/>
                <w:szCs w:val="20"/>
                <w:color w:val="auto"/>
              </w:rPr>
            </w:pPr>
            <w:r>
              <w:rPr>
                <w:rFonts w:ascii="Arial" w:cs="Arial" w:eastAsia="Arial" w:hAnsi="Arial"/>
                <w:sz w:val="15"/>
                <w:szCs w:val="15"/>
                <w:b w:val="1"/>
                <w:bCs w:val="1"/>
                <w:color w:val="00C1DE"/>
              </w:rPr>
              <w:t>Incentive Plan</w:t>
            </w:r>
          </w:p>
        </w:tc>
        <w:tc>
          <w:tcPr>
            <w:tcW w:w="1240" w:type="dxa"/>
            <w:vAlign w:val="bottom"/>
          </w:tcPr>
          <w:p>
            <w:pPr>
              <w:jc w:val="right"/>
              <w:ind w:right="27"/>
              <w:spacing w:after="0" w:line="162" w:lineRule="exact"/>
              <w:rPr>
                <w:sz w:val="20"/>
                <w:szCs w:val="20"/>
                <w:color w:val="auto"/>
              </w:rPr>
            </w:pPr>
            <w:r>
              <w:rPr>
                <w:rFonts w:ascii="Arial" w:cs="Arial" w:eastAsia="Arial" w:hAnsi="Arial"/>
                <w:sz w:val="15"/>
                <w:szCs w:val="15"/>
                <w:b w:val="1"/>
                <w:bCs w:val="1"/>
                <w:color w:val="00C1DE"/>
              </w:rPr>
              <w:t>Compensation</w:t>
            </w:r>
          </w:p>
        </w:tc>
        <w:tc>
          <w:tcPr>
            <w:tcW w:w="1380" w:type="dxa"/>
            <w:vAlign w:val="bottom"/>
            <w:vMerge w:val="continue"/>
          </w:tcPr>
          <w:p>
            <w:pPr>
              <w:spacing w:after="0"/>
              <w:rPr>
                <w:sz w:val="14"/>
                <w:szCs w:val="14"/>
                <w:color w:val="auto"/>
              </w:rPr>
            </w:pPr>
          </w:p>
        </w:tc>
        <w:tc>
          <w:tcPr>
            <w:tcW w:w="920" w:type="dxa"/>
            <w:vAlign w:val="bottom"/>
            <w:vMerge w:val="restart"/>
          </w:tcPr>
          <w:p>
            <w:pPr>
              <w:jc w:val="right"/>
              <w:ind w:right="48"/>
              <w:spacing w:after="0"/>
              <w:rPr>
                <w:sz w:val="20"/>
                <w:szCs w:val="20"/>
                <w:color w:val="auto"/>
              </w:rPr>
            </w:pPr>
            <w:r>
              <w:rPr>
                <w:rFonts w:ascii="Arial" w:cs="Arial" w:eastAsia="Arial" w:hAnsi="Arial"/>
                <w:sz w:val="15"/>
                <w:szCs w:val="15"/>
                <w:b w:val="1"/>
                <w:bCs w:val="1"/>
                <w:color w:val="00C1DE"/>
              </w:rPr>
              <w:t>Total</w:t>
            </w:r>
          </w:p>
        </w:tc>
        <w:tc>
          <w:tcPr>
            <w:tcW w:w="0" w:type="dxa"/>
            <w:vAlign w:val="bottom"/>
          </w:tcPr>
          <w:p>
            <w:pPr>
              <w:spacing w:after="0"/>
              <w:rPr>
                <w:sz w:val="1"/>
                <w:szCs w:val="1"/>
                <w:color w:val="auto"/>
              </w:rPr>
            </w:pPr>
          </w:p>
        </w:tc>
      </w:tr>
      <w:tr>
        <w:trPr>
          <w:trHeight w:val="162"/>
        </w:trPr>
        <w:tc>
          <w:tcPr>
            <w:tcW w:w="2160" w:type="dxa"/>
            <w:vAlign w:val="bottom"/>
          </w:tcPr>
          <w:p>
            <w:pPr>
              <w:ind w:left="80"/>
              <w:spacing w:after="0" w:line="162" w:lineRule="exact"/>
              <w:rPr>
                <w:sz w:val="20"/>
                <w:szCs w:val="20"/>
                <w:color w:val="auto"/>
              </w:rPr>
            </w:pPr>
            <w:r>
              <w:rPr>
                <w:rFonts w:ascii="Arial" w:cs="Arial" w:eastAsia="Arial" w:hAnsi="Arial"/>
                <w:sz w:val="15"/>
                <w:szCs w:val="15"/>
                <w:b w:val="1"/>
                <w:bCs w:val="1"/>
                <w:color w:val="00C1DE"/>
              </w:rPr>
              <w:t>Principal</w:t>
            </w:r>
          </w:p>
        </w:tc>
        <w:tc>
          <w:tcPr>
            <w:tcW w:w="600" w:type="dxa"/>
            <w:vAlign w:val="bottom"/>
            <w:vMerge w:val="restart"/>
          </w:tcPr>
          <w:p>
            <w:pPr>
              <w:ind w:left="160"/>
              <w:spacing w:after="0"/>
              <w:rPr>
                <w:sz w:val="20"/>
                <w:szCs w:val="20"/>
                <w:color w:val="auto"/>
              </w:rPr>
            </w:pPr>
            <w:r>
              <w:rPr>
                <w:rFonts w:ascii="Arial" w:cs="Arial" w:eastAsia="Arial" w:hAnsi="Arial"/>
                <w:sz w:val="15"/>
                <w:szCs w:val="15"/>
                <w:b w:val="1"/>
                <w:bCs w:val="1"/>
                <w:color w:val="00C1DE"/>
              </w:rPr>
              <w:t>Year</w:t>
            </w:r>
          </w:p>
        </w:tc>
        <w:tc>
          <w:tcPr>
            <w:tcW w:w="840" w:type="dxa"/>
            <w:vAlign w:val="bottom"/>
            <w:vMerge w:val="continue"/>
          </w:tcPr>
          <w:p>
            <w:pPr>
              <w:spacing w:after="0"/>
              <w:rPr>
                <w:sz w:val="14"/>
                <w:szCs w:val="14"/>
                <w:color w:val="auto"/>
              </w:rPr>
            </w:pPr>
          </w:p>
        </w:tc>
        <w:tc>
          <w:tcPr>
            <w:tcW w:w="680" w:type="dxa"/>
            <w:vAlign w:val="bottom"/>
            <w:vMerge w:val="continue"/>
          </w:tcPr>
          <w:p>
            <w:pPr>
              <w:spacing w:after="0"/>
              <w:rPr>
                <w:sz w:val="14"/>
                <w:szCs w:val="14"/>
                <w:color w:val="auto"/>
              </w:rPr>
            </w:pPr>
          </w:p>
        </w:tc>
        <w:tc>
          <w:tcPr>
            <w:tcW w:w="920" w:type="dxa"/>
            <w:vAlign w:val="bottom"/>
          </w:tcPr>
          <w:p>
            <w:pPr>
              <w:jc w:val="right"/>
              <w:ind w:right="7"/>
              <w:spacing w:after="0" w:line="162" w:lineRule="exact"/>
              <w:rPr>
                <w:sz w:val="20"/>
                <w:szCs w:val="20"/>
                <w:color w:val="auto"/>
              </w:rPr>
            </w:pPr>
            <w:r>
              <w:rPr>
                <w:rFonts w:ascii="Arial" w:cs="Arial" w:eastAsia="Arial" w:hAnsi="Arial"/>
                <w:sz w:val="15"/>
                <w:szCs w:val="15"/>
                <w:b w:val="1"/>
                <w:bCs w:val="1"/>
                <w:color w:val="00C1DE"/>
              </w:rPr>
              <w:t>Awards</w:t>
            </w:r>
            <w:r>
              <w:rPr>
                <w:rFonts w:ascii="Arial" w:cs="Arial" w:eastAsia="Arial" w:hAnsi="Arial"/>
                <w:sz w:val="11"/>
                <w:szCs w:val="11"/>
                <w:b w:val="1"/>
                <w:bCs w:val="1"/>
                <w:color w:val="00C1DE"/>
              </w:rPr>
              <w:t>(2)</w:t>
            </w:r>
          </w:p>
        </w:tc>
        <w:tc>
          <w:tcPr>
            <w:tcW w:w="880" w:type="dxa"/>
            <w:vAlign w:val="bottom"/>
          </w:tcPr>
          <w:p>
            <w:pPr>
              <w:jc w:val="right"/>
              <w:ind w:right="7"/>
              <w:spacing w:after="0" w:line="162" w:lineRule="exact"/>
              <w:rPr>
                <w:sz w:val="20"/>
                <w:szCs w:val="20"/>
                <w:color w:val="auto"/>
              </w:rPr>
            </w:pPr>
            <w:r>
              <w:rPr>
                <w:rFonts w:ascii="Arial" w:cs="Arial" w:eastAsia="Arial" w:hAnsi="Arial"/>
                <w:sz w:val="15"/>
                <w:szCs w:val="15"/>
                <w:b w:val="1"/>
                <w:bCs w:val="1"/>
                <w:color w:val="00C1DE"/>
              </w:rPr>
              <w:t>Awards</w:t>
            </w:r>
            <w:r>
              <w:rPr>
                <w:rFonts w:ascii="Arial" w:cs="Arial" w:eastAsia="Arial" w:hAnsi="Arial"/>
                <w:sz w:val="11"/>
                <w:szCs w:val="11"/>
                <w:b w:val="1"/>
                <w:bCs w:val="1"/>
                <w:color w:val="00C1DE"/>
              </w:rPr>
              <w:t>(3)</w:t>
            </w:r>
          </w:p>
        </w:tc>
        <w:tc>
          <w:tcPr>
            <w:tcW w:w="1400" w:type="dxa"/>
            <w:vAlign w:val="bottom"/>
          </w:tcPr>
          <w:p>
            <w:pPr>
              <w:jc w:val="right"/>
              <w:ind w:right="27"/>
              <w:spacing w:after="0" w:line="162" w:lineRule="exact"/>
              <w:rPr>
                <w:sz w:val="20"/>
                <w:szCs w:val="20"/>
                <w:color w:val="auto"/>
              </w:rPr>
            </w:pPr>
            <w:r>
              <w:rPr>
                <w:rFonts w:ascii="Arial" w:cs="Arial" w:eastAsia="Arial" w:hAnsi="Arial"/>
                <w:sz w:val="15"/>
                <w:szCs w:val="15"/>
                <w:b w:val="1"/>
                <w:bCs w:val="1"/>
                <w:color w:val="00C1DE"/>
              </w:rPr>
              <w:t>Compensation</w:t>
            </w:r>
            <w:r>
              <w:rPr>
                <w:rFonts w:ascii="Arial" w:cs="Arial" w:eastAsia="Arial" w:hAnsi="Arial"/>
                <w:sz w:val="11"/>
                <w:szCs w:val="11"/>
                <w:b w:val="1"/>
                <w:bCs w:val="1"/>
                <w:color w:val="00C1DE"/>
              </w:rPr>
              <w:t>(4)</w:t>
            </w:r>
          </w:p>
        </w:tc>
        <w:tc>
          <w:tcPr>
            <w:tcW w:w="1240" w:type="dxa"/>
            <w:vAlign w:val="bottom"/>
          </w:tcPr>
          <w:p>
            <w:pPr>
              <w:jc w:val="right"/>
              <w:ind w:right="27"/>
              <w:spacing w:after="0" w:line="162" w:lineRule="exact"/>
              <w:rPr>
                <w:sz w:val="20"/>
                <w:szCs w:val="20"/>
                <w:color w:val="auto"/>
              </w:rPr>
            </w:pPr>
            <w:r>
              <w:rPr>
                <w:rFonts w:ascii="Arial" w:cs="Arial" w:eastAsia="Arial" w:hAnsi="Arial"/>
                <w:sz w:val="15"/>
                <w:szCs w:val="15"/>
                <w:b w:val="1"/>
                <w:bCs w:val="1"/>
                <w:color w:val="00C1DE"/>
              </w:rPr>
              <w:t>Earnings</w:t>
            </w:r>
            <w:r>
              <w:rPr>
                <w:rFonts w:ascii="Arial" w:cs="Arial" w:eastAsia="Arial" w:hAnsi="Arial"/>
                <w:sz w:val="11"/>
                <w:szCs w:val="11"/>
                <w:b w:val="1"/>
                <w:bCs w:val="1"/>
                <w:color w:val="00C1DE"/>
              </w:rPr>
              <w:t>(5)</w:t>
            </w:r>
          </w:p>
        </w:tc>
        <w:tc>
          <w:tcPr>
            <w:tcW w:w="1380" w:type="dxa"/>
            <w:vAlign w:val="bottom"/>
          </w:tcPr>
          <w:p>
            <w:pPr>
              <w:jc w:val="right"/>
              <w:ind w:right="7"/>
              <w:spacing w:after="0" w:line="162" w:lineRule="exact"/>
              <w:rPr>
                <w:sz w:val="20"/>
                <w:szCs w:val="20"/>
                <w:color w:val="auto"/>
              </w:rPr>
            </w:pPr>
            <w:r>
              <w:rPr>
                <w:rFonts w:ascii="Arial" w:cs="Arial" w:eastAsia="Arial" w:hAnsi="Arial"/>
                <w:sz w:val="15"/>
                <w:szCs w:val="15"/>
                <w:b w:val="1"/>
                <w:bCs w:val="1"/>
                <w:color w:val="00C1DE"/>
              </w:rPr>
              <w:t>Compensation</w:t>
            </w:r>
            <w:r>
              <w:rPr>
                <w:rFonts w:ascii="Arial" w:cs="Arial" w:eastAsia="Arial" w:hAnsi="Arial"/>
                <w:sz w:val="11"/>
                <w:szCs w:val="11"/>
                <w:b w:val="1"/>
                <w:bCs w:val="1"/>
                <w:color w:val="00C1DE"/>
              </w:rPr>
              <w:t>(6)</w:t>
            </w:r>
          </w:p>
        </w:tc>
        <w:tc>
          <w:tcPr>
            <w:tcW w:w="9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160" w:type="dxa"/>
            <w:vAlign w:val="bottom"/>
            <w:tcBorders>
              <w:bottom w:val="single" w:sz="8" w:color="00C1DE"/>
            </w:tcBorders>
          </w:tcPr>
          <w:p>
            <w:pPr>
              <w:ind w:left="80"/>
              <w:spacing w:after="0"/>
              <w:rPr>
                <w:sz w:val="20"/>
                <w:szCs w:val="20"/>
                <w:color w:val="auto"/>
              </w:rPr>
            </w:pPr>
            <w:r>
              <w:rPr>
                <w:rFonts w:ascii="Arial" w:cs="Arial" w:eastAsia="Arial" w:hAnsi="Arial"/>
                <w:sz w:val="15"/>
                <w:szCs w:val="15"/>
                <w:b w:val="1"/>
                <w:bCs w:val="1"/>
                <w:color w:val="00C1DE"/>
              </w:rPr>
              <w:t>Position</w:t>
            </w:r>
            <w:r>
              <w:rPr>
                <w:rFonts w:ascii="Arial" w:cs="Arial" w:eastAsia="Arial" w:hAnsi="Arial"/>
                <w:sz w:val="11"/>
                <w:szCs w:val="11"/>
                <w:b w:val="1"/>
                <w:bCs w:val="1"/>
                <w:color w:val="00C1DE"/>
              </w:rPr>
              <w:t>(1)</w:t>
            </w:r>
          </w:p>
        </w:tc>
        <w:tc>
          <w:tcPr>
            <w:tcW w:w="600" w:type="dxa"/>
            <w:vAlign w:val="bottom"/>
            <w:tcBorders>
              <w:bottom w:val="single" w:sz="8" w:color="00C1DE"/>
            </w:tcBorders>
            <w:vMerge w:val="continue"/>
          </w:tcPr>
          <w:p>
            <w:pPr>
              <w:spacing w:after="0"/>
              <w:rPr>
                <w:sz w:val="18"/>
                <w:szCs w:val="18"/>
                <w:color w:val="auto"/>
              </w:rPr>
            </w:pPr>
          </w:p>
        </w:tc>
        <w:tc>
          <w:tcPr>
            <w:tcW w:w="840" w:type="dxa"/>
            <w:vAlign w:val="bottom"/>
            <w:tcBorders>
              <w:bottom w:val="single" w:sz="8" w:color="00C1DE"/>
            </w:tcBorders>
          </w:tcPr>
          <w:p>
            <w:pPr>
              <w:jc w:val="right"/>
              <w:ind w:right="28"/>
              <w:spacing w:after="0"/>
              <w:rPr>
                <w:sz w:val="20"/>
                <w:szCs w:val="20"/>
                <w:color w:val="auto"/>
              </w:rPr>
            </w:pPr>
            <w:r>
              <w:rPr>
                <w:rFonts w:ascii="Arial" w:cs="Arial" w:eastAsia="Arial" w:hAnsi="Arial"/>
                <w:sz w:val="15"/>
                <w:szCs w:val="15"/>
                <w:b w:val="1"/>
                <w:bCs w:val="1"/>
                <w:color w:val="00C1DE"/>
              </w:rPr>
              <w:t>($)</w:t>
            </w:r>
          </w:p>
        </w:tc>
        <w:tc>
          <w:tcPr>
            <w:tcW w:w="680" w:type="dxa"/>
            <w:vAlign w:val="bottom"/>
            <w:tcBorders>
              <w:bottom w:val="single" w:sz="8" w:color="00C1DE"/>
            </w:tcBorders>
          </w:tcPr>
          <w:p>
            <w:pPr>
              <w:jc w:val="right"/>
              <w:ind w:right="48"/>
              <w:spacing w:after="0"/>
              <w:rPr>
                <w:sz w:val="20"/>
                <w:szCs w:val="20"/>
                <w:color w:val="auto"/>
              </w:rPr>
            </w:pPr>
            <w:r>
              <w:rPr>
                <w:rFonts w:ascii="Arial" w:cs="Arial" w:eastAsia="Arial" w:hAnsi="Arial"/>
                <w:sz w:val="15"/>
                <w:szCs w:val="15"/>
                <w:b w:val="1"/>
                <w:bCs w:val="1"/>
                <w:color w:val="00C1DE"/>
              </w:rPr>
              <w:t>($)</w:t>
            </w:r>
          </w:p>
        </w:tc>
        <w:tc>
          <w:tcPr>
            <w:tcW w:w="920" w:type="dxa"/>
            <w:vAlign w:val="bottom"/>
            <w:tcBorders>
              <w:bottom w:val="single" w:sz="8" w:color="00C1DE"/>
            </w:tcBorders>
          </w:tcPr>
          <w:p>
            <w:pPr>
              <w:jc w:val="right"/>
              <w:ind w:right="7"/>
              <w:spacing w:after="0"/>
              <w:rPr>
                <w:sz w:val="20"/>
                <w:szCs w:val="20"/>
                <w:color w:val="auto"/>
              </w:rPr>
            </w:pPr>
            <w:r>
              <w:rPr>
                <w:rFonts w:ascii="Arial" w:cs="Arial" w:eastAsia="Arial" w:hAnsi="Arial"/>
                <w:sz w:val="15"/>
                <w:szCs w:val="15"/>
                <w:b w:val="1"/>
                <w:bCs w:val="1"/>
                <w:color w:val="00C1DE"/>
              </w:rPr>
              <w:t>($)</w:t>
            </w:r>
          </w:p>
        </w:tc>
        <w:tc>
          <w:tcPr>
            <w:tcW w:w="880" w:type="dxa"/>
            <w:vAlign w:val="bottom"/>
            <w:tcBorders>
              <w:bottom w:val="single" w:sz="8" w:color="00C1DE"/>
            </w:tcBorders>
          </w:tcPr>
          <w:p>
            <w:pPr>
              <w:jc w:val="right"/>
              <w:ind w:right="7"/>
              <w:spacing w:after="0"/>
              <w:rPr>
                <w:sz w:val="20"/>
                <w:szCs w:val="20"/>
                <w:color w:val="auto"/>
              </w:rPr>
            </w:pPr>
            <w:r>
              <w:rPr>
                <w:rFonts w:ascii="Arial" w:cs="Arial" w:eastAsia="Arial" w:hAnsi="Arial"/>
                <w:sz w:val="15"/>
                <w:szCs w:val="15"/>
                <w:b w:val="1"/>
                <w:bCs w:val="1"/>
                <w:color w:val="00C1DE"/>
              </w:rPr>
              <w:t>($)</w:t>
            </w:r>
          </w:p>
        </w:tc>
        <w:tc>
          <w:tcPr>
            <w:tcW w:w="1400" w:type="dxa"/>
            <w:vAlign w:val="bottom"/>
            <w:tcBorders>
              <w:bottom w:val="single" w:sz="8" w:color="00C1DE"/>
            </w:tcBorders>
          </w:tcPr>
          <w:p>
            <w:pPr>
              <w:jc w:val="right"/>
              <w:ind w:right="27"/>
              <w:spacing w:after="0"/>
              <w:rPr>
                <w:sz w:val="20"/>
                <w:szCs w:val="20"/>
                <w:color w:val="auto"/>
              </w:rPr>
            </w:pPr>
            <w:r>
              <w:rPr>
                <w:rFonts w:ascii="Arial" w:cs="Arial" w:eastAsia="Arial" w:hAnsi="Arial"/>
                <w:sz w:val="15"/>
                <w:szCs w:val="15"/>
                <w:b w:val="1"/>
                <w:bCs w:val="1"/>
                <w:color w:val="00C1DE"/>
              </w:rPr>
              <w:t>($)</w:t>
            </w:r>
          </w:p>
        </w:tc>
        <w:tc>
          <w:tcPr>
            <w:tcW w:w="1240" w:type="dxa"/>
            <w:vAlign w:val="bottom"/>
            <w:tcBorders>
              <w:bottom w:val="single" w:sz="8" w:color="00C1DE"/>
            </w:tcBorders>
          </w:tcPr>
          <w:p>
            <w:pPr>
              <w:jc w:val="right"/>
              <w:ind w:right="27"/>
              <w:spacing w:after="0"/>
              <w:rPr>
                <w:sz w:val="20"/>
                <w:szCs w:val="20"/>
                <w:color w:val="auto"/>
              </w:rPr>
            </w:pPr>
            <w:r>
              <w:rPr>
                <w:rFonts w:ascii="Arial" w:cs="Arial" w:eastAsia="Arial" w:hAnsi="Arial"/>
                <w:sz w:val="15"/>
                <w:szCs w:val="15"/>
                <w:b w:val="1"/>
                <w:bCs w:val="1"/>
                <w:color w:val="00C1DE"/>
              </w:rPr>
              <w:t>($)</w:t>
            </w:r>
          </w:p>
        </w:tc>
        <w:tc>
          <w:tcPr>
            <w:tcW w:w="1380" w:type="dxa"/>
            <w:vAlign w:val="bottom"/>
            <w:tcBorders>
              <w:bottom w:val="single" w:sz="8" w:color="00C1DE"/>
            </w:tcBorders>
          </w:tcPr>
          <w:p>
            <w:pPr>
              <w:jc w:val="right"/>
              <w:ind w:right="7"/>
              <w:spacing w:after="0"/>
              <w:rPr>
                <w:sz w:val="20"/>
                <w:szCs w:val="20"/>
                <w:color w:val="auto"/>
              </w:rPr>
            </w:pPr>
            <w:r>
              <w:rPr>
                <w:rFonts w:ascii="Arial" w:cs="Arial" w:eastAsia="Arial" w:hAnsi="Arial"/>
                <w:sz w:val="15"/>
                <w:szCs w:val="15"/>
                <w:b w:val="1"/>
                <w:bCs w:val="1"/>
                <w:color w:val="00C1DE"/>
              </w:rPr>
              <w:t>($)</w:t>
            </w:r>
          </w:p>
        </w:tc>
        <w:tc>
          <w:tcPr>
            <w:tcW w:w="920" w:type="dxa"/>
            <w:vAlign w:val="bottom"/>
            <w:tcBorders>
              <w:bottom w:val="single" w:sz="8" w:color="00C1DE"/>
            </w:tcBorders>
          </w:tcPr>
          <w:p>
            <w:pPr>
              <w:jc w:val="right"/>
              <w:ind w:right="48"/>
              <w:spacing w:after="0"/>
              <w:rPr>
                <w:sz w:val="20"/>
                <w:szCs w:val="20"/>
                <w:color w:val="auto"/>
              </w:rPr>
            </w:pPr>
            <w:r>
              <w:rPr>
                <w:rFonts w:ascii="Arial" w:cs="Arial" w:eastAsia="Arial" w:hAnsi="Arial"/>
                <w:sz w:val="15"/>
                <w:szCs w:val="15"/>
                <w:b w:val="1"/>
                <w:bCs w:val="1"/>
                <w:color w:val="00C1DE"/>
              </w:rPr>
              <w:t>($)</w:t>
            </w:r>
          </w:p>
        </w:tc>
        <w:tc>
          <w:tcPr>
            <w:tcW w:w="0" w:type="dxa"/>
            <w:vAlign w:val="bottom"/>
          </w:tcPr>
          <w:p>
            <w:pPr>
              <w:spacing w:after="0"/>
              <w:rPr>
                <w:sz w:val="1"/>
                <w:szCs w:val="1"/>
                <w:color w:val="auto"/>
              </w:rPr>
            </w:pPr>
          </w:p>
        </w:tc>
      </w:tr>
      <w:tr>
        <w:trPr>
          <w:trHeight w:val="210"/>
        </w:trPr>
        <w:tc>
          <w:tcPr>
            <w:tcW w:w="2160" w:type="dxa"/>
            <w:vAlign w:val="bottom"/>
          </w:tcPr>
          <w:p>
            <w:pPr>
              <w:ind w:left="60"/>
              <w:spacing w:after="0"/>
              <w:rPr>
                <w:sz w:val="20"/>
                <w:szCs w:val="20"/>
                <w:color w:val="auto"/>
              </w:rPr>
            </w:pPr>
            <w:r>
              <w:rPr>
                <w:rFonts w:ascii="Arial" w:cs="Arial" w:eastAsia="Arial" w:hAnsi="Arial"/>
                <w:sz w:val="14"/>
                <w:szCs w:val="14"/>
                <w:b w:val="1"/>
                <w:bCs w:val="1"/>
                <w:color w:val="3E3935"/>
              </w:rPr>
              <w:t>Mary T. Barra</w:t>
            </w:r>
          </w:p>
        </w:tc>
        <w:tc>
          <w:tcPr>
            <w:tcW w:w="600" w:type="dxa"/>
            <w:vAlign w:val="bottom"/>
            <w:tcBorders>
              <w:bottom w:val="single" w:sz="8" w:color="3E3935"/>
            </w:tcBorders>
          </w:tcPr>
          <w:p>
            <w:pPr>
              <w:ind w:left="160"/>
              <w:spacing w:after="0"/>
              <w:rPr>
                <w:sz w:val="20"/>
                <w:szCs w:val="20"/>
                <w:color w:val="auto"/>
              </w:rPr>
            </w:pPr>
            <w:r>
              <w:rPr>
                <w:rFonts w:ascii="Arial" w:cs="Arial" w:eastAsia="Arial" w:hAnsi="Arial"/>
                <w:sz w:val="14"/>
                <w:szCs w:val="14"/>
                <w:color w:val="3E3935"/>
              </w:rPr>
              <w:t>2022</w:t>
            </w:r>
          </w:p>
        </w:tc>
        <w:tc>
          <w:tcPr>
            <w:tcW w:w="840" w:type="dxa"/>
            <w:vAlign w:val="bottom"/>
            <w:tcBorders>
              <w:bottom w:val="single" w:sz="8" w:color="3E3935"/>
            </w:tcBorders>
          </w:tcPr>
          <w:p>
            <w:pPr>
              <w:jc w:val="right"/>
              <w:ind w:right="28"/>
              <w:spacing w:after="0"/>
              <w:rPr>
                <w:sz w:val="20"/>
                <w:szCs w:val="20"/>
                <w:color w:val="auto"/>
              </w:rPr>
            </w:pPr>
            <w:r>
              <w:rPr>
                <w:rFonts w:ascii="Arial" w:cs="Arial" w:eastAsia="Arial" w:hAnsi="Arial"/>
                <w:sz w:val="14"/>
                <w:szCs w:val="14"/>
                <w:color w:val="3E3935"/>
              </w:rPr>
              <w:t>2,100,000</w:t>
            </w:r>
          </w:p>
        </w:tc>
        <w:tc>
          <w:tcPr>
            <w:tcW w:w="680" w:type="dxa"/>
            <w:vAlign w:val="bottom"/>
            <w:tcBorders>
              <w:bottom w:val="single" w:sz="8" w:color="3E3935"/>
            </w:tcBorders>
          </w:tcPr>
          <w:p>
            <w:pPr>
              <w:jc w:val="right"/>
              <w:ind w:right="48"/>
              <w:spacing w:after="0"/>
              <w:rPr>
                <w:sz w:val="20"/>
                <w:szCs w:val="20"/>
                <w:color w:val="auto"/>
              </w:rPr>
            </w:pPr>
            <w:r>
              <w:rPr>
                <w:rFonts w:ascii="Arial" w:cs="Arial" w:eastAsia="Arial" w:hAnsi="Arial"/>
                <w:sz w:val="14"/>
                <w:szCs w:val="14"/>
                <w:color w:val="3E3935"/>
              </w:rPr>
              <w:t>—</w:t>
            </w:r>
          </w:p>
        </w:tc>
        <w:tc>
          <w:tcPr>
            <w:tcW w:w="920" w:type="dxa"/>
            <w:vAlign w:val="bottom"/>
            <w:tcBorders>
              <w:bottom w:val="single" w:sz="8" w:color="3E3935"/>
            </w:tcBorders>
          </w:tcPr>
          <w:p>
            <w:pPr>
              <w:jc w:val="right"/>
              <w:ind w:right="7"/>
              <w:spacing w:after="0"/>
              <w:rPr>
                <w:sz w:val="20"/>
                <w:szCs w:val="20"/>
                <w:color w:val="auto"/>
              </w:rPr>
            </w:pPr>
            <w:r>
              <w:rPr>
                <w:rFonts w:ascii="Arial" w:cs="Arial" w:eastAsia="Arial" w:hAnsi="Arial"/>
                <w:sz w:val="14"/>
                <w:szCs w:val="14"/>
                <w:color w:val="3E3935"/>
              </w:rPr>
              <w:t>14,625,000</w:t>
            </w:r>
          </w:p>
        </w:tc>
        <w:tc>
          <w:tcPr>
            <w:tcW w:w="880" w:type="dxa"/>
            <w:vAlign w:val="bottom"/>
            <w:tcBorders>
              <w:bottom w:val="single" w:sz="8" w:color="3E3935"/>
            </w:tcBorders>
          </w:tcPr>
          <w:p>
            <w:pPr>
              <w:jc w:val="right"/>
              <w:ind w:right="7"/>
              <w:spacing w:after="0"/>
              <w:rPr>
                <w:sz w:val="20"/>
                <w:szCs w:val="20"/>
                <w:color w:val="auto"/>
              </w:rPr>
            </w:pPr>
            <w:r>
              <w:rPr>
                <w:rFonts w:ascii="Arial" w:cs="Arial" w:eastAsia="Arial" w:hAnsi="Arial"/>
                <w:sz w:val="14"/>
                <w:szCs w:val="14"/>
                <w:color w:val="3E3935"/>
              </w:rPr>
              <w:t>4,875,010</w:t>
            </w:r>
          </w:p>
        </w:tc>
        <w:tc>
          <w:tcPr>
            <w:tcW w:w="1400" w:type="dxa"/>
            <w:vAlign w:val="bottom"/>
            <w:tcBorders>
              <w:bottom w:val="single" w:sz="8" w:color="3E3935"/>
            </w:tcBorders>
          </w:tcPr>
          <w:p>
            <w:pPr>
              <w:jc w:val="right"/>
              <w:ind w:right="27"/>
              <w:spacing w:after="0"/>
              <w:rPr>
                <w:sz w:val="20"/>
                <w:szCs w:val="20"/>
                <w:color w:val="auto"/>
              </w:rPr>
            </w:pPr>
            <w:r>
              <w:rPr>
                <w:rFonts w:ascii="Arial" w:cs="Arial" w:eastAsia="Arial" w:hAnsi="Arial"/>
                <w:sz w:val="14"/>
                <w:szCs w:val="14"/>
                <w:color w:val="3E3935"/>
              </w:rPr>
              <w:t>6,258,000</w:t>
            </w:r>
          </w:p>
        </w:tc>
        <w:tc>
          <w:tcPr>
            <w:tcW w:w="1240" w:type="dxa"/>
            <w:vAlign w:val="bottom"/>
            <w:tcBorders>
              <w:bottom w:val="single" w:sz="8" w:color="3E3935"/>
            </w:tcBorders>
          </w:tcPr>
          <w:p>
            <w:pPr>
              <w:jc w:val="right"/>
              <w:ind w:right="27"/>
              <w:spacing w:after="0"/>
              <w:rPr>
                <w:sz w:val="20"/>
                <w:szCs w:val="20"/>
                <w:color w:val="auto"/>
              </w:rPr>
            </w:pPr>
            <w:r>
              <w:rPr>
                <w:rFonts w:ascii="Arial" w:cs="Arial" w:eastAsia="Arial" w:hAnsi="Arial"/>
                <w:sz w:val="14"/>
                <w:szCs w:val="14"/>
                <w:color w:val="3E3935"/>
              </w:rPr>
              <w:t>—</w:t>
            </w:r>
          </w:p>
        </w:tc>
        <w:tc>
          <w:tcPr>
            <w:tcW w:w="1380" w:type="dxa"/>
            <w:vAlign w:val="bottom"/>
            <w:tcBorders>
              <w:bottom w:val="single" w:sz="8" w:color="3E3935"/>
            </w:tcBorders>
          </w:tcPr>
          <w:p>
            <w:pPr>
              <w:jc w:val="right"/>
              <w:ind w:right="7"/>
              <w:spacing w:after="0"/>
              <w:rPr>
                <w:sz w:val="20"/>
                <w:szCs w:val="20"/>
                <w:color w:val="auto"/>
              </w:rPr>
            </w:pPr>
            <w:r>
              <w:rPr>
                <w:rFonts w:ascii="Arial" w:cs="Arial" w:eastAsia="Arial" w:hAnsi="Arial"/>
                <w:sz w:val="14"/>
                <w:szCs w:val="14"/>
                <w:color w:val="3E3935"/>
              </w:rPr>
              <w:t>1,121,560</w:t>
            </w:r>
          </w:p>
        </w:tc>
        <w:tc>
          <w:tcPr>
            <w:tcW w:w="920" w:type="dxa"/>
            <w:vAlign w:val="bottom"/>
            <w:tcBorders>
              <w:bottom w:val="single" w:sz="8" w:color="3E3935"/>
            </w:tcBorders>
          </w:tcPr>
          <w:p>
            <w:pPr>
              <w:jc w:val="right"/>
              <w:ind w:right="48"/>
              <w:spacing w:after="0"/>
              <w:rPr>
                <w:sz w:val="20"/>
                <w:szCs w:val="20"/>
                <w:color w:val="auto"/>
              </w:rPr>
            </w:pPr>
            <w:r>
              <w:rPr>
                <w:rFonts w:ascii="Arial" w:cs="Arial" w:eastAsia="Arial" w:hAnsi="Arial"/>
                <w:sz w:val="14"/>
                <w:szCs w:val="14"/>
                <w:color w:val="3E3935"/>
              </w:rPr>
              <w:t>28,979,570</w:t>
            </w:r>
          </w:p>
        </w:tc>
        <w:tc>
          <w:tcPr>
            <w:tcW w:w="0" w:type="dxa"/>
            <w:vAlign w:val="bottom"/>
          </w:tcPr>
          <w:p>
            <w:pPr>
              <w:spacing w:after="0"/>
              <w:rPr>
                <w:sz w:val="1"/>
                <w:szCs w:val="1"/>
                <w:color w:val="auto"/>
              </w:rPr>
            </w:pPr>
          </w:p>
        </w:tc>
      </w:tr>
      <w:tr>
        <w:trPr>
          <w:trHeight w:val="133"/>
        </w:trPr>
        <w:tc>
          <w:tcPr>
            <w:tcW w:w="2160" w:type="dxa"/>
            <w:vAlign w:val="bottom"/>
          </w:tcPr>
          <w:p>
            <w:pPr>
              <w:ind w:left="60"/>
              <w:spacing w:after="0" w:line="133" w:lineRule="exact"/>
              <w:rPr>
                <w:sz w:val="20"/>
                <w:szCs w:val="20"/>
                <w:color w:val="auto"/>
              </w:rPr>
            </w:pPr>
            <w:r>
              <w:rPr>
                <w:rFonts w:ascii="Arial" w:cs="Arial" w:eastAsia="Arial" w:hAnsi="Arial"/>
                <w:sz w:val="14"/>
                <w:szCs w:val="14"/>
                <w:color w:val="3E3935"/>
              </w:rPr>
              <w:t>Chair and Chief</w:t>
            </w:r>
          </w:p>
        </w:tc>
        <w:tc>
          <w:tcPr>
            <w:tcW w:w="600" w:type="dxa"/>
            <w:vAlign w:val="bottom"/>
          </w:tcPr>
          <w:p>
            <w:pPr>
              <w:ind w:left="160"/>
              <w:spacing w:after="0" w:line="133" w:lineRule="exact"/>
              <w:rPr>
                <w:sz w:val="20"/>
                <w:szCs w:val="20"/>
                <w:color w:val="auto"/>
              </w:rPr>
            </w:pPr>
            <w:r>
              <w:rPr>
                <w:rFonts w:ascii="Arial" w:cs="Arial" w:eastAsia="Arial" w:hAnsi="Arial"/>
                <w:sz w:val="14"/>
                <w:szCs w:val="14"/>
                <w:color w:val="3E3935"/>
              </w:rPr>
              <w:t>2021</w:t>
            </w:r>
          </w:p>
        </w:tc>
        <w:tc>
          <w:tcPr>
            <w:tcW w:w="840" w:type="dxa"/>
            <w:vAlign w:val="bottom"/>
          </w:tcPr>
          <w:p>
            <w:pPr>
              <w:jc w:val="right"/>
              <w:ind w:right="28"/>
              <w:spacing w:after="0" w:line="133" w:lineRule="exact"/>
              <w:rPr>
                <w:sz w:val="20"/>
                <w:szCs w:val="20"/>
                <w:color w:val="auto"/>
              </w:rPr>
            </w:pPr>
            <w:r>
              <w:rPr>
                <w:rFonts w:ascii="Arial" w:cs="Arial" w:eastAsia="Arial" w:hAnsi="Arial"/>
                <w:sz w:val="14"/>
                <w:szCs w:val="14"/>
                <w:color w:val="3E3935"/>
              </w:rPr>
              <w:t>2,100,000</w:t>
            </w:r>
          </w:p>
        </w:tc>
        <w:tc>
          <w:tcPr>
            <w:tcW w:w="680" w:type="dxa"/>
            <w:vAlign w:val="bottom"/>
          </w:tcPr>
          <w:p>
            <w:pPr>
              <w:jc w:val="right"/>
              <w:ind w:right="48"/>
              <w:spacing w:after="0" w:line="133" w:lineRule="exact"/>
              <w:rPr>
                <w:sz w:val="20"/>
                <w:szCs w:val="20"/>
                <w:color w:val="auto"/>
              </w:rPr>
            </w:pPr>
            <w:r>
              <w:rPr>
                <w:rFonts w:ascii="Arial" w:cs="Arial" w:eastAsia="Arial" w:hAnsi="Arial"/>
                <w:sz w:val="14"/>
                <w:szCs w:val="14"/>
                <w:color w:val="3E3935"/>
              </w:rPr>
              <w:t>—</w:t>
            </w:r>
          </w:p>
        </w:tc>
        <w:tc>
          <w:tcPr>
            <w:tcW w:w="920" w:type="dxa"/>
            <w:vAlign w:val="bottom"/>
          </w:tcPr>
          <w:p>
            <w:pPr>
              <w:jc w:val="right"/>
              <w:ind w:right="7"/>
              <w:spacing w:after="0" w:line="133" w:lineRule="exact"/>
              <w:rPr>
                <w:sz w:val="20"/>
                <w:szCs w:val="20"/>
                <w:color w:val="auto"/>
              </w:rPr>
            </w:pPr>
            <w:r>
              <w:rPr>
                <w:rFonts w:ascii="Arial" w:cs="Arial" w:eastAsia="Arial" w:hAnsi="Arial"/>
                <w:sz w:val="14"/>
                <w:szCs w:val="14"/>
                <w:color w:val="3E3935"/>
              </w:rPr>
              <w:t>14,582,198</w:t>
            </w:r>
          </w:p>
        </w:tc>
        <w:tc>
          <w:tcPr>
            <w:tcW w:w="880" w:type="dxa"/>
            <w:vAlign w:val="bottom"/>
          </w:tcPr>
          <w:p>
            <w:pPr>
              <w:jc w:val="right"/>
              <w:ind w:right="7"/>
              <w:spacing w:after="0" w:line="133" w:lineRule="exact"/>
              <w:rPr>
                <w:sz w:val="20"/>
                <w:szCs w:val="20"/>
                <w:color w:val="auto"/>
              </w:rPr>
            </w:pPr>
            <w:r>
              <w:rPr>
                <w:rFonts w:ascii="Arial" w:cs="Arial" w:eastAsia="Arial" w:hAnsi="Arial"/>
                <w:sz w:val="14"/>
                <w:szCs w:val="14"/>
                <w:color w:val="3E3935"/>
              </w:rPr>
              <w:t>3,937,507</w:t>
            </w:r>
          </w:p>
        </w:tc>
        <w:tc>
          <w:tcPr>
            <w:tcW w:w="1400" w:type="dxa"/>
            <w:vAlign w:val="bottom"/>
          </w:tcPr>
          <w:p>
            <w:pPr>
              <w:jc w:val="right"/>
              <w:ind w:right="27"/>
              <w:spacing w:after="0" w:line="133" w:lineRule="exact"/>
              <w:rPr>
                <w:sz w:val="20"/>
                <w:szCs w:val="20"/>
                <w:color w:val="auto"/>
              </w:rPr>
            </w:pPr>
            <w:r>
              <w:rPr>
                <w:rFonts w:ascii="Arial" w:cs="Arial" w:eastAsia="Arial" w:hAnsi="Arial"/>
                <w:sz w:val="14"/>
                <w:szCs w:val="14"/>
                <w:color w:val="3E3935"/>
              </w:rPr>
              <w:t>7,644,000</w:t>
            </w:r>
          </w:p>
        </w:tc>
        <w:tc>
          <w:tcPr>
            <w:tcW w:w="1240" w:type="dxa"/>
            <w:vAlign w:val="bottom"/>
          </w:tcPr>
          <w:p>
            <w:pPr>
              <w:jc w:val="right"/>
              <w:ind w:right="27"/>
              <w:spacing w:after="0" w:line="133" w:lineRule="exact"/>
              <w:rPr>
                <w:sz w:val="20"/>
                <w:szCs w:val="20"/>
                <w:color w:val="auto"/>
              </w:rPr>
            </w:pPr>
            <w:r>
              <w:rPr>
                <w:rFonts w:ascii="Arial" w:cs="Arial" w:eastAsia="Arial" w:hAnsi="Arial"/>
                <w:sz w:val="14"/>
                <w:szCs w:val="14"/>
                <w:color w:val="3E3935"/>
              </w:rPr>
              <w:t>—</w:t>
            </w:r>
          </w:p>
        </w:tc>
        <w:tc>
          <w:tcPr>
            <w:tcW w:w="1380" w:type="dxa"/>
            <w:vAlign w:val="bottom"/>
          </w:tcPr>
          <w:p>
            <w:pPr>
              <w:jc w:val="right"/>
              <w:ind w:right="7"/>
              <w:spacing w:after="0" w:line="133" w:lineRule="exact"/>
              <w:rPr>
                <w:sz w:val="20"/>
                <w:szCs w:val="20"/>
                <w:color w:val="auto"/>
              </w:rPr>
            </w:pPr>
            <w:r>
              <w:rPr>
                <w:rFonts w:ascii="Arial" w:cs="Arial" w:eastAsia="Arial" w:hAnsi="Arial"/>
                <w:sz w:val="14"/>
                <w:szCs w:val="14"/>
                <w:color w:val="3E3935"/>
              </w:rPr>
              <w:t>873,075</w:t>
            </w:r>
          </w:p>
        </w:tc>
        <w:tc>
          <w:tcPr>
            <w:tcW w:w="920" w:type="dxa"/>
            <w:vAlign w:val="bottom"/>
          </w:tcPr>
          <w:p>
            <w:pPr>
              <w:jc w:val="right"/>
              <w:ind w:right="48"/>
              <w:spacing w:after="0" w:line="133" w:lineRule="exact"/>
              <w:rPr>
                <w:sz w:val="20"/>
                <w:szCs w:val="20"/>
                <w:color w:val="auto"/>
              </w:rPr>
            </w:pPr>
            <w:r>
              <w:rPr>
                <w:rFonts w:ascii="Arial" w:cs="Arial" w:eastAsia="Arial" w:hAnsi="Arial"/>
                <w:sz w:val="14"/>
                <w:szCs w:val="14"/>
                <w:color w:val="3E3935"/>
              </w:rPr>
              <w:t>29,136,780</w:t>
            </w:r>
          </w:p>
        </w:tc>
        <w:tc>
          <w:tcPr>
            <w:tcW w:w="0" w:type="dxa"/>
            <w:vAlign w:val="bottom"/>
          </w:tcPr>
          <w:p>
            <w:pPr>
              <w:spacing w:after="0"/>
              <w:rPr>
                <w:sz w:val="1"/>
                <w:szCs w:val="1"/>
                <w:color w:val="auto"/>
              </w:rPr>
            </w:pPr>
          </w:p>
        </w:tc>
      </w:tr>
      <w:tr>
        <w:trPr>
          <w:trHeight w:val="23"/>
        </w:trPr>
        <w:tc>
          <w:tcPr>
            <w:tcW w:w="2160" w:type="dxa"/>
            <w:vAlign w:val="bottom"/>
            <w:vMerge w:val="restart"/>
          </w:tcPr>
          <w:p>
            <w:pPr>
              <w:ind w:left="60"/>
              <w:spacing w:after="0"/>
              <w:rPr>
                <w:sz w:val="20"/>
                <w:szCs w:val="20"/>
                <w:color w:val="auto"/>
              </w:rPr>
            </w:pPr>
            <w:r>
              <w:rPr>
                <w:rFonts w:ascii="Arial" w:cs="Arial" w:eastAsia="Arial" w:hAnsi="Arial"/>
                <w:sz w:val="14"/>
                <w:szCs w:val="14"/>
                <w:color w:val="3E3935"/>
              </w:rPr>
              <w:t>Executive Officer</w:t>
            </w:r>
          </w:p>
        </w:tc>
        <w:tc>
          <w:tcPr>
            <w:tcW w:w="600" w:type="dxa"/>
            <w:vAlign w:val="bottom"/>
            <w:tcBorders>
              <w:bottom w:val="single" w:sz="8" w:color="3E3935"/>
            </w:tcBorders>
          </w:tcPr>
          <w:p>
            <w:pPr>
              <w:spacing w:after="0" w:line="20" w:lineRule="exact"/>
              <w:rPr>
                <w:sz w:val="1"/>
                <w:szCs w:val="1"/>
                <w:color w:val="auto"/>
              </w:rPr>
            </w:pPr>
          </w:p>
        </w:tc>
        <w:tc>
          <w:tcPr>
            <w:tcW w:w="840" w:type="dxa"/>
            <w:vAlign w:val="bottom"/>
            <w:tcBorders>
              <w:bottom w:val="single" w:sz="8" w:color="3E3935"/>
            </w:tcBorders>
          </w:tcPr>
          <w:p>
            <w:pPr>
              <w:spacing w:after="0" w:line="20" w:lineRule="exact"/>
              <w:rPr>
                <w:sz w:val="1"/>
                <w:szCs w:val="1"/>
                <w:color w:val="auto"/>
              </w:rPr>
            </w:pPr>
          </w:p>
        </w:tc>
        <w:tc>
          <w:tcPr>
            <w:tcW w:w="680" w:type="dxa"/>
            <w:vAlign w:val="bottom"/>
            <w:tcBorders>
              <w:bottom w:val="single" w:sz="8" w:color="3E3935"/>
            </w:tcBorders>
          </w:tcPr>
          <w:p>
            <w:pPr>
              <w:spacing w:after="0" w:line="20" w:lineRule="exact"/>
              <w:rPr>
                <w:sz w:val="1"/>
                <w:szCs w:val="1"/>
                <w:color w:val="auto"/>
              </w:rPr>
            </w:pPr>
          </w:p>
        </w:tc>
        <w:tc>
          <w:tcPr>
            <w:tcW w:w="920" w:type="dxa"/>
            <w:vAlign w:val="bottom"/>
            <w:tcBorders>
              <w:bottom w:val="single" w:sz="8" w:color="3E3935"/>
            </w:tcBorders>
          </w:tcPr>
          <w:p>
            <w:pPr>
              <w:spacing w:after="0" w:line="20" w:lineRule="exact"/>
              <w:rPr>
                <w:sz w:val="1"/>
                <w:szCs w:val="1"/>
                <w:color w:val="auto"/>
              </w:rPr>
            </w:pPr>
          </w:p>
        </w:tc>
        <w:tc>
          <w:tcPr>
            <w:tcW w:w="880" w:type="dxa"/>
            <w:vAlign w:val="bottom"/>
            <w:tcBorders>
              <w:bottom w:val="single" w:sz="8" w:color="3E3935"/>
            </w:tcBorders>
          </w:tcPr>
          <w:p>
            <w:pPr>
              <w:spacing w:after="0" w:line="20" w:lineRule="exact"/>
              <w:rPr>
                <w:sz w:val="1"/>
                <w:szCs w:val="1"/>
                <w:color w:val="auto"/>
              </w:rPr>
            </w:pPr>
          </w:p>
        </w:tc>
        <w:tc>
          <w:tcPr>
            <w:tcW w:w="1400" w:type="dxa"/>
            <w:vAlign w:val="bottom"/>
            <w:tcBorders>
              <w:bottom w:val="single" w:sz="8" w:color="3E3935"/>
            </w:tcBorders>
          </w:tcPr>
          <w:p>
            <w:pPr>
              <w:spacing w:after="0" w:line="20" w:lineRule="exact"/>
              <w:rPr>
                <w:sz w:val="1"/>
                <w:szCs w:val="1"/>
                <w:color w:val="auto"/>
              </w:rPr>
            </w:pPr>
          </w:p>
        </w:tc>
        <w:tc>
          <w:tcPr>
            <w:tcW w:w="1240" w:type="dxa"/>
            <w:vAlign w:val="bottom"/>
            <w:tcBorders>
              <w:bottom w:val="single" w:sz="8" w:color="3E3935"/>
            </w:tcBorders>
          </w:tcPr>
          <w:p>
            <w:pPr>
              <w:spacing w:after="0" w:line="20" w:lineRule="exact"/>
              <w:rPr>
                <w:sz w:val="1"/>
                <w:szCs w:val="1"/>
                <w:color w:val="auto"/>
              </w:rPr>
            </w:pPr>
          </w:p>
        </w:tc>
        <w:tc>
          <w:tcPr>
            <w:tcW w:w="1380" w:type="dxa"/>
            <w:vAlign w:val="bottom"/>
            <w:tcBorders>
              <w:bottom w:val="single" w:sz="8" w:color="3E3935"/>
            </w:tcBorders>
          </w:tcPr>
          <w:p>
            <w:pPr>
              <w:spacing w:after="0" w:line="20" w:lineRule="exact"/>
              <w:rPr>
                <w:sz w:val="1"/>
                <w:szCs w:val="1"/>
                <w:color w:val="auto"/>
              </w:rPr>
            </w:pPr>
          </w:p>
        </w:tc>
        <w:tc>
          <w:tcPr>
            <w:tcW w:w="920" w:type="dxa"/>
            <w:vAlign w:val="bottom"/>
            <w:tcBorders>
              <w:bottom w:val="single" w:sz="8" w:color="3E3935"/>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160" w:type="dxa"/>
            <w:vAlign w:val="bottom"/>
            <w:tcBorders>
              <w:bottom w:val="single" w:sz="8" w:color="3E3935"/>
            </w:tcBorders>
            <w:vMerge w:val="continue"/>
          </w:tcPr>
          <w:p>
            <w:pPr>
              <w:spacing w:after="0"/>
              <w:rPr>
                <w:sz w:val="13"/>
                <w:szCs w:val="13"/>
                <w:color w:val="auto"/>
              </w:rPr>
            </w:pPr>
          </w:p>
        </w:tc>
        <w:tc>
          <w:tcPr>
            <w:tcW w:w="600" w:type="dxa"/>
            <w:vAlign w:val="bottom"/>
            <w:tcBorders>
              <w:bottom w:val="single" w:sz="8" w:color="3E3935"/>
            </w:tcBorders>
          </w:tcPr>
          <w:p>
            <w:pPr>
              <w:ind w:left="160"/>
              <w:spacing w:after="0" w:line="155" w:lineRule="exact"/>
              <w:rPr>
                <w:sz w:val="20"/>
                <w:szCs w:val="20"/>
                <w:color w:val="auto"/>
              </w:rPr>
            </w:pPr>
            <w:r>
              <w:rPr>
                <w:rFonts w:ascii="Arial" w:cs="Arial" w:eastAsia="Arial" w:hAnsi="Arial"/>
                <w:sz w:val="14"/>
                <w:szCs w:val="14"/>
                <w:color w:val="3E3935"/>
              </w:rPr>
              <w:t>2020</w:t>
            </w:r>
          </w:p>
        </w:tc>
        <w:tc>
          <w:tcPr>
            <w:tcW w:w="840" w:type="dxa"/>
            <w:vAlign w:val="bottom"/>
            <w:tcBorders>
              <w:bottom w:val="single" w:sz="8" w:color="3E3935"/>
            </w:tcBorders>
          </w:tcPr>
          <w:p>
            <w:pPr>
              <w:jc w:val="right"/>
              <w:ind w:right="28"/>
              <w:spacing w:after="0" w:line="155" w:lineRule="exact"/>
              <w:rPr>
                <w:sz w:val="20"/>
                <w:szCs w:val="20"/>
                <w:color w:val="auto"/>
              </w:rPr>
            </w:pPr>
            <w:r>
              <w:rPr>
                <w:rFonts w:ascii="Arial" w:cs="Arial" w:eastAsia="Arial" w:hAnsi="Arial"/>
                <w:sz w:val="14"/>
                <w:szCs w:val="14"/>
                <w:color w:val="3E3935"/>
              </w:rPr>
              <w:t>1,995,000</w:t>
            </w:r>
          </w:p>
        </w:tc>
        <w:tc>
          <w:tcPr>
            <w:tcW w:w="680" w:type="dxa"/>
            <w:vAlign w:val="bottom"/>
            <w:tcBorders>
              <w:bottom w:val="single" w:sz="8" w:color="3E3935"/>
            </w:tcBorders>
          </w:tcPr>
          <w:p>
            <w:pPr>
              <w:jc w:val="right"/>
              <w:ind w:right="48"/>
              <w:spacing w:after="0" w:line="155" w:lineRule="exact"/>
              <w:rPr>
                <w:sz w:val="20"/>
                <w:szCs w:val="20"/>
                <w:color w:val="auto"/>
              </w:rPr>
            </w:pPr>
            <w:r>
              <w:rPr>
                <w:rFonts w:ascii="Arial" w:cs="Arial" w:eastAsia="Arial" w:hAnsi="Arial"/>
                <w:sz w:val="14"/>
                <w:szCs w:val="14"/>
                <w:color w:val="3E3935"/>
              </w:rPr>
              <w:t>—</w:t>
            </w:r>
          </w:p>
        </w:tc>
        <w:tc>
          <w:tcPr>
            <w:tcW w:w="920" w:type="dxa"/>
            <w:vAlign w:val="bottom"/>
            <w:tcBorders>
              <w:bottom w:val="single" w:sz="8" w:color="3E3935"/>
            </w:tcBorders>
          </w:tcPr>
          <w:p>
            <w:pPr>
              <w:jc w:val="right"/>
              <w:ind w:right="7"/>
              <w:spacing w:after="0" w:line="155" w:lineRule="exact"/>
              <w:rPr>
                <w:sz w:val="20"/>
                <w:szCs w:val="20"/>
                <w:color w:val="auto"/>
              </w:rPr>
            </w:pPr>
            <w:r>
              <w:rPr>
                <w:rFonts w:ascii="Arial" w:cs="Arial" w:eastAsia="Arial" w:hAnsi="Arial"/>
                <w:sz w:val="14"/>
                <w:szCs w:val="14"/>
                <w:color w:val="3E3935"/>
              </w:rPr>
              <w:t>13,093,722</w:t>
            </w:r>
          </w:p>
        </w:tc>
        <w:tc>
          <w:tcPr>
            <w:tcW w:w="880" w:type="dxa"/>
            <w:vAlign w:val="bottom"/>
            <w:tcBorders>
              <w:bottom w:val="single" w:sz="8" w:color="3E3935"/>
            </w:tcBorders>
          </w:tcPr>
          <w:p>
            <w:pPr>
              <w:jc w:val="right"/>
              <w:ind w:right="7"/>
              <w:spacing w:after="0" w:line="155" w:lineRule="exact"/>
              <w:rPr>
                <w:sz w:val="20"/>
                <w:szCs w:val="20"/>
                <w:color w:val="auto"/>
              </w:rPr>
            </w:pPr>
            <w:r>
              <w:rPr>
                <w:rFonts w:ascii="Arial" w:cs="Arial" w:eastAsia="Arial" w:hAnsi="Arial"/>
                <w:sz w:val="14"/>
                <w:szCs w:val="14"/>
                <w:color w:val="3E3935"/>
              </w:rPr>
              <w:t>3,750,002</w:t>
            </w:r>
          </w:p>
        </w:tc>
        <w:tc>
          <w:tcPr>
            <w:tcW w:w="1400" w:type="dxa"/>
            <w:vAlign w:val="bottom"/>
            <w:tcBorders>
              <w:bottom w:val="single" w:sz="8" w:color="3E3935"/>
            </w:tcBorders>
          </w:tcPr>
          <w:p>
            <w:pPr>
              <w:jc w:val="right"/>
              <w:ind w:right="27"/>
              <w:spacing w:after="0" w:line="155" w:lineRule="exact"/>
              <w:rPr>
                <w:sz w:val="20"/>
                <w:szCs w:val="20"/>
                <w:color w:val="auto"/>
              </w:rPr>
            </w:pPr>
            <w:r>
              <w:rPr>
                <w:rFonts w:ascii="Arial" w:cs="Arial" w:eastAsia="Arial" w:hAnsi="Arial"/>
                <w:sz w:val="14"/>
                <w:szCs w:val="14"/>
                <w:color w:val="3E3935"/>
              </w:rPr>
              <w:t>3,780,000</w:t>
            </w:r>
          </w:p>
        </w:tc>
        <w:tc>
          <w:tcPr>
            <w:tcW w:w="1240" w:type="dxa"/>
            <w:vAlign w:val="bottom"/>
            <w:tcBorders>
              <w:bottom w:val="single" w:sz="8" w:color="3E3935"/>
            </w:tcBorders>
          </w:tcPr>
          <w:p>
            <w:pPr>
              <w:jc w:val="right"/>
              <w:ind w:right="27"/>
              <w:spacing w:after="0" w:line="155" w:lineRule="exact"/>
              <w:rPr>
                <w:sz w:val="20"/>
                <w:szCs w:val="20"/>
                <w:color w:val="auto"/>
              </w:rPr>
            </w:pPr>
            <w:r>
              <w:rPr>
                <w:rFonts w:ascii="Arial" w:cs="Arial" w:eastAsia="Arial" w:hAnsi="Arial"/>
                <w:sz w:val="14"/>
                <w:szCs w:val="14"/>
                <w:color w:val="3E3935"/>
              </w:rPr>
              <w:t>423,608</w:t>
            </w:r>
          </w:p>
        </w:tc>
        <w:tc>
          <w:tcPr>
            <w:tcW w:w="1380" w:type="dxa"/>
            <w:vAlign w:val="bottom"/>
            <w:tcBorders>
              <w:bottom w:val="single" w:sz="8" w:color="3E3935"/>
            </w:tcBorders>
          </w:tcPr>
          <w:p>
            <w:pPr>
              <w:jc w:val="right"/>
              <w:ind w:right="7"/>
              <w:spacing w:after="0" w:line="155" w:lineRule="exact"/>
              <w:rPr>
                <w:sz w:val="20"/>
                <w:szCs w:val="20"/>
                <w:color w:val="auto"/>
              </w:rPr>
            </w:pPr>
            <w:r>
              <w:rPr>
                <w:rFonts w:ascii="Arial" w:cs="Arial" w:eastAsia="Arial" w:hAnsi="Arial"/>
                <w:sz w:val="14"/>
                <w:szCs w:val="14"/>
                <w:color w:val="3E3935"/>
              </w:rPr>
              <w:t>615,655</w:t>
            </w:r>
          </w:p>
        </w:tc>
        <w:tc>
          <w:tcPr>
            <w:tcW w:w="920" w:type="dxa"/>
            <w:vAlign w:val="bottom"/>
            <w:tcBorders>
              <w:bottom w:val="single" w:sz="8" w:color="3E3935"/>
            </w:tcBorders>
          </w:tcPr>
          <w:p>
            <w:pPr>
              <w:jc w:val="right"/>
              <w:ind w:right="48"/>
              <w:spacing w:after="0" w:line="155" w:lineRule="exact"/>
              <w:rPr>
                <w:sz w:val="20"/>
                <w:szCs w:val="20"/>
                <w:color w:val="auto"/>
              </w:rPr>
            </w:pPr>
            <w:r>
              <w:rPr>
                <w:rFonts w:ascii="Arial" w:cs="Arial" w:eastAsia="Arial" w:hAnsi="Arial"/>
                <w:sz w:val="14"/>
                <w:szCs w:val="14"/>
                <w:color w:val="3E3935"/>
              </w:rPr>
              <w:t>23,657,987</w:t>
            </w:r>
          </w:p>
        </w:tc>
        <w:tc>
          <w:tcPr>
            <w:tcW w:w="0" w:type="dxa"/>
            <w:vAlign w:val="bottom"/>
          </w:tcPr>
          <w:p>
            <w:pPr>
              <w:spacing w:after="0"/>
              <w:rPr>
                <w:sz w:val="1"/>
                <w:szCs w:val="1"/>
                <w:color w:val="auto"/>
              </w:rPr>
            </w:pPr>
          </w:p>
        </w:tc>
      </w:tr>
      <w:tr>
        <w:trPr>
          <w:trHeight w:val="223"/>
        </w:trPr>
        <w:tc>
          <w:tcPr>
            <w:tcW w:w="2160" w:type="dxa"/>
            <w:vAlign w:val="bottom"/>
          </w:tcPr>
          <w:p>
            <w:pPr>
              <w:ind w:left="60"/>
              <w:spacing w:after="0"/>
              <w:rPr>
                <w:sz w:val="20"/>
                <w:szCs w:val="20"/>
                <w:color w:val="auto"/>
              </w:rPr>
            </w:pPr>
            <w:r>
              <w:rPr>
                <w:rFonts w:ascii="Arial" w:cs="Arial" w:eastAsia="Arial" w:hAnsi="Arial"/>
                <w:sz w:val="14"/>
                <w:szCs w:val="14"/>
                <w:b w:val="1"/>
                <w:bCs w:val="1"/>
                <w:color w:val="3E3935"/>
              </w:rPr>
              <w:t>Paul A. Jacobson</w:t>
            </w:r>
          </w:p>
        </w:tc>
        <w:tc>
          <w:tcPr>
            <w:tcW w:w="600" w:type="dxa"/>
            <w:vAlign w:val="bottom"/>
          </w:tcPr>
          <w:p>
            <w:pPr>
              <w:ind w:left="160"/>
              <w:spacing w:after="0"/>
              <w:rPr>
                <w:sz w:val="20"/>
                <w:szCs w:val="20"/>
                <w:color w:val="auto"/>
              </w:rPr>
            </w:pPr>
            <w:r>
              <w:rPr>
                <w:rFonts w:ascii="Arial" w:cs="Arial" w:eastAsia="Arial" w:hAnsi="Arial"/>
                <w:sz w:val="14"/>
                <w:szCs w:val="14"/>
                <w:color w:val="3E3935"/>
              </w:rPr>
              <w:t>2022</w:t>
            </w:r>
          </w:p>
        </w:tc>
        <w:tc>
          <w:tcPr>
            <w:tcW w:w="840" w:type="dxa"/>
            <w:vAlign w:val="bottom"/>
          </w:tcPr>
          <w:p>
            <w:pPr>
              <w:jc w:val="right"/>
              <w:ind w:right="28"/>
              <w:spacing w:after="0"/>
              <w:rPr>
                <w:sz w:val="20"/>
                <w:szCs w:val="20"/>
                <w:color w:val="auto"/>
              </w:rPr>
            </w:pPr>
            <w:r>
              <w:rPr>
                <w:rFonts w:ascii="Arial" w:cs="Arial" w:eastAsia="Arial" w:hAnsi="Arial"/>
                <w:sz w:val="14"/>
                <w:szCs w:val="14"/>
                <w:color w:val="3E3935"/>
              </w:rPr>
              <w:t>1,000,000</w:t>
            </w:r>
          </w:p>
        </w:tc>
        <w:tc>
          <w:tcPr>
            <w:tcW w:w="680" w:type="dxa"/>
            <w:vAlign w:val="bottom"/>
          </w:tcPr>
          <w:p>
            <w:pPr>
              <w:jc w:val="right"/>
              <w:ind w:right="48"/>
              <w:spacing w:after="0"/>
              <w:rPr>
                <w:sz w:val="20"/>
                <w:szCs w:val="20"/>
                <w:color w:val="auto"/>
              </w:rPr>
            </w:pPr>
            <w:r>
              <w:rPr>
                <w:rFonts w:ascii="Arial" w:cs="Arial" w:eastAsia="Arial" w:hAnsi="Arial"/>
                <w:sz w:val="14"/>
                <w:szCs w:val="14"/>
                <w:color w:val="3E3935"/>
              </w:rPr>
              <w:t>—</w:t>
            </w:r>
          </w:p>
        </w:tc>
        <w:tc>
          <w:tcPr>
            <w:tcW w:w="920" w:type="dxa"/>
            <w:vAlign w:val="bottom"/>
          </w:tcPr>
          <w:p>
            <w:pPr>
              <w:jc w:val="right"/>
              <w:ind w:right="7"/>
              <w:spacing w:after="0"/>
              <w:rPr>
                <w:sz w:val="20"/>
                <w:szCs w:val="20"/>
                <w:color w:val="auto"/>
              </w:rPr>
            </w:pPr>
            <w:r>
              <w:rPr>
                <w:rFonts w:ascii="Arial" w:cs="Arial" w:eastAsia="Arial" w:hAnsi="Arial"/>
                <w:sz w:val="14"/>
                <w:szCs w:val="14"/>
                <w:color w:val="3E3935"/>
              </w:rPr>
              <w:t>5,362,500</w:t>
            </w:r>
          </w:p>
        </w:tc>
        <w:tc>
          <w:tcPr>
            <w:tcW w:w="880" w:type="dxa"/>
            <w:vAlign w:val="bottom"/>
          </w:tcPr>
          <w:p>
            <w:pPr>
              <w:jc w:val="right"/>
              <w:ind w:right="7"/>
              <w:spacing w:after="0"/>
              <w:rPr>
                <w:sz w:val="20"/>
                <w:szCs w:val="20"/>
                <w:color w:val="auto"/>
              </w:rPr>
            </w:pPr>
            <w:r>
              <w:rPr>
                <w:rFonts w:ascii="Arial" w:cs="Arial" w:eastAsia="Arial" w:hAnsi="Arial"/>
                <w:sz w:val="14"/>
                <w:szCs w:val="14"/>
                <w:color w:val="3E3935"/>
              </w:rPr>
              <w:t>1,787,513</w:t>
            </w:r>
          </w:p>
        </w:tc>
        <w:tc>
          <w:tcPr>
            <w:tcW w:w="1400" w:type="dxa"/>
            <w:vAlign w:val="bottom"/>
          </w:tcPr>
          <w:p>
            <w:pPr>
              <w:jc w:val="right"/>
              <w:ind w:right="27"/>
              <w:spacing w:after="0"/>
              <w:rPr>
                <w:sz w:val="20"/>
                <w:szCs w:val="20"/>
                <w:color w:val="auto"/>
              </w:rPr>
            </w:pPr>
            <w:r>
              <w:rPr>
                <w:rFonts w:ascii="Arial" w:cs="Arial" w:eastAsia="Arial" w:hAnsi="Arial"/>
                <w:sz w:val="14"/>
                <w:szCs w:val="14"/>
                <w:color w:val="3E3935"/>
              </w:rPr>
              <w:t>1,862,500</w:t>
            </w:r>
          </w:p>
        </w:tc>
        <w:tc>
          <w:tcPr>
            <w:tcW w:w="1240" w:type="dxa"/>
            <w:vAlign w:val="bottom"/>
          </w:tcPr>
          <w:p>
            <w:pPr>
              <w:jc w:val="right"/>
              <w:ind w:right="27"/>
              <w:spacing w:after="0"/>
              <w:rPr>
                <w:sz w:val="20"/>
                <w:szCs w:val="20"/>
                <w:color w:val="auto"/>
              </w:rPr>
            </w:pPr>
            <w:r>
              <w:rPr>
                <w:rFonts w:ascii="Arial" w:cs="Arial" w:eastAsia="Arial" w:hAnsi="Arial"/>
                <w:sz w:val="14"/>
                <w:szCs w:val="14"/>
                <w:color w:val="3E3935"/>
              </w:rPr>
              <w:t>—</w:t>
            </w:r>
          </w:p>
        </w:tc>
        <w:tc>
          <w:tcPr>
            <w:tcW w:w="1380" w:type="dxa"/>
            <w:vAlign w:val="bottom"/>
          </w:tcPr>
          <w:p>
            <w:pPr>
              <w:jc w:val="right"/>
              <w:ind w:right="7"/>
              <w:spacing w:after="0"/>
              <w:rPr>
                <w:sz w:val="20"/>
                <w:szCs w:val="20"/>
                <w:color w:val="auto"/>
              </w:rPr>
            </w:pPr>
            <w:r>
              <w:rPr>
                <w:rFonts w:ascii="Arial" w:cs="Arial" w:eastAsia="Arial" w:hAnsi="Arial"/>
                <w:sz w:val="14"/>
                <w:szCs w:val="14"/>
                <w:color w:val="3E3935"/>
              </w:rPr>
              <w:t>223,425</w:t>
            </w:r>
          </w:p>
        </w:tc>
        <w:tc>
          <w:tcPr>
            <w:tcW w:w="920" w:type="dxa"/>
            <w:vAlign w:val="bottom"/>
          </w:tcPr>
          <w:p>
            <w:pPr>
              <w:jc w:val="right"/>
              <w:ind w:right="48"/>
              <w:spacing w:after="0"/>
              <w:rPr>
                <w:sz w:val="20"/>
                <w:szCs w:val="20"/>
                <w:color w:val="auto"/>
              </w:rPr>
            </w:pPr>
            <w:r>
              <w:rPr>
                <w:rFonts w:ascii="Arial" w:cs="Arial" w:eastAsia="Arial" w:hAnsi="Arial"/>
                <w:sz w:val="14"/>
                <w:szCs w:val="14"/>
                <w:color w:val="3E3935"/>
              </w:rPr>
              <w:t>10,235,938</w:t>
            </w:r>
          </w:p>
        </w:tc>
        <w:tc>
          <w:tcPr>
            <w:tcW w:w="0" w:type="dxa"/>
            <w:vAlign w:val="bottom"/>
          </w:tcPr>
          <w:p>
            <w:pPr>
              <w:spacing w:after="0"/>
              <w:rPr>
                <w:sz w:val="1"/>
                <w:szCs w:val="1"/>
                <w:color w:val="auto"/>
              </w:rPr>
            </w:pPr>
          </w:p>
        </w:tc>
      </w:tr>
      <w:tr>
        <w:trPr>
          <w:trHeight w:val="27"/>
        </w:trPr>
        <w:tc>
          <w:tcPr>
            <w:tcW w:w="2160" w:type="dxa"/>
            <w:vAlign w:val="bottom"/>
            <w:vMerge w:val="restart"/>
          </w:tcPr>
          <w:p>
            <w:pPr>
              <w:ind w:left="60"/>
              <w:spacing w:after="0" w:line="139" w:lineRule="exact"/>
              <w:rPr>
                <w:sz w:val="20"/>
                <w:szCs w:val="20"/>
                <w:color w:val="auto"/>
              </w:rPr>
            </w:pPr>
            <w:r>
              <w:rPr>
                <w:rFonts w:ascii="Arial" w:cs="Arial" w:eastAsia="Arial" w:hAnsi="Arial"/>
                <w:sz w:val="14"/>
                <w:szCs w:val="14"/>
                <w:color w:val="3E3935"/>
              </w:rPr>
              <w:t>Executive Vice</w:t>
            </w:r>
          </w:p>
        </w:tc>
        <w:tc>
          <w:tcPr>
            <w:tcW w:w="600" w:type="dxa"/>
            <w:vAlign w:val="bottom"/>
            <w:tcBorders>
              <w:bottom w:val="single" w:sz="8" w:color="3E3935"/>
            </w:tcBorders>
          </w:tcPr>
          <w:p>
            <w:pPr>
              <w:spacing w:after="0"/>
              <w:rPr>
                <w:sz w:val="2"/>
                <w:szCs w:val="2"/>
                <w:color w:val="auto"/>
              </w:rPr>
            </w:pPr>
          </w:p>
        </w:tc>
        <w:tc>
          <w:tcPr>
            <w:tcW w:w="840" w:type="dxa"/>
            <w:vAlign w:val="bottom"/>
            <w:tcBorders>
              <w:bottom w:val="single" w:sz="8" w:color="3E3935"/>
            </w:tcBorders>
          </w:tcPr>
          <w:p>
            <w:pPr>
              <w:spacing w:after="0"/>
              <w:rPr>
                <w:sz w:val="2"/>
                <w:szCs w:val="2"/>
                <w:color w:val="auto"/>
              </w:rPr>
            </w:pPr>
          </w:p>
        </w:tc>
        <w:tc>
          <w:tcPr>
            <w:tcW w:w="680" w:type="dxa"/>
            <w:vAlign w:val="bottom"/>
            <w:tcBorders>
              <w:bottom w:val="single" w:sz="8" w:color="3E3935"/>
            </w:tcBorders>
          </w:tcPr>
          <w:p>
            <w:pPr>
              <w:spacing w:after="0"/>
              <w:rPr>
                <w:sz w:val="2"/>
                <w:szCs w:val="2"/>
                <w:color w:val="auto"/>
              </w:rPr>
            </w:pPr>
          </w:p>
        </w:tc>
        <w:tc>
          <w:tcPr>
            <w:tcW w:w="920" w:type="dxa"/>
            <w:vAlign w:val="bottom"/>
            <w:tcBorders>
              <w:bottom w:val="single" w:sz="8" w:color="3E3935"/>
            </w:tcBorders>
          </w:tcPr>
          <w:p>
            <w:pPr>
              <w:spacing w:after="0"/>
              <w:rPr>
                <w:sz w:val="2"/>
                <w:szCs w:val="2"/>
                <w:color w:val="auto"/>
              </w:rPr>
            </w:pPr>
          </w:p>
        </w:tc>
        <w:tc>
          <w:tcPr>
            <w:tcW w:w="880" w:type="dxa"/>
            <w:vAlign w:val="bottom"/>
            <w:tcBorders>
              <w:bottom w:val="single" w:sz="8" w:color="3E3935"/>
            </w:tcBorders>
          </w:tcPr>
          <w:p>
            <w:pPr>
              <w:spacing w:after="0"/>
              <w:rPr>
                <w:sz w:val="2"/>
                <w:szCs w:val="2"/>
                <w:color w:val="auto"/>
              </w:rPr>
            </w:pPr>
          </w:p>
        </w:tc>
        <w:tc>
          <w:tcPr>
            <w:tcW w:w="1400" w:type="dxa"/>
            <w:vAlign w:val="bottom"/>
            <w:tcBorders>
              <w:bottom w:val="single" w:sz="8" w:color="3E3935"/>
            </w:tcBorders>
          </w:tcPr>
          <w:p>
            <w:pPr>
              <w:spacing w:after="0"/>
              <w:rPr>
                <w:sz w:val="2"/>
                <w:szCs w:val="2"/>
                <w:color w:val="auto"/>
              </w:rPr>
            </w:pPr>
          </w:p>
        </w:tc>
        <w:tc>
          <w:tcPr>
            <w:tcW w:w="1240" w:type="dxa"/>
            <w:vAlign w:val="bottom"/>
            <w:tcBorders>
              <w:bottom w:val="single" w:sz="8" w:color="3E3935"/>
            </w:tcBorders>
          </w:tcPr>
          <w:p>
            <w:pPr>
              <w:spacing w:after="0"/>
              <w:rPr>
                <w:sz w:val="2"/>
                <w:szCs w:val="2"/>
                <w:color w:val="auto"/>
              </w:rPr>
            </w:pPr>
          </w:p>
        </w:tc>
        <w:tc>
          <w:tcPr>
            <w:tcW w:w="1380" w:type="dxa"/>
            <w:vAlign w:val="bottom"/>
            <w:tcBorders>
              <w:bottom w:val="single" w:sz="8" w:color="3E3935"/>
            </w:tcBorders>
          </w:tcPr>
          <w:p>
            <w:pPr>
              <w:spacing w:after="0"/>
              <w:rPr>
                <w:sz w:val="2"/>
                <w:szCs w:val="2"/>
                <w:color w:val="auto"/>
              </w:rPr>
            </w:pPr>
          </w:p>
        </w:tc>
        <w:tc>
          <w:tcPr>
            <w:tcW w:w="920" w:type="dxa"/>
            <w:vAlign w:val="bottom"/>
            <w:tcBorders>
              <w:bottom w:val="single" w:sz="8" w:color="3E3935"/>
            </w:tcBorders>
          </w:tcPr>
          <w:p>
            <w:pPr>
              <w:spacing w:after="0"/>
              <w:rPr>
                <w:sz w:val="2"/>
                <w:szCs w:val="2"/>
                <w:color w:val="auto"/>
              </w:rPr>
            </w:pPr>
          </w:p>
        </w:tc>
        <w:tc>
          <w:tcPr>
            <w:tcW w:w="0" w:type="dxa"/>
            <w:vAlign w:val="bottom"/>
          </w:tcPr>
          <w:p>
            <w:pPr>
              <w:spacing w:after="0"/>
              <w:rPr>
                <w:sz w:val="1"/>
                <w:szCs w:val="1"/>
                <w:color w:val="auto"/>
              </w:rPr>
            </w:pPr>
          </w:p>
        </w:tc>
      </w:tr>
      <w:tr>
        <w:trPr>
          <w:trHeight w:val="92"/>
        </w:trPr>
        <w:tc>
          <w:tcPr>
            <w:tcW w:w="2160" w:type="dxa"/>
            <w:vAlign w:val="bottom"/>
            <w:vMerge w:val="continue"/>
          </w:tcPr>
          <w:p>
            <w:pPr>
              <w:spacing w:after="0"/>
              <w:rPr>
                <w:sz w:val="8"/>
                <w:szCs w:val="8"/>
                <w:color w:val="auto"/>
              </w:rPr>
            </w:pPr>
          </w:p>
        </w:tc>
        <w:tc>
          <w:tcPr>
            <w:tcW w:w="600" w:type="dxa"/>
            <w:vAlign w:val="bottom"/>
            <w:vMerge w:val="restart"/>
          </w:tcPr>
          <w:p>
            <w:pPr>
              <w:ind w:left="160"/>
              <w:spacing w:after="0"/>
              <w:rPr>
                <w:sz w:val="20"/>
                <w:szCs w:val="20"/>
                <w:color w:val="auto"/>
              </w:rPr>
            </w:pPr>
            <w:r>
              <w:rPr>
                <w:rFonts w:ascii="Arial" w:cs="Arial" w:eastAsia="Arial" w:hAnsi="Arial"/>
                <w:sz w:val="14"/>
                <w:szCs w:val="14"/>
                <w:color w:val="3E3935"/>
              </w:rPr>
              <w:t>2021</w:t>
            </w:r>
          </w:p>
        </w:tc>
        <w:tc>
          <w:tcPr>
            <w:tcW w:w="840" w:type="dxa"/>
            <w:vAlign w:val="bottom"/>
            <w:vMerge w:val="restart"/>
          </w:tcPr>
          <w:p>
            <w:pPr>
              <w:jc w:val="right"/>
              <w:ind w:right="28"/>
              <w:spacing w:after="0"/>
              <w:rPr>
                <w:sz w:val="20"/>
                <w:szCs w:val="20"/>
                <w:color w:val="auto"/>
              </w:rPr>
            </w:pPr>
            <w:r>
              <w:rPr>
                <w:rFonts w:ascii="Arial" w:cs="Arial" w:eastAsia="Arial" w:hAnsi="Arial"/>
                <w:sz w:val="14"/>
                <w:szCs w:val="14"/>
                <w:color w:val="3E3935"/>
              </w:rPr>
              <w:t>1,000,000</w:t>
            </w:r>
          </w:p>
        </w:tc>
        <w:tc>
          <w:tcPr>
            <w:tcW w:w="680" w:type="dxa"/>
            <w:vAlign w:val="bottom"/>
            <w:vMerge w:val="restart"/>
          </w:tcPr>
          <w:p>
            <w:pPr>
              <w:jc w:val="right"/>
              <w:ind w:right="48"/>
              <w:spacing w:after="0"/>
              <w:rPr>
                <w:sz w:val="20"/>
                <w:szCs w:val="20"/>
                <w:color w:val="auto"/>
              </w:rPr>
            </w:pPr>
            <w:r>
              <w:rPr>
                <w:rFonts w:ascii="Arial" w:cs="Arial" w:eastAsia="Arial" w:hAnsi="Arial"/>
                <w:sz w:val="14"/>
                <w:szCs w:val="14"/>
                <w:color w:val="3E3935"/>
              </w:rPr>
              <w:t>—</w:t>
            </w:r>
          </w:p>
        </w:tc>
        <w:tc>
          <w:tcPr>
            <w:tcW w:w="920" w:type="dxa"/>
            <w:vAlign w:val="bottom"/>
            <w:vMerge w:val="restart"/>
          </w:tcPr>
          <w:p>
            <w:pPr>
              <w:jc w:val="right"/>
              <w:ind w:right="7"/>
              <w:spacing w:after="0"/>
              <w:rPr>
                <w:sz w:val="20"/>
                <w:szCs w:val="20"/>
                <w:color w:val="auto"/>
              </w:rPr>
            </w:pPr>
            <w:r>
              <w:rPr>
                <w:rFonts w:ascii="Arial" w:cs="Arial" w:eastAsia="Arial" w:hAnsi="Arial"/>
                <w:sz w:val="14"/>
                <w:szCs w:val="14"/>
                <w:color w:val="3E3935"/>
              </w:rPr>
              <w:t>4,860,724</w:t>
            </w:r>
          </w:p>
        </w:tc>
        <w:tc>
          <w:tcPr>
            <w:tcW w:w="880" w:type="dxa"/>
            <w:vAlign w:val="bottom"/>
            <w:vMerge w:val="restart"/>
          </w:tcPr>
          <w:p>
            <w:pPr>
              <w:jc w:val="right"/>
              <w:ind w:right="7"/>
              <w:spacing w:after="0"/>
              <w:rPr>
                <w:sz w:val="20"/>
                <w:szCs w:val="20"/>
                <w:color w:val="auto"/>
              </w:rPr>
            </w:pPr>
            <w:r>
              <w:rPr>
                <w:rFonts w:ascii="Arial" w:cs="Arial" w:eastAsia="Arial" w:hAnsi="Arial"/>
                <w:sz w:val="14"/>
                <w:szCs w:val="14"/>
                <w:color w:val="3E3935"/>
              </w:rPr>
              <w:t>1,312,502</w:t>
            </w:r>
          </w:p>
        </w:tc>
        <w:tc>
          <w:tcPr>
            <w:tcW w:w="1400" w:type="dxa"/>
            <w:vAlign w:val="bottom"/>
            <w:vMerge w:val="restart"/>
          </w:tcPr>
          <w:p>
            <w:pPr>
              <w:jc w:val="right"/>
              <w:ind w:right="27"/>
              <w:spacing w:after="0"/>
              <w:rPr>
                <w:sz w:val="20"/>
                <w:szCs w:val="20"/>
                <w:color w:val="auto"/>
              </w:rPr>
            </w:pPr>
            <w:r>
              <w:rPr>
                <w:rFonts w:ascii="Arial" w:cs="Arial" w:eastAsia="Arial" w:hAnsi="Arial"/>
                <w:sz w:val="14"/>
                <w:szCs w:val="14"/>
                <w:color w:val="3E3935"/>
              </w:rPr>
              <w:t>2,250,000</w:t>
            </w:r>
          </w:p>
        </w:tc>
        <w:tc>
          <w:tcPr>
            <w:tcW w:w="1240" w:type="dxa"/>
            <w:vAlign w:val="bottom"/>
            <w:vMerge w:val="restart"/>
          </w:tcPr>
          <w:p>
            <w:pPr>
              <w:jc w:val="right"/>
              <w:ind w:right="27"/>
              <w:spacing w:after="0"/>
              <w:rPr>
                <w:sz w:val="20"/>
                <w:szCs w:val="20"/>
                <w:color w:val="auto"/>
              </w:rPr>
            </w:pPr>
            <w:r>
              <w:rPr>
                <w:rFonts w:ascii="Arial" w:cs="Arial" w:eastAsia="Arial" w:hAnsi="Arial"/>
                <w:sz w:val="14"/>
                <w:szCs w:val="14"/>
                <w:color w:val="3E3935"/>
              </w:rPr>
              <w:t>—</w:t>
            </w:r>
          </w:p>
        </w:tc>
        <w:tc>
          <w:tcPr>
            <w:tcW w:w="1380" w:type="dxa"/>
            <w:vAlign w:val="bottom"/>
            <w:vMerge w:val="restart"/>
          </w:tcPr>
          <w:p>
            <w:pPr>
              <w:jc w:val="right"/>
              <w:ind w:right="7"/>
              <w:spacing w:after="0"/>
              <w:rPr>
                <w:sz w:val="20"/>
                <w:szCs w:val="20"/>
                <w:color w:val="auto"/>
              </w:rPr>
            </w:pPr>
            <w:r>
              <w:rPr>
                <w:rFonts w:ascii="Arial" w:cs="Arial" w:eastAsia="Arial" w:hAnsi="Arial"/>
                <w:sz w:val="14"/>
                <w:szCs w:val="14"/>
                <w:color w:val="3E3935"/>
              </w:rPr>
              <w:t>155,422</w:t>
            </w:r>
          </w:p>
        </w:tc>
        <w:tc>
          <w:tcPr>
            <w:tcW w:w="920" w:type="dxa"/>
            <w:vAlign w:val="bottom"/>
            <w:vMerge w:val="restart"/>
          </w:tcPr>
          <w:p>
            <w:pPr>
              <w:jc w:val="right"/>
              <w:ind w:right="48"/>
              <w:spacing w:after="0"/>
              <w:rPr>
                <w:sz w:val="20"/>
                <w:szCs w:val="20"/>
                <w:color w:val="auto"/>
              </w:rPr>
            </w:pPr>
            <w:r>
              <w:rPr>
                <w:rFonts w:ascii="Arial" w:cs="Arial" w:eastAsia="Arial" w:hAnsi="Arial"/>
                <w:sz w:val="14"/>
                <w:szCs w:val="14"/>
                <w:color w:val="3E3935"/>
              </w:rPr>
              <w:t>9,578,648</w:t>
            </w:r>
          </w:p>
        </w:tc>
        <w:tc>
          <w:tcPr>
            <w:tcW w:w="0" w:type="dxa"/>
            <w:vAlign w:val="bottom"/>
          </w:tcPr>
          <w:p>
            <w:pPr>
              <w:spacing w:after="0"/>
              <w:rPr>
                <w:sz w:val="1"/>
                <w:szCs w:val="1"/>
                <w:color w:val="auto"/>
              </w:rPr>
            </w:pPr>
          </w:p>
        </w:tc>
      </w:tr>
      <w:tr>
        <w:trPr>
          <w:trHeight w:val="122"/>
        </w:trPr>
        <w:tc>
          <w:tcPr>
            <w:tcW w:w="2160" w:type="dxa"/>
            <w:vAlign w:val="bottom"/>
            <w:vMerge w:val="restart"/>
          </w:tcPr>
          <w:p>
            <w:pPr>
              <w:ind w:left="60"/>
              <w:spacing w:after="0"/>
              <w:rPr>
                <w:sz w:val="20"/>
                <w:szCs w:val="20"/>
                <w:color w:val="auto"/>
              </w:rPr>
            </w:pPr>
            <w:r>
              <w:rPr>
                <w:rFonts w:ascii="Arial" w:cs="Arial" w:eastAsia="Arial" w:hAnsi="Arial"/>
                <w:sz w:val="14"/>
                <w:szCs w:val="14"/>
                <w:color w:val="3E3935"/>
              </w:rPr>
              <w:t>President and Chief</w:t>
            </w:r>
          </w:p>
        </w:tc>
        <w:tc>
          <w:tcPr>
            <w:tcW w:w="600" w:type="dxa"/>
            <w:vAlign w:val="bottom"/>
            <w:tcBorders>
              <w:bottom w:val="single" w:sz="8" w:color="3E3935"/>
            </w:tcBorders>
            <w:vMerge w:val="continue"/>
          </w:tcPr>
          <w:p>
            <w:pPr>
              <w:spacing w:after="0"/>
              <w:rPr>
                <w:sz w:val="10"/>
                <w:szCs w:val="10"/>
                <w:color w:val="auto"/>
              </w:rPr>
            </w:pPr>
          </w:p>
        </w:tc>
        <w:tc>
          <w:tcPr>
            <w:tcW w:w="840" w:type="dxa"/>
            <w:vAlign w:val="bottom"/>
            <w:tcBorders>
              <w:bottom w:val="single" w:sz="8" w:color="3E3935"/>
            </w:tcBorders>
            <w:vMerge w:val="continue"/>
          </w:tcPr>
          <w:p>
            <w:pPr>
              <w:spacing w:after="0"/>
              <w:rPr>
                <w:sz w:val="10"/>
                <w:szCs w:val="10"/>
                <w:color w:val="auto"/>
              </w:rPr>
            </w:pPr>
          </w:p>
        </w:tc>
        <w:tc>
          <w:tcPr>
            <w:tcW w:w="680" w:type="dxa"/>
            <w:vAlign w:val="bottom"/>
            <w:tcBorders>
              <w:bottom w:val="single" w:sz="8" w:color="3E3935"/>
            </w:tcBorders>
            <w:vMerge w:val="continue"/>
          </w:tcPr>
          <w:p>
            <w:pPr>
              <w:spacing w:after="0"/>
              <w:rPr>
                <w:sz w:val="10"/>
                <w:szCs w:val="10"/>
                <w:color w:val="auto"/>
              </w:rPr>
            </w:pPr>
          </w:p>
        </w:tc>
        <w:tc>
          <w:tcPr>
            <w:tcW w:w="920" w:type="dxa"/>
            <w:vAlign w:val="bottom"/>
            <w:tcBorders>
              <w:bottom w:val="single" w:sz="8" w:color="3E3935"/>
            </w:tcBorders>
            <w:vMerge w:val="continue"/>
          </w:tcPr>
          <w:p>
            <w:pPr>
              <w:spacing w:after="0"/>
              <w:rPr>
                <w:sz w:val="10"/>
                <w:szCs w:val="10"/>
                <w:color w:val="auto"/>
              </w:rPr>
            </w:pPr>
          </w:p>
        </w:tc>
        <w:tc>
          <w:tcPr>
            <w:tcW w:w="880" w:type="dxa"/>
            <w:vAlign w:val="bottom"/>
            <w:tcBorders>
              <w:bottom w:val="single" w:sz="8" w:color="3E3935"/>
            </w:tcBorders>
            <w:vMerge w:val="continue"/>
          </w:tcPr>
          <w:p>
            <w:pPr>
              <w:spacing w:after="0"/>
              <w:rPr>
                <w:sz w:val="10"/>
                <w:szCs w:val="10"/>
                <w:color w:val="auto"/>
              </w:rPr>
            </w:pPr>
          </w:p>
        </w:tc>
        <w:tc>
          <w:tcPr>
            <w:tcW w:w="1400" w:type="dxa"/>
            <w:vAlign w:val="bottom"/>
            <w:tcBorders>
              <w:bottom w:val="single" w:sz="8" w:color="3E3935"/>
            </w:tcBorders>
            <w:vMerge w:val="continue"/>
          </w:tcPr>
          <w:p>
            <w:pPr>
              <w:spacing w:after="0"/>
              <w:rPr>
                <w:sz w:val="10"/>
                <w:szCs w:val="10"/>
                <w:color w:val="auto"/>
              </w:rPr>
            </w:pPr>
          </w:p>
        </w:tc>
        <w:tc>
          <w:tcPr>
            <w:tcW w:w="1240" w:type="dxa"/>
            <w:vAlign w:val="bottom"/>
            <w:tcBorders>
              <w:bottom w:val="single" w:sz="8" w:color="3E3935"/>
            </w:tcBorders>
            <w:vMerge w:val="continue"/>
          </w:tcPr>
          <w:p>
            <w:pPr>
              <w:spacing w:after="0"/>
              <w:rPr>
                <w:sz w:val="10"/>
                <w:szCs w:val="10"/>
                <w:color w:val="auto"/>
              </w:rPr>
            </w:pPr>
          </w:p>
        </w:tc>
        <w:tc>
          <w:tcPr>
            <w:tcW w:w="1380" w:type="dxa"/>
            <w:vAlign w:val="bottom"/>
            <w:tcBorders>
              <w:bottom w:val="single" w:sz="8" w:color="3E3935"/>
            </w:tcBorders>
            <w:vMerge w:val="continue"/>
          </w:tcPr>
          <w:p>
            <w:pPr>
              <w:spacing w:after="0"/>
              <w:rPr>
                <w:sz w:val="10"/>
                <w:szCs w:val="10"/>
                <w:color w:val="auto"/>
              </w:rPr>
            </w:pPr>
          </w:p>
        </w:tc>
        <w:tc>
          <w:tcPr>
            <w:tcW w:w="920" w:type="dxa"/>
            <w:vAlign w:val="bottom"/>
            <w:tcBorders>
              <w:bottom w:val="single" w:sz="8" w:color="3E3935"/>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5"/>
        </w:trPr>
        <w:tc>
          <w:tcPr>
            <w:tcW w:w="2160" w:type="dxa"/>
            <w:vAlign w:val="bottom"/>
            <w:vMerge w:val="continue"/>
          </w:tcPr>
          <w:p>
            <w:pPr>
              <w:spacing w:after="0"/>
              <w:rPr>
                <w:sz w:val="2"/>
                <w:szCs w:val="2"/>
                <w:color w:val="auto"/>
              </w:rPr>
            </w:pPr>
          </w:p>
        </w:tc>
        <w:tc>
          <w:tcPr>
            <w:tcW w:w="600" w:type="dxa"/>
            <w:vAlign w:val="bottom"/>
          </w:tcPr>
          <w:p>
            <w:pPr>
              <w:spacing w:after="0"/>
              <w:rPr>
                <w:sz w:val="2"/>
                <w:szCs w:val="2"/>
                <w:color w:val="auto"/>
              </w:rPr>
            </w:pPr>
          </w:p>
        </w:tc>
        <w:tc>
          <w:tcPr>
            <w:tcW w:w="840" w:type="dxa"/>
            <w:vAlign w:val="bottom"/>
          </w:tcPr>
          <w:p>
            <w:pPr>
              <w:spacing w:after="0"/>
              <w:rPr>
                <w:sz w:val="2"/>
                <w:szCs w:val="2"/>
                <w:color w:val="auto"/>
              </w:rPr>
            </w:pPr>
          </w:p>
        </w:tc>
        <w:tc>
          <w:tcPr>
            <w:tcW w:w="680" w:type="dxa"/>
            <w:vAlign w:val="bottom"/>
          </w:tcPr>
          <w:p>
            <w:pPr>
              <w:spacing w:after="0"/>
              <w:rPr>
                <w:sz w:val="2"/>
                <w:szCs w:val="2"/>
                <w:color w:val="auto"/>
              </w:rPr>
            </w:pPr>
          </w:p>
        </w:tc>
        <w:tc>
          <w:tcPr>
            <w:tcW w:w="9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5"/>
        </w:trPr>
        <w:tc>
          <w:tcPr>
            <w:tcW w:w="2160" w:type="dxa"/>
            <w:vAlign w:val="bottom"/>
            <w:tcBorders>
              <w:bottom w:val="single" w:sz="8" w:color="3E3935"/>
            </w:tcBorders>
          </w:tcPr>
          <w:p>
            <w:pPr>
              <w:ind w:left="60"/>
              <w:spacing w:after="0"/>
              <w:rPr>
                <w:sz w:val="20"/>
                <w:szCs w:val="20"/>
                <w:color w:val="auto"/>
              </w:rPr>
            </w:pPr>
            <w:r>
              <w:rPr>
                <w:rFonts w:ascii="Arial" w:cs="Arial" w:eastAsia="Arial" w:hAnsi="Arial"/>
                <w:sz w:val="14"/>
                <w:szCs w:val="14"/>
                <w:color w:val="3E3935"/>
              </w:rPr>
              <w:t>Financial Officer</w:t>
            </w:r>
          </w:p>
        </w:tc>
        <w:tc>
          <w:tcPr>
            <w:tcW w:w="600" w:type="dxa"/>
            <w:vAlign w:val="bottom"/>
            <w:tcBorders>
              <w:bottom w:val="single" w:sz="8" w:color="3E3935"/>
            </w:tcBorders>
          </w:tcPr>
          <w:p>
            <w:pPr>
              <w:ind w:left="160"/>
              <w:spacing w:after="0"/>
              <w:rPr>
                <w:sz w:val="20"/>
                <w:szCs w:val="20"/>
                <w:color w:val="auto"/>
              </w:rPr>
            </w:pPr>
            <w:r>
              <w:rPr>
                <w:rFonts w:ascii="Arial" w:cs="Arial" w:eastAsia="Arial" w:hAnsi="Arial"/>
                <w:sz w:val="14"/>
                <w:szCs w:val="14"/>
                <w:color w:val="3E3935"/>
              </w:rPr>
              <w:t>2020</w:t>
            </w:r>
          </w:p>
        </w:tc>
        <w:tc>
          <w:tcPr>
            <w:tcW w:w="840" w:type="dxa"/>
            <w:vAlign w:val="bottom"/>
            <w:tcBorders>
              <w:bottom w:val="single" w:sz="8" w:color="3E3935"/>
            </w:tcBorders>
          </w:tcPr>
          <w:p>
            <w:pPr>
              <w:jc w:val="right"/>
              <w:ind w:right="28"/>
              <w:spacing w:after="0"/>
              <w:rPr>
                <w:sz w:val="20"/>
                <w:szCs w:val="20"/>
                <w:color w:val="auto"/>
              </w:rPr>
            </w:pPr>
            <w:r>
              <w:rPr>
                <w:rFonts w:ascii="Arial" w:cs="Arial" w:eastAsia="Arial" w:hAnsi="Arial"/>
                <w:sz w:val="14"/>
                <w:szCs w:val="14"/>
                <w:color w:val="3E3935"/>
              </w:rPr>
              <w:t>83,333</w:t>
            </w:r>
          </w:p>
        </w:tc>
        <w:tc>
          <w:tcPr>
            <w:tcW w:w="680" w:type="dxa"/>
            <w:vAlign w:val="bottom"/>
            <w:tcBorders>
              <w:bottom w:val="single" w:sz="8" w:color="3E3935"/>
            </w:tcBorders>
          </w:tcPr>
          <w:p>
            <w:pPr>
              <w:jc w:val="right"/>
              <w:ind w:right="48"/>
              <w:spacing w:after="0"/>
              <w:rPr>
                <w:sz w:val="20"/>
                <w:szCs w:val="20"/>
                <w:color w:val="auto"/>
              </w:rPr>
            </w:pPr>
            <w:r>
              <w:rPr>
                <w:rFonts w:ascii="Arial" w:cs="Arial" w:eastAsia="Arial" w:hAnsi="Arial"/>
                <w:sz w:val="14"/>
                <w:szCs w:val="14"/>
                <w:color w:val="3E3935"/>
              </w:rPr>
              <w:t>—</w:t>
            </w:r>
          </w:p>
        </w:tc>
        <w:tc>
          <w:tcPr>
            <w:tcW w:w="920" w:type="dxa"/>
            <w:vAlign w:val="bottom"/>
            <w:tcBorders>
              <w:bottom w:val="single" w:sz="8" w:color="3E3935"/>
            </w:tcBorders>
          </w:tcPr>
          <w:p>
            <w:pPr>
              <w:jc w:val="right"/>
              <w:ind w:right="7"/>
              <w:spacing w:after="0"/>
              <w:rPr>
                <w:sz w:val="20"/>
                <w:szCs w:val="20"/>
                <w:color w:val="auto"/>
              </w:rPr>
            </w:pPr>
            <w:r>
              <w:rPr>
                <w:rFonts w:ascii="Arial" w:cs="Arial" w:eastAsia="Arial" w:hAnsi="Arial"/>
                <w:sz w:val="14"/>
                <w:szCs w:val="14"/>
                <w:color w:val="3E3935"/>
              </w:rPr>
              <w:t>4,475,128</w:t>
            </w:r>
          </w:p>
        </w:tc>
        <w:tc>
          <w:tcPr>
            <w:tcW w:w="880" w:type="dxa"/>
            <w:vAlign w:val="bottom"/>
            <w:tcBorders>
              <w:bottom w:val="single" w:sz="8" w:color="3E3935"/>
            </w:tcBorders>
          </w:tcPr>
          <w:p>
            <w:pPr>
              <w:jc w:val="right"/>
              <w:ind w:right="7"/>
              <w:spacing w:after="0"/>
              <w:rPr>
                <w:sz w:val="20"/>
                <w:szCs w:val="20"/>
                <w:color w:val="auto"/>
              </w:rPr>
            </w:pPr>
            <w:r>
              <w:rPr>
                <w:rFonts w:ascii="Arial" w:cs="Arial" w:eastAsia="Arial" w:hAnsi="Arial"/>
                <w:sz w:val="14"/>
                <w:szCs w:val="14"/>
                <w:color w:val="3E3935"/>
              </w:rPr>
              <w:t>525,001</w:t>
            </w:r>
          </w:p>
        </w:tc>
        <w:tc>
          <w:tcPr>
            <w:tcW w:w="1400" w:type="dxa"/>
            <w:vAlign w:val="bottom"/>
            <w:tcBorders>
              <w:bottom w:val="single" w:sz="8" w:color="3E3935"/>
            </w:tcBorders>
          </w:tcPr>
          <w:p>
            <w:pPr>
              <w:jc w:val="right"/>
              <w:ind w:right="27"/>
              <w:spacing w:after="0"/>
              <w:rPr>
                <w:sz w:val="20"/>
                <w:szCs w:val="20"/>
                <w:color w:val="auto"/>
              </w:rPr>
            </w:pPr>
            <w:r>
              <w:rPr>
                <w:rFonts w:ascii="Arial" w:cs="Arial" w:eastAsia="Arial" w:hAnsi="Arial"/>
                <w:sz w:val="14"/>
                <w:szCs w:val="14"/>
                <w:color w:val="3E3935"/>
              </w:rPr>
              <w:t>88,600</w:t>
            </w:r>
          </w:p>
        </w:tc>
        <w:tc>
          <w:tcPr>
            <w:tcW w:w="1240" w:type="dxa"/>
            <w:vAlign w:val="bottom"/>
            <w:tcBorders>
              <w:bottom w:val="single" w:sz="8" w:color="3E3935"/>
            </w:tcBorders>
          </w:tcPr>
          <w:p>
            <w:pPr>
              <w:jc w:val="right"/>
              <w:ind w:right="27"/>
              <w:spacing w:after="0"/>
              <w:rPr>
                <w:sz w:val="20"/>
                <w:szCs w:val="20"/>
                <w:color w:val="auto"/>
              </w:rPr>
            </w:pPr>
            <w:r>
              <w:rPr>
                <w:rFonts w:ascii="Arial" w:cs="Arial" w:eastAsia="Arial" w:hAnsi="Arial"/>
                <w:sz w:val="14"/>
                <w:szCs w:val="14"/>
                <w:color w:val="3E3935"/>
              </w:rPr>
              <w:t>—</w:t>
            </w:r>
          </w:p>
        </w:tc>
        <w:tc>
          <w:tcPr>
            <w:tcW w:w="1380" w:type="dxa"/>
            <w:vAlign w:val="bottom"/>
            <w:tcBorders>
              <w:bottom w:val="single" w:sz="8" w:color="3E3935"/>
            </w:tcBorders>
          </w:tcPr>
          <w:p>
            <w:pPr>
              <w:jc w:val="right"/>
              <w:ind w:right="7"/>
              <w:spacing w:after="0"/>
              <w:rPr>
                <w:sz w:val="20"/>
                <w:szCs w:val="20"/>
                <w:color w:val="auto"/>
              </w:rPr>
            </w:pPr>
            <w:r>
              <w:rPr>
                <w:rFonts w:ascii="Arial" w:cs="Arial" w:eastAsia="Arial" w:hAnsi="Arial"/>
                <w:sz w:val="14"/>
                <w:szCs w:val="14"/>
                <w:color w:val="3E3935"/>
              </w:rPr>
              <w:t>7,610</w:t>
            </w:r>
          </w:p>
        </w:tc>
        <w:tc>
          <w:tcPr>
            <w:tcW w:w="920" w:type="dxa"/>
            <w:vAlign w:val="bottom"/>
            <w:tcBorders>
              <w:bottom w:val="single" w:sz="8" w:color="3E3935"/>
            </w:tcBorders>
          </w:tcPr>
          <w:p>
            <w:pPr>
              <w:jc w:val="right"/>
              <w:ind w:right="48"/>
              <w:spacing w:after="0"/>
              <w:rPr>
                <w:sz w:val="20"/>
                <w:szCs w:val="20"/>
                <w:color w:val="auto"/>
              </w:rPr>
            </w:pPr>
            <w:r>
              <w:rPr>
                <w:rFonts w:ascii="Arial" w:cs="Arial" w:eastAsia="Arial" w:hAnsi="Arial"/>
                <w:sz w:val="14"/>
                <w:szCs w:val="14"/>
                <w:color w:val="3E3935"/>
              </w:rPr>
              <w:t>5,179,672</w:t>
            </w:r>
          </w:p>
        </w:tc>
        <w:tc>
          <w:tcPr>
            <w:tcW w:w="0" w:type="dxa"/>
            <w:vAlign w:val="bottom"/>
          </w:tcPr>
          <w:p>
            <w:pPr>
              <w:spacing w:after="0"/>
              <w:rPr>
                <w:sz w:val="1"/>
                <w:szCs w:val="1"/>
                <w:color w:val="auto"/>
              </w:rPr>
            </w:pPr>
          </w:p>
        </w:tc>
      </w:tr>
      <w:tr>
        <w:trPr>
          <w:trHeight w:val="210"/>
        </w:trPr>
        <w:tc>
          <w:tcPr>
            <w:tcW w:w="2160" w:type="dxa"/>
            <w:vAlign w:val="bottom"/>
          </w:tcPr>
          <w:p>
            <w:pPr>
              <w:ind w:left="60"/>
              <w:spacing w:after="0"/>
              <w:rPr>
                <w:sz w:val="20"/>
                <w:szCs w:val="20"/>
                <w:color w:val="auto"/>
              </w:rPr>
            </w:pPr>
            <w:r>
              <w:rPr>
                <w:rFonts w:ascii="Arial" w:cs="Arial" w:eastAsia="Arial" w:hAnsi="Arial"/>
                <w:sz w:val="14"/>
                <w:szCs w:val="14"/>
                <w:b w:val="1"/>
                <w:bCs w:val="1"/>
                <w:color w:val="3E3935"/>
              </w:rPr>
              <w:t>Mark L. Reuss</w:t>
            </w:r>
          </w:p>
        </w:tc>
        <w:tc>
          <w:tcPr>
            <w:tcW w:w="600" w:type="dxa"/>
            <w:vAlign w:val="bottom"/>
            <w:tcBorders>
              <w:bottom w:val="single" w:sz="8" w:color="3E3935"/>
            </w:tcBorders>
          </w:tcPr>
          <w:p>
            <w:pPr>
              <w:ind w:left="160"/>
              <w:spacing w:after="0"/>
              <w:rPr>
                <w:sz w:val="20"/>
                <w:szCs w:val="20"/>
                <w:color w:val="auto"/>
              </w:rPr>
            </w:pPr>
            <w:r>
              <w:rPr>
                <w:rFonts w:ascii="Arial" w:cs="Arial" w:eastAsia="Arial" w:hAnsi="Arial"/>
                <w:sz w:val="14"/>
                <w:szCs w:val="14"/>
                <w:color w:val="3E3935"/>
              </w:rPr>
              <w:t>2022</w:t>
            </w:r>
          </w:p>
        </w:tc>
        <w:tc>
          <w:tcPr>
            <w:tcW w:w="840" w:type="dxa"/>
            <w:vAlign w:val="bottom"/>
            <w:tcBorders>
              <w:bottom w:val="single" w:sz="8" w:color="3E3935"/>
            </w:tcBorders>
          </w:tcPr>
          <w:p>
            <w:pPr>
              <w:jc w:val="right"/>
              <w:ind w:right="28"/>
              <w:spacing w:after="0"/>
              <w:rPr>
                <w:sz w:val="20"/>
                <w:szCs w:val="20"/>
                <w:color w:val="auto"/>
              </w:rPr>
            </w:pPr>
            <w:r>
              <w:rPr>
                <w:rFonts w:ascii="Arial" w:cs="Arial" w:eastAsia="Arial" w:hAnsi="Arial"/>
                <w:sz w:val="14"/>
                <w:szCs w:val="14"/>
                <w:color w:val="3E3935"/>
              </w:rPr>
              <w:t>1,350,000</w:t>
            </w:r>
          </w:p>
        </w:tc>
        <w:tc>
          <w:tcPr>
            <w:tcW w:w="680" w:type="dxa"/>
            <w:vAlign w:val="bottom"/>
            <w:tcBorders>
              <w:bottom w:val="single" w:sz="8" w:color="3E3935"/>
            </w:tcBorders>
          </w:tcPr>
          <w:p>
            <w:pPr>
              <w:jc w:val="right"/>
              <w:ind w:right="48"/>
              <w:spacing w:after="0"/>
              <w:rPr>
                <w:sz w:val="20"/>
                <w:szCs w:val="20"/>
                <w:color w:val="auto"/>
              </w:rPr>
            </w:pPr>
            <w:r>
              <w:rPr>
                <w:rFonts w:ascii="Arial" w:cs="Arial" w:eastAsia="Arial" w:hAnsi="Arial"/>
                <w:sz w:val="14"/>
                <w:szCs w:val="14"/>
                <w:color w:val="3E3935"/>
              </w:rPr>
              <w:t>—</w:t>
            </w:r>
          </w:p>
        </w:tc>
        <w:tc>
          <w:tcPr>
            <w:tcW w:w="920" w:type="dxa"/>
            <w:vAlign w:val="bottom"/>
            <w:tcBorders>
              <w:bottom w:val="single" w:sz="8" w:color="3E3935"/>
            </w:tcBorders>
          </w:tcPr>
          <w:p>
            <w:pPr>
              <w:jc w:val="right"/>
              <w:ind w:right="7"/>
              <w:spacing w:after="0"/>
              <w:rPr>
                <w:sz w:val="20"/>
                <w:szCs w:val="20"/>
                <w:color w:val="auto"/>
              </w:rPr>
            </w:pPr>
            <w:r>
              <w:rPr>
                <w:rFonts w:ascii="Arial" w:cs="Arial" w:eastAsia="Arial" w:hAnsi="Arial"/>
                <w:sz w:val="14"/>
                <w:szCs w:val="14"/>
                <w:color w:val="3E3935"/>
              </w:rPr>
              <w:t>7,471,875</w:t>
            </w:r>
          </w:p>
        </w:tc>
        <w:tc>
          <w:tcPr>
            <w:tcW w:w="880" w:type="dxa"/>
            <w:vAlign w:val="bottom"/>
            <w:tcBorders>
              <w:bottom w:val="single" w:sz="8" w:color="3E3935"/>
            </w:tcBorders>
          </w:tcPr>
          <w:p>
            <w:pPr>
              <w:jc w:val="right"/>
              <w:ind w:right="7"/>
              <w:spacing w:after="0"/>
              <w:rPr>
                <w:sz w:val="20"/>
                <w:szCs w:val="20"/>
                <w:color w:val="auto"/>
              </w:rPr>
            </w:pPr>
            <w:r>
              <w:rPr>
                <w:rFonts w:ascii="Arial" w:cs="Arial" w:eastAsia="Arial" w:hAnsi="Arial"/>
                <w:sz w:val="14"/>
                <w:szCs w:val="14"/>
                <w:color w:val="3E3935"/>
              </w:rPr>
              <w:t>2,490,626</w:t>
            </w:r>
          </w:p>
        </w:tc>
        <w:tc>
          <w:tcPr>
            <w:tcW w:w="1400" w:type="dxa"/>
            <w:vAlign w:val="bottom"/>
            <w:tcBorders>
              <w:bottom w:val="single" w:sz="8" w:color="3E3935"/>
            </w:tcBorders>
          </w:tcPr>
          <w:p>
            <w:pPr>
              <w:jc w:val="right"/>
              <w:ind w:right="27"/>
              <w:spacing w:after="0"/>
              <w:rPr>
                <w:sz w:val="20"/>
                <w:szCs w:val="20"/>
                <w:color w:val="auto"/>
              </w:rPr>
            </w:pPr>
            <w:r>
              <w:rPr>
                <w:rFonts w:ascii="Arial" w:cs="Arial" w:eastAsia="Arial" w:hAnsi="Arial"/>
                <w:sz w:val="14"/>
                <w:szCs w:val="14"/>
                <w:color w:val="3E3935"/>
              </w:rPr>
              <w:t>2,598,800</w:t>
            </w:r>
          </w:p>
        </w:tc>
        <w:tc>
          <w:tcPr>
            <w:tcW w:w="1240" w:type="dxa"/>
            <w:vAlign w:val="bottom"/>
            <w:tcBorders>
              <w:bottom w:val="single" w:sz="8" w:color="3E3935"/>
            </w:tcBorders>
          </w:tcPr>
          <w:p>
            <w:pPr>
              <w:jc w:val="right"/>
              <w:ind w:right="27"/>
              <w:spacing w:after="0"/>
              <w:rPr>
                <w:sz w:val="20"/>
                <w:szCs w:val="20"/>
                <w:color w:val="auto"/>
              </w:rPr>
            </w:pPr>
            <w:r>
              <w:rPr>
                <w:rFonts w:ascii="Arial" w:cs="Arial" w:eastAsia="Arial" w:hAnsi="Arial"/>
                <w:sz w:val="14"/>
                <w:szCs w:val="14"/>
                <w:color w:val="3E3935"/>
              </w:rPr>
              <w:t>—</w:t>
            </w:r>
          </w:p>
        </w:tc>
        <w:tc>
          <w:tcPr>
            <w:tcW w:w="1380" w:type="dxa"/>
            <w:vAlign w:val="bottom"/>
            <w:tcBorders>
              <w:bottom w:val="single" w:sz="8" w:color="3E3935"/>
            </w:tcBorders>
          </w:tcPr>
          <w:p>
            <w:pPr>
              <w:jc w:val="right"/>
              <w:ind w:right="7"/>
              <w:spacing w:after="0"/>
              <w:rPr>
                <w:sz w:val="20"/>
                <w:szCs w:val="20"/>
                <w:color w:val="auto"/>
              </w:rPr>
            </w:pPr>
            <w:r>
              <w:rPr>
                <w:rFonts w:ascii="Arial" w:cs="Arial" w:eastAsia="Arial" w:hAnsi="Arial"/>
                <w:sz w:val="14"/>
                <w:szCs w:val="14"/>
                <w:color w:val="3E3935"/>
              </w:rPr>
              <w:t>438,250</w:t>
            </w:r>
          </w:p>
        </w:tc>
        <w:tc>
          <w:tcPr>
            <w:tcW w:w="920" w:type="dxa"/>
            <w:vAlign w:val="bottom"/>
            <w:tcBorders>
              <w:bottom w:val="single" w:sz="8" w:color="3E3935"/>
            </w:tcBorders>
          </w:tcPr>
          <w:p>
            <w:pPr>
              <w:jc w:val="right"/>
              <w:ind w:right="48"/>
              <w:spacing w:after="0"/>
              <w:rPr>
                <w:sz w:val="20"/>
                <w:szCs w:val="20"/>
                <w:color w:val="auto"/>
              </w:rPr>
            </w:pPr>
            <w:r>
              <w:rPr>
                <w:rFonts w:ascii="Arial" w:cs="Arial" w:eastAsia="Arial" w:hAnsi="Arial"/>
                <w:sz w:val="14"/>
                <w:szCs w:val="14"/>
                <w:color w:val="3E3935"/>
              </w:rPr>
              <w:t>14,349,551</w:t>
            </w:r>
          </w:p>
        </w:tc>
        <w:tc>
          <w:tcPr>
            <w:tcW w:w="0" w:type="dxa"/>
            <w:vAlign w:val="bottom"/>
          </w:tcPr>
          <w:p>
            <w:pPr>
              <w:spacing w:after="0"/>
              <w:rPr>
                <w:sz w:val="1"/>
                <w:szCs w:val="1"/>
                <w:color w:val="auto"/>
              </w:rPr>
            </w:pPr>
          </w:p>
        </w:tc>
      </w:tr>
      <w:tr>
        <w:trPr>
          <w:trHeight w:val="155"/>
        </w:trPr>
        <w:tc>
          <w:tcPr>
            <w:tcW w:w="2160" w:type="dxa"/>
            <w:vAlign w:val="bottom"/>
          </w:tcPr>
          <w:p>
            <w:pPr>
              <w:ind w:left="60"/>
              <w:spacing w:after="0" w:line="155" w:lineRule="exact"/>
              <w:rPr>
                <w:sz w:val="20"/>
                <w:szCs w:val="20"/>
                <w:color w:val="auto"/>
              </w:rPr>
            </w:pPr>
            <w:r>
              <w:rPr>
                <w:rFonts w:ascii="Arial" w:cs="Arial" w:eastAsia="Arial" w:hAnsi="Arial"/>
                <w:sz w:val="14"/>
                <w:szCs w:val="14"/>
                <w:color w:val="3E3935"/>
              </w:rPr>
              <w:t>President</w:t>
            </w:r>
          </w:p>
        </w:tc>
        <w:tc>
          <w:tcPr>
            <w:tcW w:w="600" w:type="dxa"/>
            <w:vAlign w:val="bottom"/>
            <w:tcBorders>
              <w:bottom w:val="single" w:sz="8" w:color="3E3935"/>
            </w:tcBorders>
          </w:tcPr>
          <w:p>
            <w:pPr>
              <w:ind w:left="160"/>
              <w:spacing w:after="0" w:line="155" w:lineRule="exact"/>
              <w:rPr>
                <w:sz w:val="20"/>
                <w:szCs w:val="20"/>
                <w:color w:val="auto"/>
              </w:rPr>
            </w:pPr>
            <w:r>
              <w:rPr>
                <w:rFonts w:ascii="Arial" w:cs="Arial" w:eastAsia="Arial" w:hAnsi="Arial"/>
                <w:sz w:val="14"/>
                <w:szCs w:val="14"/>
                <w:color w:val="3E3935"/>
              </w:rPr>
              <w:t>2021</w:t>
            </w:r>
          </w:p>
        </w:tc>
        <w:tc>
          <w:tcPr>
            <w:tcW w:w="840" w:type="dxa"/>
            <w:vAlign w:val="bottom"/>
            <w:tcBorders>
              <w:bottom w:val="single" w:sz="8" w:color="3E3935"/>
            </w:tcBorders>
          </w:tcPr>
          <w:p>
            <w:pPr>
              <w:jc w:val="right"/>
              <w:ind w:right="28"/>
              <w:spacing w:after="0" w:line="155" w:lineRule="exact"/>
              <w:rPr>
                <w:sz w:val="20"/>
                <w:szCs w:val="20"/>
                <w:color w:val="auto"/>
              </w:rPr>
            </w:pPr>
            <w:r>
              <w:rPr>
                <w:rFonts w:ascii="Arial" w:cs="Arial" w:eastAsia="Arial" w:hAnsi="Arial"/>
                <w:sz w:val="14"/>
                <w:szCs w:val="14"/>
                <w:color w:val="3E3935"/>
              </w:rPr>
              <w:t>1,300,000</w:t>
            </w:r>
          </w:p>
        </w:tc>
        <w:tc>
          <w:tcPr>
            <w:tcW w:w="680" w:type="dxa"/>
            <w:vAlign w:val="bottom"/>
            <w:tcBorders>
              <w:bottom w:val="single" w:sz="8" w:color="3E3935"/>
            </w:tcBorders>
          </w:tcPr>
          <w:p>
            <w:pPr>
              <w:jc w:val="right"/>
              <w:ind w:right="48"/>
              <w:spacing w:after="0" w:line="155" w:lineRule="exact"/>
              <w:rPr>
                <w:sz w:val="20"/>
                <w:szCs w:val="20"/>
                <w:color w:val="auto"/>
              </w:rPr>
            </w:pPr>
            <w:r>
              <w:rPr>
                <w:rFonts w:ascii="Arial" w:cs="Arial" w:eastAsia="Arial" w:hAnsi="Arial"/>
                <w:sz w:val="14"/>
                <w:szCs w:val="14"/>
                <w:color w:val="3E3935"/>
              </w:rPr>
              <w:t>—</w:t>
            </w:r>
          </w:p>
        </w:tc>
        <w:tc>
          <w:tcPr>
            <w:tcW w:w="920" w:type="dxa"/>
            <w:vAlign w:val="bottom"/>
            <w:tcBorders>
              <w:bottom w:val="single" w:sz="8" w:color="3E3935"/>
            </w:tcBorders>
          </w:tcPr>
          <w:p>
            <w:pPr>
              <w:jc w:val="right"/>
              <w:ind w:right="7"/>
              <w:spacing w:after="0" w:line="155" w:lineRule="exact"/>
              <w:rPr>
                <w:sz w:val="20"/>
                <w:szCs w:val="20"/>
                <w:color w:val="auto"/>
              </w:rPr>
            </w:pPr>
            <w:r>
              <w:rPr>
                <w:rFonts w:ascii="Arial" w:cs="Arial" w:eastAsia="Arial" w:hAnsi="Arial"/>
                <w:sz w:val="14"/>
                <w:szCs w:val="14"/>
                <w:color w:val="3E3935"/>
              </w:rPr>
              <w:t>6,180,076</w:t>
            </w:r>
          </w:p>
        </w:tc>
        <w:tc>
          <w:tcPr>
            <w:tcW w:w="880" w:type="dxa"/>
            <w:vAlign w:val="bottom"/>
            <w:tcBorders>
              <w:bottom w:val="single" w:sz="8" w:color="3E3935"/>
            </w:tcBorders>
          </w:tcPr>
          <w:p>
            <w:pPr>
              <w:jc w:val="right"/>
              <w:ind w:right="7"/>
              <w:spacing w:after="0" w:line="155" w:lineRule="exact"/>
              <w:rPr>
                <w:sz w:val="20"/>
                <w:szCs w:val="20"/>
                <w:color w:val="auto"/>
              </w:rPr>
            </w:pPr>
            <w:r>
              <w:rPr>
                <w:rFonts w:ascii="Arial" w:cs="Arial" w:eastAsia="Arial" w:hAnsi="Arial"/>
                <w:sz w:val="14"/>
                <w:szCs w:val="14"/>
                <w:color w:val="3E3935"/>
              </w:rPr>
              <w:t>1,668,752</w:t>
            </w:r>
          </w:p>
        </w:tc>
        <w:tc>
          <w:tcPr>
            <w:tcW w:w="1400" w:type="dxa"/>
            <w:vAlign w:val="bottom"/>
            <w:tcBorders>
              <w:bottom w:val="single" w:sz="8" w:color="3E3935"/>
            </w:tcBorders>
          </w:tcPr>
          <w:p>
            <w:pPr>
              <w:jc w:val="right"/>
              <w:ind w:right="27"/>
              <w:spacing w:after="0" w:line="155" w:lineRule="exact"/>
              <w:rPr>
                <w:sz w:val="20"/>
                <w:szCs w:val="20"/>
                <w:color w:val="auto"/>
              </w:rPr>
            </w:pPr>
            <w:r>
              <w:rPr>
                <w:rFonts w:ascii="Arial" w:cs="Arial" w:eastAsia="Arial" w:hAnsi="Arial"/>
                <w:sz w:val="14"/>
                <w:szCs w:val="14"/>
                <w:color w:val="3E3935"/>
              </w:rPr>
              <w:t>3,038,800</w:t>
            </w:r>
          </w:p>
        </w:tc>
        <w:tc>
          <w:tcPr>
            <w:tcW w:w="1240" w:type="dxa"/>
            <w:vAlign w:val="bottom"/>
            <w:tcBorders>
              <w:bottom w:val="single" w:sz="8" w:color="3E3935"/>
            </w:tcBorders>
          </w:tcPr>
          <w:p>
            <w:pPr>
              <w:jc w:val="right"/>
              <w:ind w:right="27"/>
              <w:spacing w:after="0" w:line="155" w:lineRule="exact"/>
              <w:rPr>
                <w:sz w:val="20"/>
                <w:szCs w:val="20"/>
                <w:color w:val="auto"/>
              </w:rPr>
            </w:pPr>
            <w:r>
              <w:rPr>
                <w:rFonts w:ascii="Arial" w:cs="Arial" w:eastAsia="Arial" w:hAnsi="Arial"/>
                <w:sz w:val="14"/>
                <w:szCs w:val="14"/>
                <w:color w:val="3E3935"/>
              </w:rPr>
              <w:t>—</w:t>
            </w:r>
          </w:p>
        </w:tc>
        <w:tc>
          <w:tcPr>
            <w:tcW w:w="1380" w:type="dxa"/>
            <w:vAlign w:val="bottom"/>
            <w:tcBorders>
              <w:bottom w:val="single" w:sz="8" w:color="3E3935"/>
            </w:tcBorders>
          </w:tcPr>
          <w:p>
            <w:pPr>
              <w:jc w:val="right"/>
              <w:ind w:right="7"/>
              <w:spacing w:after="0" w:line="155" w:lineRule="exact"/>
              <w:rPr>
                <w:sz w:val="20"/>
                <w:szCs w:val="20"/>
                <w:color w:val="auto"/>
              </w:rPr>
            </w:pPr>
            <w:r>
              <w:rPr>
                <w:rFonts w:ascii="Arial" w:cs="Arial" w:eastAsia="Arial" w:hAnsi="Arial"/>
                <w:sz w:val="14"/>
                <w:szCs w:val="14"/>
                <w:color w:val="3E3935"/>
              </w:rPr>
              <w:t>348,119</w:t>
            </w:r>
          </w:p>
        </w:tc>
        <w:tc>
          <w:tcPr>
            <w:tcW w:w="920" w:type="dxa"/>
            <w:vAlign w:val="bottom"/>
            <w:tcBorders>
              <w:bottom w:val="single" w:sz="8" w:color="3E3935"/>
            </w:tcBorders>
          </w:tcPr>
          <w:p>
            <w:pPr>
              <w:jc w:val="right"/>
              <w:ind w:right="48"/>
              <w:spacing w:after="0" w:line="155" w:lineRule="exact"/>
              <w:rPr>
                <w:sz w:val="20"/>
                <w:szCs w:val="20"/>
                <w:color w:val="auto"/>
              </w:rPr>
            </w:pPr>
            <w:r>
              <w:rPr>
                <w:rFonts w:ascii="Arial" w:cs="Arial" w:eastAsia="Arial" w:hAnsi="Arial"/>
                <w:sz w:val="14"/>
                <w:szCs w:val="14"/>
                <w:color w:val="3E3935"/>
              </w:rPr>
              <w:t>12,535,747</w:t>
            </w:r>
          </w:p>
        </w:tc>
        <w:tc>
          <w:tcPr>
            <w:tcW w:w="0" w:type="dxa"/>
            <w:vAlign w:val="bottom"/>
          </w:tcPr>
          <w:p>
            <w:pPr>
              <w:spacing w:after="0"/>
              <w:rPr>
                <w:sz w:val="1"/>
                <w:szCs w:val="1"/>
                <w:color w:val="auto"/>
              </w:rPr>
            </w:pPr>
          </w:p>
        </w:tc>
      </w:tr>
      <w:tr>
        <w:trPr>
          <w:trHeight w:val="156"/>
        </w:trPr>
        <w:tc>
          <w:tcPr>
            <w:tcW w:w="2160" w:type="dxa"/>
            <w:vAlign w:val="bottom"/>
            <w:tcBorders>
              <w:bottom w:val="single" w:sz="8" w:color="3E3935"/>
            </w:tcBorders>
          </w:tcPr>
          <w:p>
            <w:pPr>
              <w:spacing w:after="0"/>
              <w:rPr>
                <w:sz w:val="13"/>
                <w:szCs w:val="13"/>
                <w:color w:val="auto"/>
              </w:rPr>
            </w:pPr>
          </w:p>
        </w:tc>
        <w:tc>
          <w:tcPr>
            <w:tcW w:w="600" w:type="dxa"/>
            <w:vAlign w:val="bottom"/>
            <w:tcBorders>
              <w:bottom w:val="single" w:sz="8" w:color="3E3935"/>
            </w:tcBorders>
          </w:tcPr>
          <w:p>
            <w:pPr>
              <w:ind w:left="160"/>
              <w:spacing w:after="0" w:line="155" w:lineRule="exact"/>
              <w:rPr>
                <w:sz w:val="20"/>
                <w:szCs w:val="20"/>
                <w:color w:val="auto"/>
              </w:rPr>
            </w:pPr>
            <w:r>
              <w:rPr>
                <w:rFonts w:ascii="Arial" w:cs="Arial" w:eastAsia="Arial" w:hAnsi="Arial"/>
                <w:sz w:val="14"/>
                <w:szCs w:val="14"/>
                <w:color w:val="3E3935"/>
              </w:rPr>
              <w:t>2020</w:t>
            </w:r>
          </w:p>
        </w:tc>
        <w:tc>
          <w:tcPr>
            <w:tcW w:w="840" w:type="dxa"/>
            <w:vAlign w:val="bottom"/>
            <w:tcBorders>
              <w:bottom w:val="single" w:sz="8" w:color="3E3935"/>
            </w:tcBorders>
          </w:tcPr>
          <w:p>
            <w:pPr>
              <w:jc w:val="right"/>
              <w:ind w:right="28"/>
              <w:spacing w:after="0" w:line="155" w:lineRule="exact"/>
              <w:rPr>
                <w:sz w:val="20"/>
                <w:szCs w:val="20"/>
                <w:color w:val="auto"/>
              </w:rPr>
            </w:pPr>
            <w:r>
              <w:rPr>
                <w:rFonts w:ascii="Arial" w:cs="Arial" w:eastAsia="Arial" w:hAnsi="Arial"/>
                <w:sz w:val="14"/>
                <w:szCs w:val="14"/>
                <w:color w:val="3E3935"/>
              </w:rPr>
              <w:t>1,235,000</w:t>
            </w:r>
          </w:p>
        </w:tc>
        <w:tc>
          <w:tcPr>
            <w:tcW w:w="680" w:type="dxa"/>
            <w:vAlign w:val="bottom"/>
            <w:tcBorders>
              <w:bottom w:val="single" w:sz="8" w:color="3E3935"/>
            </w:tcBorders>
          </w:tcPr>
          <w:p>
            <w:pPr>
              <w:jc w:val="right"/>
              <w:ind w:right="48"/>
              <w:spacing w:after="0" w:line="155" w:lineRule="exact"/>
              <w:rPr>
                <w:sz w:val="20"/>
                <w:szCs w:val="20"/>
                <w:color w:val="auto"/>
              </w:rPr>
            </w:pPr>
            <w:r>
              <w:rPr>
                <w:rFonts w:ascii="Arial" w:cs="Arial" w:eastAsia="Arial" w:hAnsi="Arial"/>
                <w:sz w:val="14"/>
                <w:szCs w:val="14"/>
                <w:color w:val="3E3935"/>
              </w:rPr>
              <w:t>—</w:t>
            </w:r>
          </w:p>
        </w:tc>
        <w:tc>
          <w:tcPr>
            <w:tcW w:w="920" w:type="dxa"/>
            <w:vAlign w:val="bottom"/>
            <w:tcBorders>
              <w:bottom w:val="single" w:sz="8" w:color="3E3935"/>
            </w:tcBorders>
          </w:tcPr>
          <w:p>
            <w:pPr>
              <w:jc w:val="right"/>
              <w:ind w:right="7"/>
              <w:spacing w:after="0" w:line="155" w:lineRule="exact"/>
              <w:rPr>
                <w:sz w:val="20"/>
                <w:szCs w:val="20"/>
                <w:color w:val="auto"/>
              </w:rPr>
            </w:pPr>
            <w:r>
              <w:rPr>
                <w:rFonts w:ascii="Arial" w:cs="Arial" w:eastAsia="Arial" w:hAnsi="Arial"/>
                <w:sz w:val="14"/>
                <w:szCs w:val="14"/>
                <w:color w:val="3E3935"/>
              </w:rPr>
              <w:t>5,217,207</w:t>
            </w:r>
          </w:p>
        </w:tc>
        <w:tc>
          <w:tcPr>
            <w:tcW w:w="880" w:type="dxa"/>
            <w:vAlign w:val="bottom"/>
            <w:tcBorders>
              <w:bottom w:val="single" w:sz="8" w:color="3E3935"/>
            </w:tcBorders>
          </w:tcPr>
          <w:p>
            <w:pPr>
              <w:jc w:val="right"/>
              <w:ind w:right="7"/>
              <w:spacing w:after="0" w:line="155" w:lineRule="exact"/>
              <w:rPr>
                <w:sz w:val="20"/>
                <w:szCs w:val="20"/>
                <w:color w:val="auto"/>
              </w:rPr>
            </w:pPr>
            <w:r>
              <w:rPr>
                <w:rFonts w:ascii="Arial" w:cs="Arial" w:eastAsia="Arial" w:hAnsi="Arial"/>
                <w:sz w:val="14"/>
                <w:szCs w:val="14"/>
                <w:color w:val="3E3935"/>
              </w:rPr>
              <w:t>1,487,501</w:t>
            </w:r>
          </w:p>
        </w:tc>
        <w:tc>
          <w:tcPr>
            <w:tcW w:w="1400" w:type="dxa"/>
            <w:vAlign w:val="bottom"/>
            <w:tcBorders>
              <w:bottom w:val="single" w:sz="8" w:color="3E3935"/>
            </w:tcBorders>
          </w:tcPr>
          <w:p>
            <w:pPr>
              <w:jc w:val="right"/>
              <w:ind w:right="27"/>
              <w:spacing w:after="0" w:line="155" w:lineRule="exact"/>
              <w:rPr>
                <w:sz w:val="20"/>
                <w:szCs w:val="20"/>
                <w:color w:val="auto"/>
              </w:rPr>
            </w:pPr>
            <w:r>
              <w:rPr>
                <w:rFonts w:ascii="Arial" w:cs="Arial" w:eastAsia="Arial" w:hAnsi="Arial"/>
                <w:sz w:val="14"/>
                <w:szCs w:val="14"/>
                <w:color w:val="3E3935"/>
              </w:rPr>
              <w:t>1,462,500</w:t>
            </w:r>
          </w:p>
        </w:tc>
        <w:tc>
          <w:tcPr>
            <w:tcW w:w="1240" w:type="dxa"/>
            <w:vAlign w:val="bottom"/>
            <w:tcBorders>
              <w:bottom w:val="single" w:sz="8" w:color="3E3935"/>
            </w:tcBorders>
          </w:tcPr>
          <w:p>
            <w:pPr>
              <w:jc w:val="right"/>
              <w:ind w:right="27"/>
              <w:spacing w:after="0" w:line="155" w:lineRule="exact"/>
              <w:rPr>
                <w:sz w:val="20"/>
                <w:szCs w:val="20"/>
                <w:color w:val="auto"/>
              </w:rPr>
            </w:pPr>
            <w:r>
              <w:rPr>
                <w:rFonts w:ascii="Arial" w:cs="Arial" w:eastAsia="Arial" w:hAnsi="Arial"/>
                <w:sz w:val="14"/>
                <w:szCs w:val="14"/>
                <w:color w:val="3E3935"/>
              </w:rPr>
              <w:t>333,492</w:t>
            </w:r>
          </w:p>
        </w:tc>
        <w:tc>
          <w:tcPr>
            <w:tcW w:w="1380" w:type="dxa"/>
            <w:vAlign w:val="bottom"/>
            <w:tcBorders>
              <w:bottom w:val="single" w:sz="8" w:color="3E3935"/>
            </w:tcBorders>
          </w:tcPr>
          <w:p>
            <w:pPr>
              <w:jc w:val="right"/>
              <w:ind w:right="7"/>
              <w:spacing w:after="0" w:line="155" w:lineRule="exact"/>
              <w:rPr>
                <w:sz w:val="20"/>
                <w:szCs w:val="20"/>
                <w:color w:val="auto"/>
              </w:rPr>
            </w:pPr>
            <w:r>
              <w:rPr>
                <w:rFonts w:ascii="Arial" w:cs="Arial" w:eastAsia="Arial" w:hAnsi="Arial"/>
                <w:sz w:val="14"/>
                <w:szCs w:val="14"/>
                <w:color w:val="3E3935"/>
              </w:rPr>
              <w:t>227,702</w:t>
            </w:r>
          </w:p>
        </w:tc>
        <w:tc>
          <w:tcPr>
            <w:tcW w:w="920" w:type="dxa"/>
            <w:vAlign w:val="bottom"/>
            <w:tcBorders>
              <w:bottom w:val="single" w:sz="8" w:color="3E3935"/>
            </w:tcBorders>
          </w:tcPr>
          <w:p>
            <w:pPr>
              <w:jc w:val="right"/>
              <w:ind w:right="48"/>
              <w:spacing w:after="0" w:line="155" w:lineRule="exact"/>
              <w:rPr>
                <w:sz w:val="20"/>
                <w:szCs w:val="20"/>
                <w:color w:val="auto"/>
              </w:rPr>
            </w:pPr>
            <w:r>
              <w:rPr>
                <w:rFonts w:ascii="Arial" w:cs="Arial" w:eastAsia="Arial" w:hAnsi="Arial"/>
                <w:sz w:val="14"/>
                <w:szCs w:val="14"/>
                <w:color w:val="3E3935"/>
              </w:rPr>
              <w:t>9,963,402</w:t>
            </w:r>
          </w:p>
        </w:tc>
        <w:tc>
          <w:tcPr>
            <w:tcW w:w="0" w:type="dxa"/>
            <w:vAlign w:val="bottom"/>
          </w:tcPr>
          <w:p>
            <w:pPr>
              <w:spacing w:after="0"/>
              <w:rPr>
                <w:sz w:val="1"/>
                <w:szCs w:val="1"/>
                <w:color w:val="auto"/>
              </w:rPr>
            </w:pPr>
          </w:p>
        </w:tc>
      </w:tr>
      <w:tr>
        <w:trPr>
          <w:trHeight w:val="209"/>
        </w:trPr>
        <w:tc>
          <w:tcPr>
            <w:tcW w:w="2160" w:type="dxa"/>
            <w:vAlign w:val="bottom"/>
          </w:tcPr>
          <w:p>
            <w:pPr>
              <w:ind w:left="60"/>
              <w:spacing w:after="0"/>
              <w:rPr>
                <w:sz w:val="20"/>
                <w:szCs w:val="20"/>
                <w:color w:val="auto"/>
              </w:rPr>
            </w:pPr>
            <w:r>
              <w:rPr>
                <w:rFonts w:ascii="Arial" w:cs="Arial" w:eastAsia="Arial" w:hAnsi="Arial"/>
                <w:sz w:val="14"/>
                <w:szCs w:val="14"/>
                <w:b w:val="1"/>
                <w:bCs w:val="1"/>
                <w:color w:val="3E3935"/>
              </w:rPr>
              <w:t>Douglas L. Parks</w:t>
            </w:r>
          </w:p>
        </w:tc>
        <w:tc>
          <w:tcPr>
            <w:tcW w:w="600" w:type="dxa"/>
            <w:vAlign w:val="bottom"/>
          </w:tcPr>
          <w:p>
            <w:pPr>
              <w:ind w:left="160"/>
              <w:spacing w:after="0"/>
              <w:rPr>
                <w:sz w:val="20"/>
                <w:szCs w:val="20"/>
                <w:color w:val="auto"/>
              </w:rPr>
            </w:pPr>
            <w:r>
              <w:rPr>
                <w:rFonts w:ascii="Arial" w:cs="Arial" w:eastAsia="Arial" w:hAnsi="Arial"/>
                <w:sz w:val="14"/>
                <w:szCs w:val="14"/>
                <w:color w:val="3E3935"/>
              </w:rPr>
              <w:t>2022</w:t>
            </w:r>
          </w:p>
        </w:tc>
        <w:tc>
          <w:tcPr>
            <w:tcW w:w="840" w:type="dxa"/>
            <w:vAlign w:val="bottom"/>
          </w:tcPr>
          <w:p>
            <w:pPr>
              <w:jc w:val="right"/>
              <w:ind w:right="28"/>
              <w:spacing w:after="0"/>
              <w:rPr>
                <w:sz w:val="20"/>
                <w:szCs w:val="20"/>
                <w:color w:val="auto"/>
              </w:rPr>
            </w:pPr>
            <w:r>
              <w:rPr>
                <w:rFonts w:ascii="Arial" w:cs="Arial" w:eastAsia="Arial" w:hAnsi="Arial"/>
                <w:sz w:val="14"/>
                <w:szCs w:val="14"/>
                <w:color w:val="3E3935"/>
              </w:rPr>
              <w:t>875,000</w:t>
            </w:r>
          </w:p>
        </w:tc>
        <w:tc>
          <w:tcPr>
            <w:tcW w:w="680" w:type="dxa"/>
            <w:vAlign w:val="bottom"/>
          </w:tcPr>
          <w:p>
            <w:pPr>
              <w:jc w:val="right"/>
              <w:ind w:right="48"/>
              <w:spacing w:after="0"/>
              <w:rPr>
                <w:sz w:val="20"/>
                <w:szCs w:val="20"/>
                <w:color w:val="auto"/>
              </w:rPr>
            </w:pPr>
            <w:r>
              <w:rPr>
                <w:rFonts w:ascii="Arial" w:cs="Arial" w:eastAsia="Arial" w:hAnsi="Arial"/>
                <w:sz w:val="14"/>
                <w:szCs w:val="14"/>
                <w:color w:val="3E3935"/>
              </w:rPr>
              <w:t>—</w:t>
            </w:r>
          </w:p>
        </w:tc>
        <w:tc>
          <w:tcPr>
            <w:tcW w:w="920" w:type="dxa"/>
            <w:vAlign w:val="bottom"/>
          </w:tcPr>
          <w:p>
            <w:pPr>
              <w:jc w:val="right"/>
              <w:ind w:right="7"/>
              <w:spacing w:after="0"/>
              <w:rPr>
                <w:sz w:val="20"/>
                <w:szCs w:val="20"/>
                <w:color w:val="auto"/>
              </w:rPr>
            </w:pPr>
            <w:r>
              <w:rPr>
                <w:rFonts w:ascii="Arial" w:cs="Arial" w:eastAsia="Arial" w:hAnsi="Arial"/>
                <w:sz w:val="14"/>
                <w:szCs w:val="14"/>
                <w:color w:val="3E3935"/>
              </w:rPr>
              <w:t>4,523,400</w:t>
            </w:r>
          </w:p>
        </w:tc>
        <w:tc>
          <w:tcPr>
            <w:tcW w:w="880" w:type="dxa"/>
            <w:vAlign w:val="bottom"/>
          </w:tcPr>
          <w:p>
            <w:pPr>
              <w:jc w:val="right"/>
              <w:ind w:right="7"/>
              <w:spacing w:after="0"/>
              <w:rPr>
                <w:sz w:val="20"/>
                <w:szCs w:val="20"/>
                <w:color w:val="auto"/>
              </w:rPr>
            </w:pPr>
            <w:r>
              <w:rPr>
                <w:rFonts w:ascii="Arial" w:cs="Arial" w:eastAsia="Arial" w:hAnsi="Arial"/>
                <w:sz w:val="14"/>
                <w:szCs w:val="14"/>
                <w:color w:val="3E3935"/>
              </w:rPr>
              <w:t>1,507,806</w:t>
            </w:r>
          </w:p>
        </w:tc>
        <w:tc>
          <w:tcPr>
            <w:tcW w:w="1400" w:type="dxa"/>
            <w:vAlign w:val="bottom"/>
          </w:tcPr>
          <w:p>
            <w:pPr>
              <w:jc w:val="right"/>
              <w:ind w:right="27"/>
              <w:spacing w:after="0"/>
              <w:rPr>
                <w:sz w:val="20"/>
                <w:szCs w:val="20"/>
                <w:color w:val="auto"/>
              </w:rPr>
            </w:pPr>
            <w:r>
              <w:rPr>
                <w:rFonts w:ascii="Arial" w:cs="Arial" w:eastAsia="Arial" w:hAnsi="Arial"/>
                <w:sz w:val="14"/>
                <w:szCs w:val="14"/>
                <w:color w:val="3E3935"/>
              </w:rPr>
              <w:t>1,629,800</w:t>
            </w:r>
          </w:p>
        </w:tc>
        <w:tc>
          <w:tcPr>
            <w:tcW w:w="1240" w:type="dxa"/>
            <w:vAlign w:val="bottom"/>
          </w:tcPr>
          <w:p>
            <w:pPr>
              <w:jc w:val="right"/>
              <w:ind w:right="27"/>
              <w:spacing w:after="0"/>
              <w:rPr>
                <w:sz w:val="20"/>
                <w:szCs w:val="20"/>
                <w:color w:val="auto"/>
              </w:rPr>
            </w:pPr>
            <w:r>
              <w:rPr>
                <w:rFonts w:ascii="Arial" w:cs="Arial" w:eastAsia="Arial" w:hAnsi="Arial"/>
                <w:sz w:val="14"/>
                <w:szCs w:val="14"/>
                <w:color w:val="3E3935"/>
              </w:rPr>
              <w:t>—</w:t>
            </w:r>
          </w:p>
        </w:tc>
        <w:tc>
          <w:tcPr>
            <w:tcW w:w="1380" w:type="dxa"/>
            <w:vAlign w:val="bottom"/>
          </w:tcPr>
          <w:p>
            <w:pPr>
              <w:jc w:val="right"/>
              <w:ind w:right="7"/>
              <w:spacing w:after="0"/>
              <w:rPr>
                <w:sz w:val="20"/>
                <w:szCs w:val="20"/>
                <w:color w:val="auto"/>
              </w:rPr>
            </w:pPr>
            <w:r>
              <w:rPr>
                <w:rFonts w:ascii="Arial" w:cs="Arial" w:eastAsia="Arial" w:hAnsi="Arial"/>
                <w:sz w:val="14"/>
                <w:szCs w:val="14"/>
                <w:color w:val="3E3935"/>
              </w:rPr>
              <w:t>243,260</w:t>
            </w:r>
          </w:p>
        </w:tc>
        <w:tc>
          <w:tcPr>
            <w:tcW w:w="920" w:type="dxa"/>
            <w:vAlign w:val="bottom"/>
          </w:tcPr>
          <w:p>
            <w:pPr>
              <w:jc w:val="right"/>
              <w:ind w:right="48"/>
              <w:spacing w:after="0"/>
              <w:rPr>
                <w:sz w:val="20"/>
                <w:szCs w:val="20"/>
                <w:color w:val="auto"/>
              </w:rPr>
            </w:pPr>
            <w:r>
              <w:rPr>
                <w:rFonts w:ascii="Arial" w:cs="Arial" w:eastAsia="Arial" w:hAnsi="Arial"/>
                <w:sz w:val="14"/>
                <w:szCs w:val="14"/>
                <w:color w:val="3E3935"/>
              </w:rPr>
              <w:t>8,779,266</w:t>
            </w:r>
          </w:p>
        </w:tc>
        <w:tc>
          <w:tcPr>
            <w:tcW w:w="0" w:type="dxa"/>
            <w:vAlign w:val="bottom"/>
          </w:tcPr>
          <w:p>
            <w:pPr>
              <w:spacing w:after="0"/>
              <w:rPr>
                <w:sz w:val="1"/>
                <w:szCs w:val="1"/>
                <w:color w:val="auto"/>
              </w:rPr>
            </w:pPr>
          </w:p>
        </w:tc>
      </w:tr>
      <w:tr>
        <w:trPr>
          <w:trHeight w:val="27"/>
        </w:trPr>
        <w:tc>
          <w:tcPr>
            <w:tcW w:w="2160" w:type="dxa"/>
            <w:vAlign w:val="bottom"/>
            <w:vMerge w:val="restart"/>
          </w:tcPr>
          <w:p>
            <w:pPr>
              <w:ind w:left="60"/>
              <w:spacing w:after="0" w:line="153" w:lineRule="exact"/>
              <w:rPr>
                <w:sz w:val="20"/>
                <w:szCs w:val="20"/>
                <w:color w:val="auto"/>
              </w:rPr>
            </w:pPr>
            <w:r>
              <w:rPr>
                <w:rFonts w:ascii="Arial" w:cs="Arial" w:eastAsia="Arial" w:hAnsi="Arial"/>
                <w:sz w:val="14"/>
                <w:szCs w:val="14"/>
                <w:color w:val="3E3935"/>
              </w:rPr>
              <w:t>Executive Vice</w:t>
            </w:r>
          </w:p>
        </w:tc>
        <w:tc>
          <w:tcPr>
            <w:tcW w:w="600" w:type="dxa"/>
            <w:vAlign w:val="bottom"/>
            <w:tcBorders>
              <w:bottom w:val="single" w:sz="8" w:color="3E3935"/>
            </w:tcBorders>
          </w:tcPr>
          <w:p>
            <w:pPr>
              <w:spacing w:after="0"/>
              <w:rPr>
                <w:sz w:val="2"/>
                <w:szCs w:val="2"/>
                <w:color w:val="auto"/>
              </w:rPr>
            </w:pPr>
          </w:p>
        </w:tc>
        <w:tc>
          <w:tcPr>
            <w:tcW w:w="840" w:type="dxa"/>
            <w:vAlign w:val="bottom"/>
            <w:tcBorders>
              <w:bottom w:val="single" w:sz="8" w:color="3E3935"/>
            </w:tcBorders>
          </w:tcPr>
          <w:p>
            <w:pPr>
              <w:spacing w:after="0"/>
              <w:rPr>
                <w:sz w:val="2"/>
                <w:szCs w:val="2"/>
                <w:color w:val="auto"/>
              </w:rPr>
            </w:pPr>
          </w:p>
        </w:tc>
        <w:tc>
          <w:tcPr>
            <w:tcW w:w="680" w:type="dxa"/>
            <w:vAlign w:val="bottom"/>
            <w:tcBorders>
              <w:bottom w:val="single" w:sz="8" w:color="3E3935"/>
            </w:tcBorders>
          </w:tcPr>
          <w:p>
            <w:pPr>
              <w:spacing w:after="0"/>
              <w:rPr>
                <w:sz w:val="2"/>
                <w:szCs w:val="2"/>
                <w:color w:val="auto"/>
              </w:rPr>
            </w:pPr>
          </w:p>
        </w:tc>
        <w:tc>
          <w:tcPr>
            <w:tcW w:w="920" w:type="dxa"/>
            <w:vAlign w:val="bottom"/>
            <w:tcBorders>
              <w:bottom w:val="single" w:sz="8" w:color="3E3935"/>
            </w:tcBorders>
          </w:tcPr>
          <w:p>
            <w:pPr>
              <w:spacing w:after="0"/>
              <w:rPr>
                <w:sz w:val="2"/>
                <w:szCs w:val="2"/>
                <w:color w:val="auto"/>
              </w:rPr>
            </w:pPr>
          </w:p>
        </w:tc>
        <w:tc>
          <w:tcPr>
            <w:tcW w:w="880" w:type="dxa"/>
            <w:vAlign w:val="bottom"/>
            <w:tcBorders>
              <w:bottom w:val="single" w:sz="8" w:color="3E3935"/>
            </w:tcBorders>
          </w:tcPr>
          <w:p>
            <w:pPr>
              <w:spacing w:after="0"/>
              <w:rPr>
                <w:sz w:val="2"/>
                <w:szCs w:val="2"/>
                <w:color w:val="auto"/>
              </w:rPr>
            </w:pPr>
          </w:p>
        </w:tc>
        <w:tc>
          <w:tcPr>
            <w:tcW w:w="1400" w:type="dxa"/>
            <w:vAlign w:val="bottom"/>
            <w:tcBorders>
              <w:bottom w:val="single" w:sz="8" w:color="3E3935"/>
            </w:tcBorders>
          </w:tcPr>
          <w:p>
            <w:pPr>
              <w:spacing w:after="0"/>
              <w:rPr>
                <w:sz w:val="2"/>
                <w:szCs w:val="2"/>
                <w:color w:val="auto"/>
              </w:rPr>
            </w:pPr>
          </w:p>
        </w:tc>
        <w:tc>
          <w:tcPr>
            <w:tcW w:w="1240" w:type="dxa"/>
            <w:vAlign w:val="bottom"/>
            <w:tcBorders>
              <w:bottom w:val="single" w:sz="8" w:color="3E3935"/>
            </w:tcBorders>
          </w:tcPr>
          <w:p>
            <w:pPr>
              <w:spacing w:after="0"/>
              <w:rPr>
                <w:sz w:val="2"/>
                <w:szCs w:val="2"/>
                <w:color w:val="auto"/>
              </w:rPr>
            </w:pPr>
          </w:p>
        </w:tc>
        <w:tc>
          <w:tcPr>
            <w:tcW w:w="1380" w:type="dxa"/>
            <w:vAlign w:val="bottom"/>
            <w:tcBorders>
              <w:bottom w:val="single" w:sz="8" w:color="3E3935"/>
            </w:tcBorders>
          </w:tcPr>
          <w:p>
            <w:pPr>
              <w:spacing w:after="0"/>
              <w:rPr>
                <w:sz w:val="2"/>
                <w:szCs w:val="2"/>
                <w:color w:val="auto"/>
              </w:rPr>
            </w:pPr>
          </w:p>
        </w:tc>
        <w:tc>
          <w:tcPr>
            <w:tcW w:w="920" w:type="dxa"/>
            <w:vAlign w:val="bottom"/>
            <w:tcBorders>
              <w:bottom w:val="single" w:sz="8" w:color="3E3935"/>
            </w:tcBorders>
          </w:tcPr>
          <w:p>
            <w:pPr>
              <w:spacing w:after="0"/>
              <w:rPr>
                <w:sz w:val="2"/>
                <w:szCs w:val="2"/>
                <w:color w:val="auto"/>
              </w:rPr>
            </w:pPr>
          </w:p>
        </w:tc>
        <w:tc>
          <w:tcPr>
            <w:tcW w:w="0" w:type="dxa"/>
            <w:vAlign w:val="bottom"/>
          </w:tcPr>
          <w:p>
            <w:pPr>
              <w:spacing w:after="0"/>
              <w:rPr>
                <w:sz w:val="1"/>
                <w:szCs w:val="1"/>
                <w:color w:val="auto"/>
              </w:rPr>
            </w:pPr>
          </w:p>
        </w:tc>
      </w:tr>
      <w:tr>
        <w:trPr>
          <w:trHeight w:val="106"/>
        </w:trPr>
        <w:tc>
          <w:tcPr>
            <w:tcW w:w="2160" w:type="dxa"/>
            <w:vAlign w:val="bottom"/>
            <w:vMerge w:val="continue"/>
          </w:tcPr>
          <w:p>
            <w:pPr>
              <w:spacing w:after="0"/>
              <w:rPr>
                <w:sz w:val="9"/>
                <w:szCs w:val="9"/>
                <w:color w:val="auto"/>
              </w:rPr>
            </w:pPr>
          </w:p>
        </w:tc>
        <w:tc>
          <w:tcPr>
            <w:tcW w:w="600" w:type="dxa"/>
            <w:vAlign w:val="bottom"/>
            <w:vMerge w:val="restart"/>
          </w:tcPr>
          <w:p>
            <w:pPr>
              <w:ind w:left="160"/>
              <w:spacing w:after="0"/>
              <w:rPr>
                <w:sz w:val="20"/>
                <w:szCs w:val="20"/>
                <w:color w:val="auto"/>
              </w:rPr>
            </w:pPr>
            <w:r>
              <w:rPr>
                <w:rFonts w:ascii="Arial" w:cs="Arial" w:eastAsia="Arial" w:hAnsi="Arial"/>
                <w:sz w:val="14"/>
                <w:szCs w:val="14"/>
                <w:color w:val="3E3935"/>
              </w:rPr>
              <w:t>2021</w:t>
            </w:r>
          </w:p>
        </w:tc>
        <w:tc>
          <w:tcPr>
            <w:tcW w:w="840" w:type="dxa"/>
            <w:vAlign w:val="bottom"/>
            <w:vMerge w:val="restart"/>
          </w:tcPr>
          <w:p>
            <w:pPr>
              <w:jc w:val="right"/>
              <w:ind w:right="28"/>
              <w:spacing w:after="0"/>
              <w:rPr>
                <w:sz w:val="20"/>
                <w:szCs w:val="20"/>
                <w:color w:val="auto"/>
              </w:rPr>
            </w:pPr>
            <w:r>
              <w:rPr>
                <w:rFonts w:ascii="Arial" w:cs="Arial" w:eastAsia="Arial" w:hAnsi="Arial"/>
                <w:sz w:val="14"/>
                <w:szCs w:val="14"/>
                <w:color w:val="3E3935"/>
              </w:rPr>
              <w:t>850,000</w:t>
            </w:r>
          </w:p>
        </w:tc>
        <w:tc>
          <w:tcPr>
            <w:tcW w:w="680" w:type="dxa"/>
            <w:vAlign w:val="bottom"/>
            <w:vMerge w:val="restart"/>
          </w:tcPr>
          <w:p>
            <w:pPr>
              <w:jc w:val="right"/>
              <w:ind w:right="48"/>
              <w:spacing w:after="0"/>
              <w:rPr>
                <w:sz w:val="20"/>
                <w:szCs w:val="20"/>
                <w:color w:val="auto"/>
              </w:rPr>
            </w:pPr>
            <w:r>
              <w:rPr>
                <w:rFonts w:ascii="Arial" w:cs="Arial" w:eastAsia="Arial" w:hAnsi="Arial"/>
                <w:sz w:val="14"/>
                <w:szCs w:val="14"/>
                <w:color w:val="3E3935"/>
              </w:rPr>
              <w:t>—</w:t>
            </w:r>
          </w:p>
        </w:tc>
        <w:tc>
          <w:tcPr>
            <w:tcW w:w="920" w:type="dxa"/>
            <w:vAlign w:val="bottom"/>
            <w:vMerge w:val="restart"/>
          </w:tcPr>
          <w:p>
            <w:pPr>
              <w:jc w:val="right"/>
              <w:ind w:right="7"/>
              <w:spacing w:after="0"/>
              <w:rPr>
                <w:sz w:val="20"/>
                <w:szCs w:val="20"/>
                <w:color w:val="auto"/>
              </w:rPr>
            </w:pPr>
            <w:r>
              <w:rPr>
                <w:rFonts w:ascii="Arial" w:cs="Arial" w:eastAsia="Arial" w:hAnsi="Arial"/>
                <w:sz w:val="14"/>
                <w:szCs w:val="14"/>
                <w:color w:val="3E3935"/>
              </w:rPr>
              <w:t>4,617,717</w:t>
            </w:r>
          </w:p>
        </w:tc>
        <w:tc>
          <w:tcPr>
            <w:tcW w:w="880" w:type="dxa"/>
            <w:vAlign w:val="bottom"/>
            <w:vMerge w:val="restart"/>
          </w:tcPr>
          <w:p>
            <w:pPr>
              <w:jc w:val="right"/>
              <w:ind w:right="7"/>
              <w:spacing w:after="0"/>
              <w:rPr>
                <w:sz w:val="20"/>
                <w:szCs w:val="20"/>
                <w:color w:val="auto"/>
              </w:rPr>
            </w:pPr>
            <w:r>
              <w:rPr>
                <w:rFonts w:ascii="Arial" w:cs="Arial" w:eastAsia="Arial" w:hAnsi="Arial"/>
                <w:sz w:val="14"/>
                <w:szCs w:val="14"/>
                <w:color w:val="3E3935"/>
              </w:rPr>
              <w:t>1,246,876</w:t>
            </w:r>
          </w:p>
        </w:tc>
        <w:tc>
          <w:tcPr>
            <w:tcW w:w="1400" w:type="dxa"/>
            <w:vAlign w:val="bottom"/>
            <w:vMerge w:val="restart"/>
          </w:tcPr>
          <w:p>
            <w:pPr>
              <w:jc w:val="right"/>
              <w:ind w:right="27"/>
              <w:spacing w:after="0"/>
              <w:rPr>
                <w:sz w:val="20"/>
                <w:szCs w:val="20"/>
                <w:color w:val="auto"/>
              </w:rPr>
            </w:pPr>
            <w:r>
              <w:rPr>
                <w:rFonts w:ascii="Arial" w:cs="Arial" w:eastAsia="Arial" w:hAnsi="Arial"/>
                <w:sz w:val="14"/>
                <w:szCs w:val="14"/>
                <w:color w:val="3E3935"/>
              </w:rPr>
              <w:t>1,933,800</w:t>
            </w:r>
          </w:p>
        </w:tc>
        <w:tc>
          <w:tcPr>
            <w:tcW w:w="1240" w:type="dxa"/>
            <w:vAlign w:val="bottom"/>
            <w:vMerge w:val="restart"/>
          </w:tcPr>
          <w:p>
            <w:pPr>
              <w:jc w:val="right"/>
              <w:ind w:right="27"/>
              <w:spacing w:after="0"/>
              <w:rPr>
                <w:sz w:val="20"/>
                <w:szCs w:val="20"/>
                <w:color w:val="auto"/>
              </w:rPr>
            </w:pPr>
            <w:r>
              <w:rPr>
                <w:rFonts w:ascii="Arial" w:cs="Arial" w:eastAsia="Arial" w:hAnsi="Arial"/>
                <w:sz w:val="14"/>
                <w:szCs w:val="14"/>
                <w:color w:val="3E3935"/>
              </w:rPr>
              <w:t>—</w:t>
            </w:r>
          </w:p>
        </w:tc>
        <w:tc>
          <w:tcPr>
            <w:tcW w:w="1380" w:type="dxa"/>
            <w:vAlign w:val="bottom"/>
            <w:vMerge w:val="restart"/>
          </w:tcPr>
          <w:p>
            <w:pPr>
              <w:jc w:val="right"/>
              <w:ind w:right="7"/>
              <w:spacing w:after="0"/>
              <w:rPr>
                <w:sz w:val="20"/>
                <w:szCs w:val="20"/>
                <w:color w:val="auto"/>
              </w:rPr>
            </w:pPr>
            <w:r>
              <w:rPr>
                <w:rFonts w:ascii="Arial" w:cs="Arial" w:eastAsia="Arial" w:hAnsi="Arial"/>
                <w:sz w:val="14"/>
                <w:szCs w:val="14"/>
                <w:color w:val="3E3935"/>
              </w:rPr>
              <w:t>187,084</w:t>
            </w:r>
          </w:p>
        </w:tc>
        <w:tc>
          <w:tcPr>
            <w:tcW w:w="920" w:type="dxa"/>
            <w:vAlign w:val="bottom"/>
            <w:vMerge w:val="restart"/>
          </w:tcPr>
          <w:p>
            <w:pPr>
              <w:jc w:val="right"/>
              <w:ind w:right="48"/>
              <w:spacing w:after="0"/>
              <w:rPr>
                <w:sz w:val="20"/>
                <w:szCs w:val="20"/>
                <w:color w:val="auto"/>
              </w:rPr>
            </w:pPr>
            <w:r>
              <w:rPr>
                <w:rFonts w:ascii="Arial" w:cs="Arial" w:eastAsia="Arial" w:hAnsi="Arial"/>
                <w:sz w:val="14"/>
                <w:szCs w:val="14"/>
                <w:color w:val="3E3935"/>
              </w:rPr>
              <w:t>8,835,477</w:t>
            </w:r>
          </w:p>
        </w:tc>
        <w:tc>
          <w:tcPr>
            <w:tcW w:w="0" w:type="dxa"/>
            <w:vAlign w:val="bottom"/>
          </w:tcPr>
          <w:p>
            <w:pPr>
              <w:spacing w:after="0"/>
              <w:rPr>
                <w:sz w:val="1"/>
                <w:szCs w:val="1"/>
                <w:color w:val="auto"/>
              </w:rPr>
            </w:pPr>
          </w:p>
        </w:tc>
      </w:tr>
      <w:tr>
        <w:trPr>
          <w:trHeight w:val="82"/>
        </w:trPr>
        <w:tc>
          <w:tcPr>
            <w:tcW w:w="2160" w:type="dxa"/>
            <w:vAlign w:val="bottom"/>
            <w:vMerge w:val="restart"/>
          </w:tcPr>
          <w:p>
            <w:pPr>
              <w:ind w:left="60"/>
              <w:spacing w:after="0"/>
              <w:rPr>
                <w:sz w:val="20"/>
                <w:szCs w:val="20"/>
                <w:color w:val="auto"/>
              </w:rPr>
            </w:pPr>
            <w:r>
              <w:rPr>
                <w:rFonts w:ascii="Arial" w:cs="Arial" w:eastAsia="Arial" w:hAnsi="Arial"/>
                <w:sz w:val="14"/>
                <w:szCs w:val="14"/>
                <w:color w:val="3E3935"/>
              </w:rPr>
              <w:t>President, Global</w:t>
            </w:r>
          </w:p>
        </w:tc>
        <w:tc>
          <w:tcPr>
            <w:tcW w:w="600" w:type="dxa"/>
            <w:vAlign w:val="bottom"/>
            <w:tcBorders>
              <w:bottom w:val="single" w:sz="8" w:color="3E3935"/>
            </w:tcBorders>
            <w:vMerge w:val="continue"/>
          </w:tcPr>
          <w:p>
            <w:pPr>
              <w:spacing w:after="0"/>
              <w:rPr>
                <w:sz w:val="6"/>
                <w:szCs w:val="6"/>
                <w:color w:val="auto"/>
              </w:rPr>
            </w:pPr>
          </w:p>
        </w:tc>
        <w:tc>
          <w:tcPr>
            <w:tcW w:w="840" w:type="dxa"/>
            <w:vAlign w:val="bottom"/>
            <w:tcBorders>
              <w:bottom w:val="single" w:sz="8" w:color="3E3935"/>
            </w:tcBorders>
            <w:vMerge w:val="continue"/>
          </w:tcPr>
          <w:p>
            <w:pPr>
              <w:spacing w:after="0"/>
              <w:rPr>
                <w:sz w:val="6"/>
                <w:szCs w:val="6"/>
                <w:color w:val="auto"/>
              </w:rPr>
            </w:pPr>
          </w:p>
        </w:tc>
        <w:tc>
          <w:tcPr>
            <w:tcW w:w="680" w:type="dxa"/>
            <w:vAlign w:val="bottom"/>
            <w:tcBorders>
              <w:bottom w:val="single" w:sz="8" w:color="3E3935"/>
            </w:tcBorders>
            <w:vMerge w:val="continue"/>
          </w:tcPr>
          <w:p>
            <w:pPr>
              <w:spacing w:after="0"/>
              <w:rPr>
                <w:sz w:val="6"/>
                <w:szCs w:val="6"/>
                <w:color w:val="auto"/>
              </w:rPr>
            </w:pPr>
          </w:p>
        </w:tc>
        <w:tc>
          <w:tcPr>
            <w:tcW w:w="920" w:type="dxa"/>
            <w:vAlign w:val="bottom"/>
            <w:tcBorders>
              <w:bottom w:val="single" w:sz="8" w:color="3E3935"/>
            </w:tcBorders>
            <w:vMerge w:val="continue"/>
          </w:tcPr>
          <w:p>
            <w:pPr>
              <w:spacing w:after="0"/>
              <w:rPr>
                <w:sz w:val="6"/>
                <w:szCs w:val="6"/>
                <w:color w:val="auto"/>
              </w:rPr>
            </w:pPr>
          </w:p>
        </w:tc>
        <w:tc>
          <w:tcPr>
            <w:tcW w:w="880" w:type="dxa"/>
            <w:vAlign w:val="bottom"/>
            <w:tcBorders>
              <w:bottom w:val="single" w:sz="8" w:color="3E3935"/>
            </w:tcBorders>
            <w:vMerge w:val="continue"/>
          </w:tcPr>
          <w:p>
            <w:pPr>
              <w:spacing w:after="0"/>
              <w:rPr>
                <w:sz w:val="6"/>
                <w:szCs w:val="6"/>
                <w:color w:val="auto"/>
              </w:rPr>
            </w:pPr>
          </w:p>
        </w:tc>
        <w:tc>
          <w:tcPr>
            <w:tcW w:w="1400" w:type="dxa"/>
            <w:vAlign w:val="bottom"/>
            <w:tcBorders>
              <w:bottom w:val="single" w:sz="8" w:color="3E3935"/>
            </w:tcBorders>
            <w:vMerge w:val="continue"/>
          </w:tcPr>
          <w:p>
            <w:pPr>
              <w:spacing w:after="0"/>
              <w:rPr>
                <w:sz w:val="6"/>
                <w:szCs w:val="6"/>
                <w:color w:val="auto"/>
              </w:rPr>
            </w:pPr>
          </w:p>
        </w:tc>
        <w:tc>
          <w:tcPr>
            <w:tcW w:w="1240" w:type="dxa"/>
            <w:vAlign w:val="bottom"/>
            <w:tcBorders>
              <w:bottom w:val="single" w:sz="8" w:color="3E3935"/>
            </w:tcBorders>
            <w:vMerge w:val="continue"/>
          </w:tcPr>
          <w:p>
            <w:pPr>
              <w:spacing w:after="0"/>
              <w:rPr>
                <w:sz w:val="6"/>
                <w:szCs w:val="6"/>
                <w:color w:val="auto"/>
              </w:rPr>
            </w:pPr>
          </w:p>
        </w:tc>
        <w:tc>
          <w:tcPr>
            <w:tcW w:w="1380" w:type="dxa"/>
            <w:vAlign w:val="bottom"/>
            <w:tcBorders>
              <w:bottom w:val="single" w:sz="8" w:color="3E3935"/>
            </w:tcBorders>
            <w:vMerge w:val="continue"/>
          </w:tcPr>
          <w:p>
            <w:pPr>
              <w:spacing w:after="0"/>
              <w:rPr>
                <w:sz w:val="6"/>
                <w:szCs w:val="6"/>
                <w:color w:val="auto"/>
              </w:rPr>
            </w:pPr>
          </w:p>
        </w:tc>
        <w:tc>
          <w:tcPr>
            <w:tcW w:w="920" w:type="dxa"/>
            <w:vAlign w:val="bottom"/>
            <w:tcBorders>
              <w:bottom w:val="single" w:sz="8" w:color="3E3935"/>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2160" w:type="dxa"/>
            <w:vAlign w:val="bottom"/>
            <w:vMerge w:val="continue"/>
          </w:tcPr>
          <w:p>
            <w:pPr>
              <w:spacing w:after="0"/>
              <w:rPr>
                <w:sz w:val="5"/>
                <w:szCs w:val="5"/>
                <w:color w:val="auto"/>
              </w:rPr>
            </w:pPr>
          </w:p>
        </w:tc>
        <w:tc>
          <w:tcPr>
            <w:tcW w:w="600" w:type="dxa"/>
            <w:vAlign w:val="bottom"/>
            <w:vMerge w:val="restart"/>
          </w:tcPr>
          <w:p>
            <w:pPr>
              <w:ind w:left="160"/>
              <w:spacing w:after="0"/>
              <w:rPr>
                <w:sz w:val="20"/>
                <w:szCs w:val="20"/>
                <w:color w:val="auto"/>
              </w:rPr>
            </w:pPr>
            <w:r>
              <w:rPr>
                <w:rFonts w:ascii="Arial" w:cs="Arial" w:eastAsia="Arial" w:hAnsi="Arial"/>
                <w:sz w:val="14"/>
                <w:szCs w:val="14"/>
                <w:color w:val="3E3935"/>
              </w:rPr>
              <w:t>2020</w:t>
            </w:r>
          </w:p>
        </w:tc>
        <w:tc>
          <w:tcPr>
            <w:tcW w:w="840" w:type="dxa"/>
            <w:vAlign w:val="bottom"/>
            <w:vMerge w:val="restart"/>
          </w:tcPr>
          <w:p>
            <w:pPr>
              <w:jc w:val="right"/>
              <w:ind w:right="28"/>
              <w:spacing w:after="0"/>
              <w:rPr>
                <w:sz w:val="20"/>
                <w:szCs w:val="20"/>
                <w:color w:val="auto"/>
              </w:rPr>
            </w:pPr>
            <w:r>
              <w:rPr>
                <w:rFonts w:ascii="Arial" w:cs="Arial" w:eastAsia="Arial" w:hAnsi="Arial"/>
                <w:sz w:val="14"/>
                <w:szCs w:val="14"/>
                <w:color w:val="3E3935"/>
              </w:rPr>
              <w:t>767,500</w:t>
            </w:r>
          </w:p>
        </w:tc>
        <w:tc>
          <w:tcPr>
            <w:tcW w:w="680" w:type="dxa"/>
            <w:vAlign w:val="bottom"/>
            <w:vMerge w:val="restart"/>
          </w:tcPr>
          <w:p>
            <w:pPr>
              <w:jc w:val="right"/>
              <w:ind w:right="48"/>
              <w:spacing w:after="0"/>
              <w:rPr>
                <w:sz w:val="20"/>
                <w:szCs w:val="20"/>
                <w:color w:val="auto"/>
              </w:rPr>
            </w:pPr>
            <w:r>
              <w:rPr>
                <w:rFonts w:ascii="Arial" w:cs="Arial" w:eastAsia="Arial" w:hAnsi="Arial"/>
                <w:sz w:val="14"/>
                <w:szCs w:val="14"/>
                <w:color w:val="3E3935"/>
              </w:rPr>
              <w:t>—</w:t>
            </w:r>
          </w:p>
        </w:tc>
        <w:tc>
          <w:tcPr>
            <w:tcW w:w="920" w:type="dxa"/>
            <w:vAlign w:val="bottom"/>
            <w:vMerge w:val="restart"/>
          </w:tcPr>
          <w:p>
            <w:pPr>
              <w:jc w:val="right"/>
              <w:ind w:right="7"/>
              <w:spacing w:after="0"/>
              <w:rPr>
                <w:sz w:val="20"/>
                <w:szCs w:val="20"/>
                <w:color w:val="auto"/>
              </w:rPr>
            </w:pPr>
            <w:r>
              <w:rPr>
                <w:rFonts w:ascii="Arial" w:cs="Arial" w:eastAsia="Arial" w:hAnsi="Arial"/>
                <w:sz w:val="14"/>
                <w:szCs w:val="14"/>
                <w:color w:val="3E3935"/>
              </w:rPr>
              <w:t>3,543,682</w:t>
            </w:r>
          </w:p>
        </w:tc>
        <w:tc>
          <w:tcPr>
            <w:tcW w:w="880" w:type="dxa"/>
            <w:vAlign w:val="bottom"/>
            <w:vMerge w:val="restart"/>
          </w:tcPr>
          <w:p>
            <w:pPr>
              <w:jc w:val="right"/>
              <w:ind w:right="7"/>
              <w:spacing w:after="0"/>
              <w:rPr>
                <w:sz w:val="20"/>
                <w:szCs w:val="20"/>
                <w:color w:val="auto"/>
              </w:rPr>
            </w:pPr>
            <w:r>
              <w:rPr>
                <w:rFonts w:ascii="Arial" w:cs="Arial" w:eastAsia="Arial" w:hAnsi="Arial"/>
                <w:sz w:val="14"/>
                <w:szCs w:val="14"/>
                <w:color w:val="3E3935"/>
              </w:rPr>
              <w:t>1,021,888</w:t>
            </w:r>
          </w:p>
        </w:tc>
        <w:tc>
          <w:tcPr>
            <w:tcW w:w="1400" w:type="dxa"/>
            <w:vAlign w:val="bottom"/>
            <w:vMerge w:val="restart"/>
          </w:tcPr>
          <w:p>
            <w:pPr>
              <w:jc w:val="right"/>
              <w:ind w:right="27"/>
              <w:spacing w:after="0"/>
              <w:rPr>
                <w:sz w:val="20"/>
                <w:szCs w:val="20"/>
                <w:color w:val="auto"/>
              </w:rPr>
            </w:pPr>
            <w:r>
              <w:rPr>
                <w:rFonts w:ascii="Arial" w:cs="Arial" w:eastAsia="Arial" w:hAnsi="Arial"/>
                <w:sz w:val="14"/>
                <w:szCs w:val="14"/>
                <w:color w:val="3E3935"/>
              </w:rPr>
              <w:t>977,500</w:t>
            </w:r>
          </w:p>
        </w:tc>
        <w:tc>
          <w:tcPr>
            <w:tcW w:w="1240" w:type="dxa"/>
            <w:vAlign w:val="bottom"/>
            <w:vMerge w:val="restart"/>
          </w:tcPr>
          <w:p>
            <w:pPr>
              <w:jc w:val="right"/>
              <w:ind w:right="27"/>
              <w:spacing w:after="0"/>
              <w:rPr>
                <w:sz w:val="20"/>
                <w:szCs w:val="20"/>
                <w:color w:val="auto"/>
              </w:rPr>
            </w:pPr>
            <w:r>
              <w:rPr>
                <w:rFonts w:ascii="Arial" w:cs="Arial" w:eastAsia="Arial" w:hAnsi="Arial"/>
                <w:sz w:val="14"/>
                <w:szCs w:val="14"/>
                <w:color w:val="3E3935"/>
              </w:rPr>
              <w:t>260,113</w:t>
            </w:r>
          </w:p>
        </w:tc>
        <w:tc>
          <w:tcPr>
            <w:tcW w:w="1380" w:type="dxa"/>
            <w:vAlign w:val="bottom"/>
            <w:vMerge w:val="restart"/>
          </w:tcPr>
          <w:p>
            <w:pPr>
              <w:jc w:val="right"/>
              <w:ind w:right="7"/>
              <w:spacing w:after="0"/>
              <w:rPr>
                <w:sz w:val="20"/>
                <w:szCs w:val="20"/>
                <w:color w:val="auto"/>
              </w:rPr>
            </w:pPr>
            <w:r>
              <w:rPr>
                <w:rFonts w:ascii="Arial" w:cs="Arial" w:eastAsia="Arial" w:hAnsi="Arial"/>
                <w:sz w:val="14"/>
                <w:szCs w:val="14"/>
                <w:color w:val="3E3935"/>
              </w:rPr>
              <w:t>163,025</w:t>
            </w:r>
          </w:p>
        </w:tc>
        <w:tc>
          <w:tcPr>
            <w:tcW w:w="920" w:type="dxa"/>
            <w:vAlign w:val="bottom"/>
            <w:vMerge w:val="restart"/>
          </w:tcPr>
          <w:p>
            <w:pPr>
              <w:jc w:val="right"/>
              <w:ind w:right="48"/>
              <w:spacing w:after="0"/>
              <w:rPr>
                <w:sz w:val="20"/>
                <w:szCs w:val="20"/>
                <w:color w:val="auto"/>
              </w:rPr>
            </w:pPr>
            <w:r>
              <w:rPr>
                <w:rFonts w:ascii="Arial" w:cs="Arial" w:eastAsia="Arial" w:hAnsi="Arial"/>
                <w:sz w:val="14"/>
                <w:szCs w:val="14"/>
                <w:color w:val="3E3935"/>
              </w:rPr>
              <w:t>6,733,708</w:t>
            </w:r>
          </w:p>
        </w:tc>
        <w:tc>
          <w:tcPr>
            <w:tcW w:w="0" w:type="dxa"/>
            <w:vAlign w:val="bottom"/>
          </w:tcPr>
          <w:p>
            <w:pPr>
              <w:spacing w:after="0"/>
              <w:rPr>
                <w:sz w:val="1"/>
                <w:szCs w:val="1"/>
                <w:color w:val="auto"/>
              </w:rPr>
            </w:pPr>
          </w:p>
        </w:tc>
      </w:tr>
      <w:tr>
        <w:trPr>
          <w:trHeight w:val="162"/>
        </w:trPr>
        <w:tc>
          <w:tcPr>
            <w:tcW w:w="2160" w:type="dxa"/>
            <w:vAlign w:val="bottom"/>
          </w:tcPr>
          <w:p>
            <w:pPr>
              <w:ind w:left="60"/>
              <w:spacing w:after="0"/>
              <w:rPr>
                <w:sz w:val="20"/>
                <w:szCs w:val="20"/>
                <w:color w:val="auto"/>
              </w:rPr>
            </w:pPr>
            <w:r>
              <w:rPr>
                <w:rFonts w:ascii="Arial" w:cs="Arial" w:eastAsia="Arial" w:hAnsi="Arial"/>
                <w:sz w:val="14"/>
                <w:szCs w:val="14"/>
                <w:color w:val="3E3935"/>
              </w:rPr>
              <w:t>Product Development,</w:t>
            </w:r>
          </w:p>
        </w:tc>
        <w:tc>
          <w:tcPr>
            <w:tcW w:w="60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68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1400" w:type="dxa"/>
            <w:vAlign w:val="bottom"/>
            <w:vMerge w:val="continue"/>
          </w:tcPr>
          <w:p>
            <w:pPr>
              <w:spacing w:after="0"/>
              <w:rPr>
                <w:sz w:val="14"/>
                <w:szCs w:val="14"/>
                <w:color w:val="auto"/>
              </w:rPr>
            </w:pPr>
          </w:p>
        </w:tc>
        <w:tc>
          <w:tcPr>
            <w:tcW w:w="1240" w:type="dxa"/>
            <w:vAlign w:val="bottom"/>
            <w:vMerge w:val="continue"/>
          </w:tcPr>
          <w:p>
            <w:pPr>
              <w:spacing w:after="0"/>
              <w:rPr>
                <w:sz w:val="14"/>
                <w:szCs w:val="14"/>
                <w:color w:val="auto"/>
              </w:rPr>
            </w:pPr>
          </w:p>
        </w:tc>
        <w:tc>
          <w:tcPr>
            <w:tcW w:w="138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160" w:type="dxa"/>
            <w:vAlign w:val="bottom"/>
          </w:tcPr>
          <w:p>
            <w:pPr>
              <w:ind w:left="60"/>
              <w:spacing w:after="0"/>
              <w:rPr>
                <w:sz w:val="20"/>
                <w:szCs w:val="20"/>
                <w:color w:val="auto"/>
              </w:rPr>
            </w:pPr>
            <w:r>
              <w:rPr>
                <w:rFonts w:ascii="Arial" w:cs="Arial" w:eastAsia="Arial" w:hAnsi="Arial"/>
                <w:sz w:val="14"/>
                <w:szCs w:val="14"/>
                <w:color w:val="3E3935"/>
              </w:rPr>
              <w:t>Purchasing and Supply</w:t>
            </w:r>
          </w:p>
        </w:tc>
        <w:tc>
          <w:tcPr>
            <w:tcW w:w="6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2160" w:type="dxa"/>
            <w:vAlign w:val="bottom"/>
            <w:tcBorders>
              <w:bottom w:val="single" w:sz="8" w:color="3E3935"/>
            </w:tcBorders>
          </w:tcPr>
          <w:p>
            <w:pPr>
              <w:ind w:left="60"/>
              <w:spacing w:after="0"/>
              <w:rPr>
                <w:sz w:val="20"/>
                <w:szCs w:val="20"/>
                <w:color w:val="auto"/>
              </w:rPr>
            </w:pPr>
            <w:r>
              <w:rPr>
                <w:rFonts w:ascii="Arial" w:cs="Arial" w:eastAsia="Arial" w:hAnsi="Arial"/>
                <w:sz w:val="14"/>
                <w:szCs w:val="14"/>
                <w:color w:val="3E3935"/>
              </w:rPr>
              <w:t>Chain</w:t>
            </w:r>
          </w:p>
        </w:tc>
        <w:tc>
          <w:tcPr>
            <w:tcW w:w="600" w:type="dxa"/>
            <w:vAlign w:val="bottom"/>
            <w:tcBorders>
              <w:bottom w:val="single" w:sz="8" w:color="3E3935"/>
            </w:tcBorders>
          </w:tcPr>
          <w:p>
            <w:pPr>
              <w:spacing w:after="0"/>
              <w:rPr>
                <w:sz w:val="16"/>
                <w:szCs w:val="16"/>
                <w:color w:val="auto"/>
              </w:rPr>
            </w:pPr>
          </w:p>
        </w:tc>
        <w:tc>
          <w:tcPr>
            <w:tcW w:w="840" w:type="dxa"/>
            <w:vAlign w:val="bottom"/>
            <w:tcBorders>
              <w:bottom w:val="single" w:sz="8" w:color="3E3935"/>
            </w:tcBorders>
          </w:tcPr>
          <w:p>
            <w:pPr>
              <w:spacing w:after="0"/>
              <w:rPr>
                <w:sz w:val="16"/>
                <w:szCs w:val="16"/>
                <w:color w:val="auto"/>
              </w:rPr>
            </w:pPr>
          </w:p>
        </w:tc>
        <w:tc>
          <w:tcPr>
            <w:tcW w:w="680" w:type="dxa"/>
            <w:vAlign w:val="bottom"/>
            <w:tcBorders>
              <w:bottom w:val="single" w:sz="8" w:color="3E3935"/>
            </w:tcBorders>
          </w:tcPr>
          <w:p>
            <w:pPr>
              <w:spacing w:after="0"/>
              <w:rPr>
                <w:sz w:val="16"/>
                <w:szCs w:val="16"/>
                <w:color w:val="auto"/>
              </w:rPr>
            </w:pPr>
          </w:p>
        </w:tc>
        <w:tc>
          <w:tcPr>
            <w:tcW w:w="920" w:type="dxa"/>
            <w:vAlign w:val="bottom"/>
            <w:tcBorders>
              <w:bottom w:val="single" w:sz="8" w:color="3E3935"/>
            </w:tcBorders>
          </w:tcPr>
          <w:p>
            <w:pPr>
              <w:spacing w:after="0"/>
              <w:rPr>
                <w:sz w:val="16"/>
                <w:szCs w:val="16"/>
                <w:color w:val="auto"/>
              </w:rPr>
            </w:pPr>
          </w:p>
        </w:tc>
        <w:tc>
          <w:tcPr>
            <w:tcW w:w="880" w:type="dxa"/>
            <w:vAlign w:val="bottom"/>
            <w:tcBorders>
              <w:bottom w:val="single" w:sz="8" w:color="3E3935"/>
            </w:tcBorders>
          </w:tcPr>
          <w:p>
            <w:pPr>
              <w:spacing w:after="0"/>
              <w:rPr>
                <w:sz w:val="16"/>
                <w:szCs w:val="16"/>
                <w:color w:val="auto"/>
              </w:rPr>
            </w:pPr>
          </w:p>
        </w:tc>
        <w:tc>
          <w:tcPr>
            <w:tcW w:w="1400" w:type="dxa"/>
            <w:vAlign w:val="bottom"/>
            <w:tcBorders>
              <w:bottom w:val="single" w:sz="8" w:color="3E3935"/>
            </w:tcBorders>
          </w:tcPr>
          <w:p>
            <w:pPr>
              <w:spacing w:after="0"/>
              <w:rPr>
                <w:sz w:val="16"/>
                <w:szCs w:val="16"/>
                <w:color w:val="auto"/>
              </w:rPr>
            </w:pPr>
          </w:p>
        </w:tc>
        <w:tc>
          <w:tcPr>
            <w:tcW w:w="1240" w:type="dxa"/>
            <w:vAlign w:val="bottom"/>
            <w:tcBorders>
              <w:bottom w:val="single" w:sz="8" w:color="3E3935"/>
            </w:tcBorders>
          </w:tcPr>
          <w:p>
            <w:pPr>
              <w:spacing w:after="0"/>
              <w:rPr>
                <w:sz w:val="16"/>
                <w:szCs w:val="16"/>
                <w:color w:val="auto"/>
              </w:rPr>
            </w:pPr>
          </w:p>
        </w:tc>
        <w:tc>
          <w:tcPr>
            <w:tcW w:w="1380" w:type="dxa"/>
            <w:vAlign w:val="bottom"/>
            <w:tcBorders>
              <w:bottom w:val="single" w:sz="8" w:color="3E3935"/>
            </w:tcBorders>
          </w:tcPr>
          <w:p>
            <w:pPr>
              <w:spacing w:after="0"/>
              <w:rPr>
                <w:sz w:val="16"/>
                <w:szCs w:val="16"/>
                <w:color w:val="auto"/>
              </w:rPr>
            </w:pPr>
          </w:p>
        </w:tc>
        <w:tc>
          <w:tcPr>
            <w:tcW w:w="920" w:type="dxa"/>
            <w:vAlign w:val="bottom"/>
            <w:tcBorders>
              <w:bottom w:val="single" w:sz="8" w:color="3E3935"/>
            </w:tcBorders>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160" w:type="dxa"/>
            <w:vAlign w:val="bottom"/>
          </w:tcPr>
          <w:p>
            <w:pPr>
              <w:ind w:left="60"/>
              <w:spacing w:after="0"/>
              <w:rPr>
                <w:sz w:val="20"/>
                <w:szCs w:val="20"/>
                <w:color w:val="auto"/>
              </w:rPr>
            </w:pPr>
            <w:r>
              <w:rPr>
                <w:rFonts w:ascii="Arial" w:cs="Arial" w:eastAsia="Arial" w:hAnsi="Arial"/>
                <w:sz w:val="14"/>
                <w:szCs w:val="14"/>
                <w:b w:val="1"/>
                <w:bCs w:val="1"/>
                <w:color w:val="3E3935"/>
              </w:rPr>
              <w:t>Stephen K. Carlisle</w:t>
            </w:r>
          </w:p>
        </w:tc>
        <w:tc>
          <w:tcPr>
            <w:tcW w:w="600" w:type="dxa"/>
            <w:vAlign w:val="bottom"/>
            <w:tcBorders>
              <w:bottom w:val="single" w:sz="8" w:color="3E3935"/>
            </w:tcBorders>
          </w:tcPr>
          <w:p>
            <w:pPr>
              <w:ind w:left="160"/>
              <w:spacing w:after="0"/>
              <w:rPr>
                <w:sz w:val="20"/>
                <w:szCs w:val="20"/>
                <w:color w:val="auto"/>
              </w:rPr>
            </w:pPr>
            <w:r>
              <w:rPr>
                <w:rFonts w:ascii="Arial" w:cs="Arial" w:eastAsia="Arial" w:hAnsi="Arial"/>
                <w:sz w:val="14"/>
                <w:szCs w:val="14"/>
                <w:color w:val="3E3935"/>
              </w:rPr>
              <w:t>2022</w:t>
            </w:r>
          </w:p>
        </w:tc>
        <w:tc>
          <w:tcPr>
            <w:tcW w:w="840" w:type="dxa"/>
            <w:vAlign w:val="bottom"/>
            <w:tcBorders>
              <w:bottom w:val="single" w:sz="8" w:color="3E3935"/>
            </w:tcBorders>
          </w:tcPr>
          <w:p>
            <w:pPr>
              <w:jc w:val="right"/>
              <w:ind w:right="28"/>
              <w:spacing w:after="0"/>
              <w:rPr>
                <w:sz w:val="20"/>
                <w:szCs w:val="20"/>
                <w:color w:val="auto"/>
              </w:rPr>
            </w:pPr>
            <w:r>
              <w:rPr>
                <w:rFonts w:ascii="Arial" w:cs="Arial" w:eastAsia="Arial" w:hAnsi="Arial"/>
                <w:sz w:val="14"/>
                <w:szCs w:val="14"/>
                <w:color w:val="3E3935"/>
              </w:rPr>
              <w:t>875,000</w:t>
            </w:r>
          </w:p>
        </w:tc>
        <w:tc>
          <w:tcPr>
            <w:tcW w:w="680" w:type="dxa"/>
            <w:vAlign w:val="bottom"/>
            <w:tcBorders>
              <w:bottom w:val="single" w:sz="8" w:color="3E3935"/>
            </w:tcBorders>
          </w:tcPr>
          <w:p>
            <w:pPr>
              <w:jc w:val="right"/>
              <w:ind w:right="48"/>
              <w:spacing w:after="0"/>
              <w:rPr>
                <w:sz w:val="20"/>
                <w:szCs w:val="20"/>
                <w:color w:val="auto"/>
              </w:rPr>
            </w:pPr>
            <w:r>
              <w:rPr>
                <w:rFonts w:ascii="Arial" w:cs="Arial" w:eastAsia="Arial" w:hAnsi="Arial"/>
                <w:sz w:val="14"/>
                <w:szCs w:val="14"/>
                <w:color w:val="3E3935"/>
              </w:rPr>
              <w:t>—</w:t>
            </w:r>
          </w:p>
        </w:tc>
        <w:tc>
          <w:tcPr>
            <w:tcW w:w="920" w:type="dxa"/>
            <w:vAlign w:val="bottom"/>
            <w:tcBorders>
              <w:bottom w:val="single" w:sz="8" w:color="3E3935"/>
            </w:tcBorders>
          </w:tcPr>
          <w:p>
            <w:pPr>
              <w:jc w:val="right"/>
              <w:ind w:right="7"/>
              <w:spacing w:after="0"/>
              <w:rPr>
                <w:sz w:val="20"/>
                <w:szCs w:val="20"/>
                <w:color w:val="auto"/>
              </w:rPr>
            </w:pPr>
            <w:r>
              <w:rPr>
                <w:rFonts w:ascii="Arial" w:cs="Arial" w:eastAsia="Arial" w:hAnsi="Arial"/>
                <w:sz w:val="14"/>
                <w:szCs w:val="14"/>
                <w:color w:val="3E3935"/>
              </w:rPr>
              <w:t>4,523,400</w:t>
            </w:r>
          </w:p>
        </w:tc>
        <w:tc>
          <w:tcPr>
            <w:tcW w:w="880" w:type="dxa"/>
            <w:vAlign w:val="bottom"/>
            <w:tcBorders>
              <w:bottom w:val="single" w:sz="8" w:color="3E3935"/>
            </w:tcBorders>
          </w:tcPr>
          <w:p>
            <w:pPr>
              <w:jc w:val="right"/>
              <w:ind w:right="7"/>
              <w:spacing w:after="0"/>
              <w:rPr>
                <w:sz w:val="20"/>
                <w:szCs w:val="20"/>
                <w:color w:val="auto"/>
              </w:rPr>
            </w:pPr>
            <w:r>
              <w:rPr>
                <w:rFonts w:ascii="Arial" w:cs="Arial" w:eastAsia="Arial" w:hAnsi="Arial"/>
                <w:sz w:val="14"/>
                <w:szCs w:val="14"/>
                <w:color w:val="3E3935"/>
              </w:rPr>
              <w:t>1,507,806</w:t>
            </w:r>
          </w:p>
        </w:tc>
        <w:tc>
          <w:tcPr>
            <w:tcW w:w="1400" w:type="dxa"/>
            <w:vAlign w:val="bottom"/>
            <w:tcBorders>
              <w:bottom w:val="single" w:sz="8" w:color="3E3935"/>
            </w:tcBorders>
          </w:tcPr>
          <w:p>
            <w:pPr>
              <w:jc w:val="right"/>
              <w:ind w:right="27"/>
              <w:spacing w:after="0"/>
              <w:rPr>
                <w:sz w:val="20"/>
                <w:szCs w:val="20"/>
                <w:color w:val="auto"/>
              </w:rPr>
            </w:pPr>
            <w:r>
              <w:rPr>
                <w:rFonts w:ascii="Arial" w:cs="Arial" w:eastAsia="Arial" w:hAnsi="Arial"/>
                <w:sz w:val="14"/>
                <w:szCs w:val="14"/>
                <w:color w:val="3E3935"/>
              </w:rPr>
              <w:t>1,629,800</w:t>
            </w:r>
          </w:p>
        </w:tc>
        <w:tc>
          <w:tcPr>
            <w:tcW w:w="1240" w:type="dxa"/>
            <w:vAlign w:val="bottom"/>
            <w:tcBorders>
              <w:bottom w:val="single" w:sz="8" w:color="3E3935"/>
            </w:tcBorders>
          </w:tcPr>
          <w:p>
            <w:pPr>
              <w:jc w:val="right"/>
              <w:ind w:right="27"/>
              <w:spacing w:after="0"/>
              <w:rPr>
                <w:sz w:val="20"/>
                <w:szCs w:val="20"/>
                <w:color w:val="auto"/>
              </w:rPr>
            </w:pPr>
            <w:r>
              <w:rPr>
                <w:rFonts w:ascii="Arial" w:cs="Arial" w:eastAsia="Arial" w:hAnsi="Arial"/>
                <w:sz w:val="14"/>
                <w:szCs w:val="14"/>
                <w:color w:val="3E3935"/>
              </w:rPr>
              <w:t>—</w:t>
            </w:r>
          </w:p>
        </w:tc>
        <w:tc>
          <w:tcPr>
            <w:tcW w:w="1380" w:type="dxa"/>
            <w:vAlign w:val="bottom"/>
            <w:tcBorders>
              <w:bottom w:val="single" w:sz="8" w:color="3E3935"/>
            </w:tcBorders>
          </w:tcPr>
          <w:p>
            <w:pPr>
              <w:jc w:val="right"/>
              <w:ind w:right="7"/>
              <w:spacing w:after="0"/>
              <w:rPr>
                <w:sz w:val="20"/>
                <w:szCs w:val="20"/>
                <w:color w:val="auto"/>
              </w:rPr>
            </w:pPr>
            <w:r>
              <w:rPr>
                <w:rFonts w:ascii="Arial" w:cs="Arial" w:eastAsia="Arial" w:hAnsi="Arial"/>
                <w:sz w:val="14"/>
                <w:szCs w:val="14"/>
                <w:color w:val="3E3935"/>
              </w:rPr>
              <w:t>258,960</w:t>
            </w:r>
          </w:p>
        </w:tc>
        <w:tc>
          <w:tcPr>
            <w:tcW w:w="920" w:type="dxa"/>
            <w:vAlign w:val="bottom"/>
            <w:tcBorders>
              <w:bottom w:val="single" w:sz="8" w:color="3E3935"/>
            </w:tcBorders>
          </w:tcPr>
          <w:p>
            <w:pPr>
              <w:jc w:val="right"/>
              <w:ind w:right="48"/>
              <w:spacing w:after="0"/>
              <w:rPr>
                <w:sz w:val="20"/>
                <w:szCs w:val="20"/>
                <w:color w:val="auto"/>
              </w:rPr>
            </w:pPr>
            <w:r>
              <w:rPr>
                <w:rFonts w:ascii="Arial" w:cs="Arial" w:eastAsia="Arial" w:hAnsi="Arial"/>
                <w:sz w:val="14"/>
                <w:szCs w:val="14"/>
                <w:color w:val="3E3935"/>
              </w:rPr>
              <w:t>8,794,966</w:t>
            </w:r>
          </w:p>
        </w:tc>
        <w:tc>
          <w:tcPr>
            <w:tcW w:w="0" w:type="dxa"/>
            <w:vAlign w:val="bottom"/>
          </w:tcPr>
          <w:p>
            <w:pPr>
              <w:spacing w:after="0"/>
              <w:rPr>
                <w:sz w:val="1"/>
                <w:szCs w:val="1"/>
                <w:color w:val="auto"/>
              </w:rPr>
            </w:pPr>
          </w:p>
        </w:tc>
      </w:tr>
      <w:tr>
        <w:trPr>
          <w:trHeight w:val="133"/>
        </w:trPr>
        <w:tc>
          <w:tcPr>
            <w:tcW w:w="2160" w:type="dxa"/>
            <w:vAlign w:val="bottom"/>
          </w:tcPr>
          <w:p>
            <w:pPr>
              <w:ind w:left="60"/>
              <w:spacing w:after="0" w:line="133" w:lineRule="exact"/>
              <w:rPr>
                <w:sz w:val="20"/>
                <w:szCs w:val="20"/>
                <w:color w:val="auto"/>
              </w:rPr>
            </w:pPr>
            <w:r>
              <w:rPr>
                <w:rFonts w:ascii="Arial" w:cs="Arial" w:eastAsia="Arial" w:hAnsi="Arial"/>
                <w:sz w:val="14"/>
                <w:szCs w:val="14"/>
                <w:color w:val="3E3935"/>
              </w:rPr>
              <w:t>Executive Vice</w:t>
            </w:r>
          </w:p>
        </w:tc>
        <w:tc>
          <w:tcPr>
            <w:tcW w:w="600" w:type="dxa"/>
            <w:vAlign w:val="bottom"/>
          </w:tcPr>
          <w:p>
            <w:pPr>
              <w:ind w:left="160"/>
              <w:spacing w:after="0" w:line="133" w:lineRule="exact"/>
              <w:rPr>
                <w:sz w:val="20"/>
                <w:szCs w:val="20"/>
                <w:color w:val="auto"/>
              </w:rPr>
            </w:pPr>
            <w:r>
              <w:rPr>
                <w:rFonts w:ascii="Arial" w:cs="Arial" w:eastAsia="Arial" w:hAnsi="Arial"/>
                <w:sz w:val="14"/>
                <w:szCs w:val="14"/>
                <w:color w:val="3E3935"/>
              </w:rPr>
              <w:t>2021</w:t>
            </w:r>
          </w:p>
        </w:tc>
        <w:tc>
          <w:tcPr>
            <w:tcW w:w="840" w:type="dxa"/>
            <w:vAlign w:val="bottom"/>
          </w:tcPr>
          <w:p>
            <w:pPr>
              <w:jc w:val="right"/>
              <w:ind w:right="28"/>
              <w:spacing w:after="0" w:line="133" w:lineRule="exact"/>
              <w:rPr>
                <w:sz w:val="20"/>
                <w:szCs w:val="20"/>
                <w:color w:val="auto"/>
              </w:rPr>
            </w:pPr>
            <w:r>
              <w:rPr>
                <w:rFonts w:ascii="Arial" w:cs="Arial" w:eastAsia="Arial" w:hAnsi="Arial"/>
                <w:sz w:val="14"/>
                <w:szCs w:val="14"/>
                <w:color w:val="3E3935"/>
              </w:rPr>
              <w:t>850,000</w:t>
            </w:r>
          </w:p>
        </w:tc>
        <w:tc>
          <w:tcPr>
            <w:tcW w:w="680" w:type="dxa"/>
            <w:vAlign w:val="bottom"/>
          </w:tcPr>
          <w:p>
            <w:pPr>
              <w:jc w:val="right"/>
              <w:ind w:right="48"/>
              <w:spacing w:after="0" w:line="133" w:lineRule="exact"/>
              <w:rPr>
                <w:sz w:val="20"/>
                <w:szCs w:val="20"/>
                <w:color w:val="auto"/>
              </w:rPr>
            </w:pPr>
            <w:r>
              <w:rPr>
                <w:rFonts w:ascii="Arial" w:cs="Arial" w:eastAsia="Arial" w:hAnsi="Arial"/>
                <w:sz w:val="14"/>
                <w:szCs w:val="14"/>
                <w:color w:val="3E3935"/>
              </w:rPr>
              <w:t>—</w:t>
            </w:r>
          </w:p>
        </w:tc>
        <w:tc>
          <w:tcPr>
            <w:tcW w:w="920" w:type="dxa"/>
            <w:vAlign w:val="bottom"/>
          </w:tcPr>
          <w:p>
            <w:pPr>
              <w:jc w:val="right"/>
              <w:ind w:right="7"/>
              <w:spacing w:after="0" w:line="133" w:lineRule="exact"/>
              <w:rPr>
                <w:sz w:val="20"/>
                <w:szCs w:val="20"/>
                <w:color w:val="auto"/>
              </w:rPr>
            </w:pPr>
            <w:r>
              <w:rPr>
                <w:rFonts w:ascii="Arial" w:cs="Arial" w:eastAsia="Arial" w:hAnsi="Arial"/>
                <w:sz w:val="14"/>
                <w:szCs w:val="14"/>
                <w:color w:val="3E3935"/>
              </w:rPr>
              <w:t>4,617,717</w:t>
            </w:r>
          </w:p>
        </w:tc>
        <w:tc>
          <w:tcPr>
            <w:tcW w:w="880" w:type="dxa"/>
            <w:vAlign w:val="bottom"/>
          </w:tcPr>
          <w:p>
            <w:pPr>
              <w:jc w:val="right"/>
              <w:ind w:right="7"/>
              <w:spacing w:after="0" w:line="133" w:lineRule="exact"/>
              <w:rPr>
                <w:sz w:val="20"/>
                <w:szCs w:val="20"/>
                <w:color w:val="auto"/>
              </w:rPr>
            </w:pPr>
            <w:r>
              <w:rPr>
                <w:rFonts w:ascii="Arial" w:cs="Arial" w:eastAsia="Arial" w:hAnsi="Arial"/>
                <w:sz w:val="14"/>
                <w:szCs w:val="14"/>
                <w:color w:val="3E3935"/>
              </w:rPr>
              <w:t>1,246,876</w:t>
            </w:r>
          </w:p>
        </w:tc>
        <w:tc>
          <w:tcPr>
            <w:tcW w:w="1400" w:type="dxa"/>
            <w:vAlign w:val="bottom"/>
          </w:tcPr>
          <w:p>
            <w:pPr>
              <w:jc w:val="right"/>
              <w:ind w:right="27"/>
              <w:spacing w:after="0" w:line="133" w:lineRule="exact"/>
              <w:rPr>
                <w:sz w:val="20"/>
                <w:szCs w:val="20"/>
                <w:color w:val="auto"/>
              </w:rPr>
            </w:pPr>
            <w:r>
              <w:rPr>
                <w:rFonts w:ascii="Arial" w:cs="Arial" w:eastAsia="Arial" w:hAnsi="Arial"/>
                <w:sz w:val="14"/>
                <w:szCs w:val="14"/>
                <w:color w:val="3E3935"/>
              </w:rPr>
              <w:t>1,933,800</w:t>
            </w:r>
          </w:p>
        </w:tc>
        <w:tc>
          <w:tcPr>
            <w:tcW w:w="1240" w:type="dxa"/>
            <w:vAlign w:val="bottom"/>
          </w:tcPr>
          <w:p>
            <w:pPr>
              <w:jc w:val="right"/>
              <w:ind w:right="27"/>
              <w:spacing w:after="0" w:line="133" w:lineRule="exact"/>
              <w:rPr>
                <w:sz w:val="20"/>
                <w:szCs w:val="20"/>
                <w:color w:val="auto"/>
              </w:rPr>
            </w:pPr>
            <w:r>
              <w:rPr>
                <w:rFonts w:ascii="Arial" w:cs="Arial" w:eastAsia="Arial" w:hAnsi="Arial"/>
                <w:sz w:val="14"/>
                <w:szCs w:val="14"/>
                <w:color w:val="3E3935"/>
              </w:rPr>
              <w:t>—</w:t>
            </w:r>
          </w:p>
        </w:tc>
        <w:tc>
          <w:tcPr>
            <w:tcW w:w="1380" w:type="dxa"/>
            <w:vAlign w:val="bottom"/>
          </w:tcPr>
          <w:p>
            <w:pPr>
              <w:jc w:val="right"/>
              <w:ind w:right="7"/>
              <w:spacing w:after="0" w:line="133" w:lineRule="exact"/>
              <w:rPr>
                <w:sz w:val="20"/>
                <w:szCs w:val="20"/>
                <w:color w:val="auto"/>
              </w:rPr>
            </w:pPr>
            <w:r>
              <w:rPr>
                <w:rFonts w:ascii="Arial" w:cs="Arial" w:eastAsia="Arial" w:hAnsi="Arial"/>
                <w:sz w:val="14"/>
                <w:szCs w:val="14"/>
                <w:color w:val="3E3935"/>
              </w:rPr>
              <w:t>331,811</w:t>
            </w:r>
          </w:p>
        </w:tc>
        <w:tc>
          <w:tcPr>
            <w:tcW w:w="920" w:type="dxa"/>
            <w:vAlign w:val="bottom"/>
          </w:tcPr>
          <w:p>
            <w:pPr>
              <w:jc w:val="right"/>
              <w:ind w:right="48"/>
              <w:spacing w:after="0" w:line="133" w:lineRule="exact"/>
              <w:rPr>
                <w:sz w:val="20"/>
                <w:szCs w:val="20"/>
                <w:color w:val="auto"/>
              </w:rPr>
            </w:pPr>
            <w:r>
              <w:rPr>
                <w:rFonts w:ascii="Arial" w:cs="Arial" w:eastAsia="Arial" w:hAnsi="Arial"/>
                <w:sz w:val="14"/>
                <w:szCs w:val="14"/>
                <w:color w:val="3E3935"/>
              </w:rPr>
              <w:t>8,980,204</w:t>
            </w:r>
          </w:p>
        </w:tc>
        <w:tc>
          <w:tcPr>
            <w:tcW w:w="0" w:type="dxa"/>
            <w:vAlign w:val="bottom"/>
          </w:tcPr>
          <w:p>
            <w:pPr>
              <w:spacing w:after="0"/>
              <w:rPr>
                <w:sz w:val="1"/>
                <w:szCs w:val="1"/>
                <w:color w:val="auto"/>
              </w:rPr>
            </w:pPr>
          </w:p>
        </w:tc>
      </w:tr>
      <w:tr>
        <w:trPr>
          <w:trHeight w:val="23"/>
        </w:trPr>
        <w:tc>
          <w:tcPr>
            <w:tcW w:w="2160" w:type="dxa"/>
            <w:vAlign w:val="bottom"/>
            <w:vMerge w:val="restart"/>
          </w:tcPr>
          <w:p>
            <w:pPr>
              <w:ind w:left="60"/>
              <w:spacing w:after="0"/>
              <w:rPr>
                <w:sz w:val="20"/>
                <w:szCs w:val="20"/>
                <w:color w:val="auto"/>
              </w:rPr>
            </w:pPr>
            <w:r>
              <w:rPr>
                <w:rFonts w:ascii="Arial" w:cs="Arial" w:eastAsia="Arial" w:hAnsi="Arial"/>
                <w:sz w:val="14"/>
                <w:szCs w:val="14"/>
                <w:color w:val="3E3935"/>
              </w:rPr>
              <w:t>President and</w:t>
            </w:r>
          </w:p>
        </w:tc>
        <w:tc>
          <w:tcPr>
            <w:tcW w:w="600" w:type="dxa"/>
            <w:vAlign w:val="bottom"/>
            <w:tcBorders>
              <w:bottom w:val="single" w:sz="8" w:color="3E3935"/>
            </w:tcBorders>
          </w:tcPr>
          <w:p>
            <w:pPr>
              <w:spacing w:after="0" w:line="20" w:lineRule="exact"/>
              <w:rPr>
                <w:sz w:val="1"/>
                <w:szCs w:val="1"/>
                <w:color w:val="auto"/>
              </w:rPr>
            </w:pPr>
          </w:p>
        </w:tc>
        <w:tc>
          <w:tcPr>
            <w:tcW w:w="840" w:type="dxa"/>
            <w:vAlign w:val="bottom"/>
            <w:tcBorders>
              <w:bottom w:val="single" w:sz="8" w:color="3E3935"/>
            </w:tcBorders>
          </w:tcPr>
          <w:p>
            <w:pPr>
              <w:spacing w:after="0" w:line="20" w:lineRule="exact"/>
              <w:rPr>
                <w:sz w:val="1"/>
                <w:szCs w:val="1"/>
                <w:color w:val="auto"/>
              </w:rPr>
            </w:pPr>
          </w:p>
        </w:tc>
        <w:tc>
          <w:tcPr>
            <w:tcW w:w="680" w:type="dxa"/>
            <w:vAlign w:val="bottom"/>
            <w:tcBorders>
              <w:bottom w:val="single" w:sz="8" w:color="3E3935"/>
            </w:tcBorders>
          </w:tcPr>
          <w:p>
            <w:pPr>
              <w:spacing w:after="0" w:line="20" w:lineRule="exact"/>
              <w:rPr>
                <w:sz w:val="1"/>
                <w:szCs w:val="1"/>
                <w:color w:val="auto"/>
              </w:rPr>
            </w:pPr>
          </w:p>
        </w:tc>
        <w:tc>
          <w:tcPr>
            <w:tcW w:w="920" w:type="dxa"/>
            <w:vAlign w:val="bottom"/>
            <w:tcBorders>
              <w:bottom w:val="single" w:sz="8" w:color="3E3935"/>
            </w:tcBorders>
          </w:tcPr>
          <w:p>
            <w:pPr>
              <w:spacing w:after="0" w:line="20" w:lineRule="exact"/>
              <w:rPr>
                <w:sz w:val="1"/>
                <w:szCs w:val="1"/>
                <w:color w:val="auto"/>
              </w:rPr>
            </w:pPr>
          </w:p>
        </w:tc>
        <w:tc>
          <w:tcPr>
            <w:tcW w:w="880" w:type="dxa"/>
            <w:vAlign w:val="bottom"/>
            <w:tcBorders>
              <w:bottom w:val="single" w:sz="8" w:color="3E3935"/>
            </w:tcBorders>
          </w:tcPr>
          <w:p>
            <w:pPr>
              <w:spacing w:after="0" w:line="20" w:lineRule="exact"/>
              <w:rPr>
                <w:sz w:val="1"/>
                <w:szCs w:val="1"/>
                <w:color w:val="auto"/>
              </w:rPr>
            </w:pPr>
          </w:p>
        </w:tc>
        <w:tc>
          <w:tcPr>
            <w:tcW w:w="1400" w:type="dxa"/>
            <w:vAlign w:val="bottom"/>
            <w:tcBorders>
              <w:bottom w:val="single" w:sz="8" w:color="3E3935"/>
            </w:tcBorders>
          </w:tcPr>
          <w:p>
            <w:pPr>
              <w:spacing w:after="0" w:line="20" w:lineRule="exact"/>
              <w:rPr>
                <w:sz w:val="1"/>
                <w:szCs w:val="1"/>
                <w:color w:val="auto"/>
              </w:rPr>
            </w:pPr>
          </w:p>
        </w:tc>
        <w:tc>
          <w:tcPr>
            <w:tcW w:w="1240" w:type="dxa"/>
            <w:vAlign w:val="bottom"/>
            <w:tcBorders>
              <w:bottom w:val="single" w:sz="8" w:color="3E3935"/>
            </w:tcBorders>
          </w:tcPr>
          <w:p>
            <w:pPr>
              <w:spacing w:after="0" w:line="20" w:lineRule="exact"/>
              <w:rPr>
                <w:sz w:val="1"/>
                <w:szCs w:val="1"/>
                <w:color w:val="auto"/>
              </w:rPr>
            </w:pPr>
          </w:p>
        </w:tc>
        <w:tc>
          <w:tcPr>
            <w:tcW w:w="1380" w:type="dxa"/>
            <w:vAlign w:val="bottom"/>
            <w:tcBorders>
              <w:bottom w:val="single" w:sz="8" w:color="3E3935"/>
            </w:tcBorders>
          </w:tcPr>
          <w:p>
            <w:pPr>
              <w:spacing w:after="0" w:line="20" w:lineRule="exact"/>
              <w:rPr>
                <w:sz w:val="1"/>
                <w:szCs w:val="1"/>
                <w:color w:val="auto"/>
              </w:rPr>
            </w:pPr>
          </w:p>
        </w:tc>
        <w:tc>
          <w:tcPr>
            <w:tcW w:w="920" w:type="dxa"/>
            <w:vAlign w:val="bottom"/>
            <w:tcBorders>
              <w:bottom w:val="single" w:sz="8" w:color="3E3935"/>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8"/>
        </w:trPr>
        <w:tc>
          <w:tcPr>
            <w:tcW w:w="2160" w:type="dxa"/>
            <w:vAlign w:val="bottom"/>
            <w:vMerge w:val="continue"/>
          </w:tcPr>
          <w:p>
            <w:pPr>
              <w:spacing w:after="0"/>
              <w:rPr>
                <w:sz w:val="11"/>
                <w:szCs w:val="11"/>
                <w:color w:val="auto"/>
              </w:rPr>
            </w:pPr>
          </w:p>
        </w:tc>
        <w:tc>
          <w:tcPr>
            <w:tcW w:w="600" w:type="dxa"/>
            <w:vAlign w:val="bottom"/>
          </w:tcPr>
          <w:p>
            <w:pPr>
              <w:ind w:left="160"/>
              <w:spacing w:after="0" w:line="129" w:lineRule="exact"/>
              <w:rPr>
                <w:sz w:val="20"/>
                <w:szCs w:val="20"/>
                <w:color w:val="auto"/>
              </w:rPr>
            </w:pPr>
            <w:r>
              <w:rPr>
                <w:rFonts w:ascii="Arial" w:cs="Arial" w:eastAsia="Arial" w:hAnsi="Arial"/>
                <w:sz w:val="14"/>
                <w:szCs w:val="14"/>
                <w:color w:val="3E3935"/>
              </w:rPr>
              <w:t>2020</w:t>
            </w:r>
          </w:p>
        </w:tc>
        <w:tc>
          <w:tcPr>
            <w:tcW w:w="840" w:type="dxa"/>
            <w:vAlign w:val="bottom"/>
          </w:tcPr>
          <w:p>
            <w:pPr>
              <w:jc w:val="right"/>
              <w:ind w:right="28"/>
              <w:spacing w:after="0" w:line="129" w:lineRule="exact"/>
              <w:rPr>
                <w:sz w:val="20"/>
                <w:szCs w:val="20"/>
                <w:color w:val="auto"/>
              </w:rPr>
            </w:pPr>
            <w:r>
              <w:rPr>
                <w:rFonts w:ascii="Arial" w:cs="Arial" w:eastAsia="Arial" w:hAnsi="Arial"/>
                <w:sz w:val="14"/>
                <w:szCs w:val="14"/>
                <w:color w:val="3E3935"/>
              </w:rPr>
              <w:t>711,136</w:t>
            </w:r>
          </w:p>
        </w:tc>
        <w:tc>
          <w:tcPr>
            <w:tcW w:w="680" w:type="dxa"/>
            <w:vAlign w:val="bottom"/>
          </w:tcPr>
          <w:p>
            <w:pPr>
              <w:jc w:val="right"/>
              <w:ind w:right="48"/>
              <w:spacing w:after="0" w:line="129" w:lineRule="exact"/>
              <w:rPr>
                <w:sz w:val="20"/>
                <w:szCs w:val="20"/>
                <w:color w:val="auto"/>
              </w:rPr>
            </w:pPr>
            <w:r>
              <w:rPr>
                <w:rFonts w:ascii="Arial" w:cs="Arial" w:eastAsia="Arial" w:hAnsi="Arial"/>
                <w:sz w:val="14"/>
                <w:szCs w:val="14"/>
                <w:color w:val="3E3935"/>
              </w:rPr>
              <w:t>—</w:t>
            </w:r>
          </w:p>
        </w:tc>
        <w:tc>
          <w:tcPr>
            <w:tcW w:w="920" w:type="dxa"/>
            <w:vAlign w:val="bottom"/>
          </w:tcPr>
          <w:p>
            <w:pPr>
              <w:jc w:val="right"/>
              <w:ind w:right="7"/>
              <w:spacing w:after="0" w:line="129" w:lineRule="exact"/>
              <w:rPr>
                <w:sz w:val="20"/>
                <w:szCs w:val="20"/>
                <w:color w:val="auto"/>
              </w:rPr>
            </w:pPr>
            <w:r>
              <w:rPr>
                <w:rFonts w:ascii="Arial" w:cs="Arial" w:eastAsia="Arial" w:hAnsi="Arial"/>
                <w:sz w:val="14"/>
                <w:szCs w:val="14"/>
                <w:color w:val="3E3935"/>
              </w:rPr>
              <w:t>3,390,773</w:t>
            </w:r>
          </w:p>
        </w:tc>
        <w:tc>
          <w:tcPr>
            <w:tcW w:w="880" w:type="dxa"/>
            <w:vAlign w:val="bottom"/>
          </w:tcPr>
          <w:p>
            <w:pPr>
              <w:jc w:val="right"/>
              <w:ind w:right="7"/>
              <w:spacing w:after="0" w:line="129" w:lineRule="exact"/>
              <w:rPr>
                <w:sz w:val="20"/>
                <w:szCs w:val="20"/>
                <w:color w:val="auto"/>
              </w:rPr>
            </w:pPr>
            <w:r>
              <w:rPr>
                <w:rFonts w:ascii="Arial" w:cs="Arial" w:eastAsia="Arial" w:hAnsi="Arial"/>
                <w:sz w:val="14"/>
                <w:szCs w:val="14"/>
                <w:color w:val="3E3935"/>
              </w:rPr>
              <w:t>875,009</w:t>
            </w:r>
          </w:p>
        </w:tc>
        <w:tc>
          <w:tcPr>
            <w:tcW w:w="1400" w:type="dxa"/>
            <w:vAlign w:val="bottom"/>
          </w:tcPr>
          <w:p>
            <w:pPr>
              <w:jc w:val="right"/>
              <w:ind w:right="27"/>
              <w:spacing w:after="0" w:line="129" w:lineRule="exact"/>
              <w:rPr>
                <w:sz w:val="20"/>
                <w:szCs w:val="20"/>
                <w:color w:val="auto"/>
              </w:rPr>
            </w:pPr>
            <w:r>
              <w:rPr>
                <w:rFonts w:ascii="Arial" w:cs="Arial" w:eastAsia="Arial" w:hAnsi="Arial"/>
                <w:sz w:val="14"/>
                <w:szCs w:val="14"/>
                <w:color w:val="3E3935"/>
              </w:rPr>
              <w:t>920,000</w:t>
            </w:r>
          </w:p>
        </w:tc>
        <w:tc>
          <w:tcPr>
            <w:tcW w:w="1240" w:type="dxa"/>
            <w:vAlign w:val="bottom"/>
          </w:tcPr>
          <w:p>
            <w:pPr>
              <w:jc w:val="right"/>
              <w:ind w:right="27"/>
              <w:spacing w:after="0" w:line="129" w:lineRule="exact"/>
              <w:rPr>
                <w:sz w:val="20"/>
                <w:szCs w:val="20"/>
                <w:color w:val="auto"/>
              </w:rPr>
            </w:pPr>
            <w:r>
              <w:rPr>
                <w:rFonts w:ascii="Arial" w:cs="Arial" w:eastAsia="Arial" w:hAnsi="Arial"/>
                <w:sz w:val="14"/>
                <w:szCs w:val="14"/>
                <w:color w:val="3E3935"/>
              </w:rPr>
              <w:t>232,390</w:t>
            </w:r>
          </w:p>
        </w:tc>
        <w:tc>
          <w:tcPr>
            <w:tcW w:w="1380" w:type="dxa"/>
            <w:vAlign w:val="bottom"/>
          </w:tcPr>
          <w:p>
            <w:pPr>
              <w:jc w:val="right"/>
              <w:ind w:right="7"/>
              <w:spacing w:after="0" w:line="129" w:lineRule="exact"/>
              <w:rPr>
                <w:sz w:val="20"/>
                <w:szCs w:val="20"/>
                <w:color w:val="auto"/>
              </w:rPr>
            </w:pPr>
            <w:r>
              <w:rPr>
                <w:rFonts w:ascii="Arial" w:cs="Arial" w:eastAsia="Arial" w:hAnsi="Arial"/>
                <w:sz w:val="14"/>
                <w:szCs w:val="14"/>
                <w:color w:val="3E3935"/>
              </w:rPr>
              <w:t>160,155</w:t>
            </w:r>
          </w:p>
        </w:tc>
        <w:tc>
          <w:tcPr>
            <w:tcW w:w="920" w:type="dxa"/>
            <w:vAlign w:val="bottom"/>
          </w:tcPr>
          <w:p>
            <w:pPr>
              <w:jc w:val="right"/>
              <w:ind w:right="48"/>
              <w:spacing w:after="0" w:line="129" w:lineRule="exact"/>
              <w:rPr>
                <w:sz w:val="20"/>
                <w:szCs w:val="20"/>
                <w:color w:val="auto"/>
              </w:rPr>
            </w:pPr>
            <w:r>
              <w:rPr>
                <w:rFonts w:ascii="Arial" w:cs="Arial" w:eastAsia="Arial" w:hAnsi="Arial"/>
                <w:sz w:val="14"/>
                <w:szCs w:val="14"/>
                <w:color w:val="3E3935"/>
              </w:rPr>
              <w:t>6,289,463</w:t>
            </w:r>
          </w:p>
        </w:tc>
        <w:tc>
          <w:tcPr>
            <w:tcW w:w="0" w:type="dxa"/>
            <w:vAlign w:val="bottom"/>
          </w:tcPr>
          <w:p>
            <w:pPr>
              <w:spacing w:after="0"/>
              <w:rPr>
                <w:sz w:val="1"/>
                <w:szCs w:val="1"/>
                <w:color w:val="auto"/>
              </w:rPr>
            </w:pPr>
          </w:p>
        </w:tc>
      </w:tr>
      <w:tr>
        <w:trPr>
          <w:trHeight w:val="167"/>
        </w:trPr>
        <w:tc>
          <w:tcPr>
            <w:tcW w:w="2160" w:type="dxa"/>
            <w:vAlign w:val="bottom"/>
          </w:tcPr>
          <w:p>
            <w:pPr>
              <w:ind w:left="60"/>
              <w:spacing w:after="0"/>
              <w:rPr>
                <w:sz w:val="20"/>
                <w:szCs w:val="20"/>
                <w:color w:val="auto"/>
              </w:rPr>
            </w:pPr>
            <w:r>
              <w:rPr>
                <w:rFonts w:ascii="Arial" w:cs="Arial" w:eastAsia="Arial" w:hAnsi="Arial"/>
                <w:sz w:val="14"/>
                <w:szCs w:val="14"/>
                <w:color w:val="3E3935"/>
              </w:rPr>
              <w:t>President, North</w:t>
            </w:r>
          </w:p>
        </w:tc>
        <w:tc>
          <w:tcPr>
            <w:tcW w:w="6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ind w:left="180"/>
        <w:spacing w:after="0"/>
        <w:rPr>
          <w:sz w:val="20"/>
          <w:szCs w:val="20"/>
          <w:color w:val="auto"/>
        </w:rPr>
      </w:pPr>
      <w:r>
        <w:rPr>
          <w:rFonts w:ascii="Arial" w:cs="Arial" w:eastAsia="Arial" w:hAnsi="Arial"/>
          <w:sz w:val="14"/>
          <w:szCs w:val="14"/>
          <w:color w:val="3E3935"/>
        </w:rPr>
        <w:t>America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6350</wp:posOffset>
            </wp:positionV>
            <wp:extent cx="6995160" cy="889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08" w:lineRule="exact"/>
        <w:rPr>
          <w:sz w:val="20"/>
          <w:szCs w:val="20"/>
          <w:color w:val="auto"/>
        </w:rPr>
      </w:pPr>
    </w:p>
    <w:p>
      <w:pPr>
        <w:ind w:left="540" w:hanging="424"/>
        <w:spacing w:after="0"/>
        <w:tabs>
          <w:tab w:leader="none" w:pos="540" w:val="left"/>
        </w:tabs>
        <w:numPr>
          <w:ilvl w:val="0"/>
          <w:numId w:val="119"/>
        </w:numPr>
        <w:rPr>
          <w:rFonts w:ascii="Arial" w:cs="Arial" w:eastAsia="Arial" w:hAnsi="Arial"/>
          <w:sz w:val="18"/>
          <w:szCs w:val="18"/>
          <w:i w:val="1"/>
          <w:iCs w:val="1"/>
          <w:color w:val="3E3935"/>
        </w:rPr>
      </w:pPr>
      <w:r>
        <w:rPr>
          <w:rFonts w:ascii="Arial" w:cs="Arial" w:eastAsia="Arial" w:hAnsi="Arial"/>
          <w:sz w:val="18"/>
          <w:szCs w:val="18"/>
          <w:i w:val="1"/>
          <w:iCs w:val="1"/>
          <w:color w:val="3E3935"/>
        </w:rPr>
        <w:t>Titles reflect position as of December 31, 2022.</w:t>
      </w:r>
    </w:p>
    <w:p>
      <w:pPr>
        <w:spacing w:after="0" w:line="76" w:lineRule="exact"/>
        <w:rPr>
          <w:rFonts w:ascii="Arial" w:cs="Arial" w:eastAsia="Arial" w:hAnsi="Arial"/>
          <w:sz w:val="18"/>
          <w:szCs w:val="18"/>
          <w:i w:val="1"/>
          <w:iCs w:val="1"/>
          <w:color w:val="3E3935"/>
        </w:rPr>
      </w:pPr>
    </w:p>
    <w:p>
      <w:pPr>
        <w:jc w:val="both"/>
        <w:ind w:left="540" w:right="20" w:hanging="424"/>
        <w:spacing w:after="0" w:line="246" w:lineRule="auto"/>
        <w:tabs>
          <w:tab w:leader="none" w:pos="540" w:val="left"/>
        </w:tabs>
        <w:numPr>
          <w:ilvl w:val="0"/>
          <w:numId w:val="119"/>
        </w:numPr>
        <w:rPr>
          <w:rFonts w:ascii="Arial" w:cs="Arial" w:eastAsia="Arial" w:hAnsi="Arial"/>
          <w:sz w:val="18"/>
          <w:szCs w:val="18"/>
          <w:i w:val="1"/>
          <w:iCs w:val="1"/>
          <w:color w:val="3E3935"/>
        </w:rPr>
      </w:pPr>
      <w:r>
        <w:rPr>
          <w:rFonts w:ascii="Arial" w:cs="Arial" w:eastAsia="Arial" w:hAnsi="Arial"/>
          <w:sz w:val="18"/>
          <w:szCs w:val="18"/>
          <w:i w:val="1"/>
          <w:iCs w:val="1"/>
          <w:color w:val="3E3935"/>
        </w:rPr>
        <w:t>Stock Awards displays the grant date fair value of PSUs issued under the LTIP, computed in accordance with Financial Accounting Standards Board (“FASB”) Accounting Standards Codification (“ASC”) Topic 718. PSUs will vest based on GM’s performance against EBIT-adjusted Margin, Relative TSR, and EV Measures. The assumptions used for the Monte Carlo valuation of the Relative TSR portion of the PSUs are summarized below:</w:t>
      </w:r>
    </w:p>
    <w:p>
      <w:pPr>
        <w:spacing w:after="0" w:line="221" w:lineRule="exact"/>
        <w:rPr>
          <w:sz w:val="20"/>
          <w:szCs w:val="20"/>
          <w:color w:val="auto"/>
        </w:rPr>
      </w:pPr>
    </w:p>
    <w:tbl>
      <w:tblPr>
        <w:tblLayout w:type="fixed"/>
        <w:tblInd w:w="560" w:type="dxa"/>
        <w:tblCellMar>
          <w:top w:w="0" w:type="dxa"/>
          <w:left w:w="0" w:type="dxa"/>
          <w:bottom w:w="0" w:type="dxa"/>
          <w:right w:w="0" w:type="dxa"/>
        </w:tblCellMar>
      </w:tblPr>
      <w:tr>
        <w:trPr>
          <w:trHeight w:val="168"/>
        </w:trPr>
        <w:tc>
          <w:tcPr>
            <w:tcW w:w="2240" w:type="dxa"/>
            <w:vAlign w:val="bottom"/>
            <w:tcBorders>
              <w:right w:val="single" w:sz="8" w:color="0071CE"/>
            </w:tcBorders>
          </w:tcPr>
          <w:p>
            <w:pPr>
              <w:spacing w:after="0"/>
              <w:rPr>
                <w:sz w:val="14"/>
                <w:szCs w:val="14"/>
                <w:color w:val="auto"/>
              </w:rPr>
            </w:pPr>
          </w:p>
        </w:tc>
        <w:tc>
          <w:tcPr>
            <w:tcW w:w="1680" w:type="dxa"/>
            <w:vAlign w:val="bottom"/>
            <w:tcBorders>
              <w:right w:val="single" w:sz="8" w:color="0071CE"/>
            </w:tcBorders>
          </w:tcPr>
          <w:p>
            <w:pPr>
              <w:spacing w:after="0"/>
              <w:rPr>
                <w:sz w:val="14"/>
                <w:szCs w:val="14"/>
                <w:color w:val="auto"/>
              </w:rPr>
            </w:pPr>
          </w:p>
        </w:tc>
        <w:tc>
          <w:tcPr>
            <w:tcW w:w="1700" w:type="dxa"/>
            <w:vAlign w:val="bottom"/>
            <w:tcBorders>
              <w:right w:val="single" w:sz="8" w:color="0071CE"/>
            </w:tcBorders>
          </w:tcPr>
          <w:p>
            <w:pPr>
              <w:spacing w:after="0"/>
              <w:rPr>
                <w:sz w:val="14"/>
                <w:szCs w:val="14"/>
                <w:color w:val="auto"/>
              </w:rPr>
            </w:pPr>
          </w:p>
        </w:tc>
        <w:tc>
          <w:tcPr>
            <w:tcW w:w="1680" w:type="dxa"/>
            <w:vAlign w:val="bottom"/>
            <w:tcBorders>
              <w:right w:val="single" w:sz="8" w:color="0071CE"/>
            </w:tcBorders>
          </w:tcPr>
          <w:p>
            <w:pPr>
              <w:jc w:val="center"/>
              <w:spacing w:after="0"/>
              <w:rPr>
                <w:sz w:val="20"/>
                <w:szCs w:val="20"/>
                <w:color w:val="auto"/>
              </w:rPr>
            </w:pPr>
            <w:r>
              <w:rPr>
                <w:rFonts w:ascii="Arial" w:cs="Arial" w:eastAsia="Arial" w:hAnsi="Arial"/>
                <w:sz w:val="14"/>
                <w:szCs w:val="14"/>
                <w:i w:val="1"/>
                <w:iCs w:val="1"/>
                <w:color w:val="3E3935"/>
              </w:rPr>
              <w:t>Risk-Free</w:t>
            </w:r>
          </w:p>
        </w:tc>
        <w:tc>
          <w:tcPr>
            <w:tcW w:w="1700" w:type="dxa"/>
            <w:vAlign w:val="bottom"/>
            <w:tcBorders>
              <w:right w:val="single" w:sz="8" w:color="0071CE"/>
            </w:tcBorders>
          </w:tcPr>
          <w:p>
            <w:pPr>
              <w:spacing w:after="0"/>
              <w:rPr>
                <w:sz w:val="14"/>
                <w:szCs w:val="14"/>
                <w:color w:val="auto"/>
              </w:rPr>
            </w:pPr>
          </w:p>
        </w:tc>
        <w:tc>
          <w:tcPr>
            <w:tcW w:w="1580" w:type="dxa"/>
            <w:vAlign w:val="bottom"/>
          </w:tcPr>
          <w:p>
            <w:pPr>
              <w:jc w:val="center"/>
              <w:ind w:left="28"/>
              <w:spacing w:after="0"/>
              <w:rPr>
                <w:sz w:val="20"/>
                <w:szCs w:val="20"/>
                <w:color w:val="auto"/>
              </w:rPr>
            </w:pPr>
            <w:r>
              <w:rPr>
                <w:rFonts w:ascii="Arial" w:cs="Arial" w:eastAsia="Arial" w:hAnsi="Arial"/>
                <w:sz w:val="14"/>
                <w:szCs w:val="14"/>
                <w:i w:val="1"/>
                <w:iCs w:val="1"/>
                <w:color w:val="3E3935"/>
              </w:rPr>
              <w:t>Valuation Price as a</w:t>
            </w:r>
          </w:p>
        </w:tc>
      </w:tr>
      <w:tr>
        <w:trPr>
          <w:trHeight w:val="192"/>
        </w:trPr>
        <w:tc>
          <w:tcPr>
            <w:tcW w:w="2240" w:type="dxa"/>
            <w:vAlign w:val="bottom"/>
            <w:tcBorders>
              <w:bottom w:val="single" w:sz="8" w:color="0071CE"/>
              <w:right w:val="single" w:sz="8" w:color="0071CE"/>
            </w:tcBorders>
          </w:tcPr>
          <w:p>
            <w:pPr>
              <w:jc w:val="center"/>
              <w:spacing w:after="0"/>
              <w:rPr>
                <w:sz w:val="20"/>
                <w:szCs w:val="20"/>
                <w:color w:val="auto"/>
              </w:rPr>
            </w:pPr>
            <w:r>
              <w:rPr>
                <w:rFonts w:ascii="Arial" w:cs="Arial" w:eastAsia="Arial" w:hAnsi="Arial"/>
                <w:sz w:val="14"/>
                <w:szCs w:val="14"/>
                <w:i w:val="1"/>
                <w:iCs w:val="1"/>
                <w:color w:val="3E3935"/>
              </w:rPr>
              <w:t>Grant Date</w:t>
            </w:r>
          </w:p>
        </w:tc>
        <w:tc>
          <w:tcPr>
            <w:tcW w:w="1680" w:type="dxa"/>
            <w:vAlign w:val="bottom"/>
            <w:tcBorders>
              <w:bottom w:val="single" w:sz="8" w:color="0071CE"/>
              <w:right w:val="single" w:sz="8" w:color="0071CE"/>
            </w:tcBorders>
          </w:tcPr>
          <w:p>
            <w:pPr>
              <w:jc w:val="center"/>
              <w:spacing w:after="0"/>
              <w:rPr>
                <w:sz w:val="20"/>
                <w:szCs w:val="20"/>
                <w:color w:val="auto"/>
              </w:rPr>
            </w:pPr>
            <w:r>
              <w:rPr>
                <w:rFonts w:ascii="Arial" w:cs="Arial" w:eastAsia="Arial" w:hAnsi="Arial"/>
                <w:sz w:val="14"/>
                <w:szCs w:val="14"/>
                <w:i w:val="1"/>
                <w:iCs w:val="1"/>
                <w:color w:val="3E3935"/>
              </w:rPr>
              <w:t>Stock Price</w:t>
            </w:r>
          </w:p>
        </w:tc>
        <w:tc>
          <w:tcPr>
            <w:tcW w:w="1700" w:type="dxa"/>
            <w:vAlign w:val="bottom"/>
            <w:tcBorders>
              <w:bottom w:val="single" w:sz="8" w:color="0071CE"/>
              <w:right w:val="single" w:sz="8" w:color="0071CE"/>
            </w:tcBorders>
          </w:tcPr>
          <w:p>
            <w:pPr>
              <w:jc w:val="center"/>
              <w:spacing w:after="0"/>
              <w:rPr>
                <w:sz w:val="20"/>
                <w:szCs w:val="20"/>
                <w:color w:val="auto"/>
              </w:rPr>
            </w:pPr>
            <w:r>
              <w:rPr>
                <w:rFonts w:ascii="Arial" w:cs="Arial" w:eastAsia="Arial" w:hAnsi="Arial"/>
                <w:sz w:val="14"/>
                <w:szCs w:val="14"/>
                <w:i w:val="1"/>
                <w:iCs w:val="1"/>
                <w:color w:val="3E3935"/>
              </w:rPr>
              <w:t>Implied Volatility</w:t>
            </w:r>
          </w:p>
        </w:tc>
        <w:tc>
          <w:tcPr>
            <w:tcW w:w="1680" w:type="dxa"/>
            <w:vAlign w:val="bottom"/>
            <w:tcBorders>
              <w:bottom w:val="single" w:sz="8" w:color="0071CE"/>
              <w:right w:val="single" w:sz="8" w:color="0071CE"/>
            </w:tcBorders>
          </w:tcPr>
          <w:p>
            <w:pPr>
              <w:jc w:val="center"/>
              <w:spacing w:after="0"/>
              <w:rPr>
                <w:sz w:val="20"/>
                <w:szCs w:val="20"/>
                <w:color w:val="auto"/>
              </w:rPr>
            </w:pPr>
            <w:r>
              <w:rPr>
                <w:rFonts w:ascii="Arial" w:cs="Arial" w:eastAsia="Arial" w:hAnsi="Arial"/>
                <w:sz w:val="14"/>
                <w:szCs w:val="14"/>
                <w:i w:val="1"/>
                <w:iCs w:val="1"/>
                <w:color w:val="3E3935"/>
              </w:rPr>
              <w:t>Interest Rate</w:t>
            </w:r>
          </w:p>
        </w:tc>
        <w:tc>
          <w:tcPr>
            <w:tcW w:w="1700" w:type="dxa"/>
            <w:vAlign w:val="bottom"/>
            <w:tcBorders>
              <w:bottom w:val="single" w:sz="8" w:color="0071CE"/>
              <w:right w:val="single" w:sz="8" w:color="0071CE"/>
            </w:tcBorders>
          </w:tcPr>
          <w:p>
            <w:pPr>
              <w:jc w:val="center"/>
              <w:ind w:left="8"/>
              <w:spacing w:after="0"/>
              <w:rPr>
                <w:sz w:val="20"/>
                <w:szCs w:val="20"/>
                <w:color w:val="auto"/>
              </w:rPr>
            </w:pPr>
            <w:r>
              <w:rPr>
                <w:rFonts w:ascii="Arial" w:cs="Arial" w:eastAsia="Arial" w:hAnsi="Arial"/>
                <w:sz w:val="14"/>
                <w:szCs w:val="14"/>
                <w:i w:val="1"/>
                <w:iCs w:val="1"/>
                <w:color w:val="3E3935"/>
              </w:rPr>
              <w:t>Valuation Price</w:t>
            </w:r>
          </w:p>
        </w:tc>
        <w:tc>
          <w:tcPr>
            <w:tcW w:w="1580" w:type="dxa"/>
            <w:vAlign w:val="bottom"/>
            <w:tcBorders>
              <w:bottom w:val="single" w:sz="8" w:color="0071CE"/>
            </w:tcBorders>
          </w:tcPr>
          <w:p>
            <w:pPr>
              <w:jc w:val="center"/>
              <w:ind w:left="8"/>
              <w:spacing w:after="0"/>
              <w:rPr>
                <w:sz w:val="20"/>
                <w:szCs w:val="20"/>
                <w:color w:val="auto"/>
              </w:rPr>
            </w:pPr>
            <w:r>
              <w:rPr>
                <w:rFonts w:ascii="Arial" w:cs="Arial" w:eastAsia="Arial" w:hAnsi="Arial"/>
                <w:sz w:val="14"/>
                <w:szCs w:val="14"/>
                <w:i w:val="1"/>
                <w:iCs w:val="1"/>
                <w:color w:val="3E3935"/>
              </w:rPr>
              <w:t>Percent of Target</w:t>
            </w:r>
          </w:p>
        </w:tc>
      </w:tr>
      <w:tr>
        <w:trPr>
          <w:trHeight w:val="246"/>
        </w:trPr>
        <w:tc>
          <w:tcPr>
            <w:tcW w:w="2240" w:type="dxa"/>
            <w:vAlign w:val="bottom"/>
            <w:tcBorders>
              <w:right w:val="single" w:sz="8" w:color="0071CE"/>
            </w:tcBorders>
          </w:tcPr>
          <w:p>
            <w:pPr>
              <w:jc w:val="right"/>
              <w:ind w:right="788"/>
              <w:spacing w:after="0"/>
              <w:rPr>
                <w:sz w:val="20"/>
                <w:szCs w:val="20"/>
                <w:color w:val="auto"/>
              </w:rPr>
            </w:pPr>
            <w:r>
              <w:rPr>
                <w:rFonts w:ascii="Arial" w:cs="Arial" w:eastAsia="Arial" w:hAnsi="Arial"/>
                <w:sz w:val="14"/>
                <w:szCs w:val="14"/>
                <w:i w:val="1"/>
                <w:iCs w:val="1"/>
                <w:color w:val="3E3935"/>
              </w:rPr>
              <w:t>2/8/2022</w:t>
            </w:r>
          </w:p>
        </w:tc>
        <w:tc>
          <w:tcPr>
            <w:tcW w:w="1680" w:type="dxa"/>
            <w:vAlign w:val="bottom"/>
            <w:tcBorders>
              <w:right w:val="single" w:sz="8" w:color="0071CE"/>
            </w:tcBorders>
          </w:tcPr>
          <w:p>
            <w:pPr>
              <w:jc w:val="right"/>
              <w:ind w:right="508"/>
              <w:spacing w:after="0"/>
              <w:rPr>
                <w:sz w:val="20"/>
                <w:szCs w:val="20"/>
                <w:color w:val="auto"/>
              </w:rPr>
            </w:pPr>
            <w:r>
              <w:rPr>
                <w:rFonts w:ascii="Arial" w:cs="Arial" w:eastAsia="Arial" w:hAnsi="Arial"/>
                <w:sz w:val="14"/>
                <w:szCs w:val="14"/>
                <w:i w:val="1"/>
                <w:iCs w:val="1"/>
                <w:color w:val="3E3935"/>
              </w:rPr>
              <w:t>$49.46</w:t>
            </w:r>
          </w:p>
        </w:tc>
        <w:tc>
          <w:tcPr>
            <w:tcW w:w="1700" w:type="dxa"/>
            <w:vAlign w:val="bottom"/>
            <w:tcBorders>
              <w:right w:val="single" w:sz="8" w:color="0071CE"/>
            </w:tcBorders>
          </w:tcPr>
          <w:p>
            <w:pPr>
              <w:jc w:val="right"/>
              <w:ind w:right="608"/>
              <w:spacing w:after="0"/>
              <w:rPr>
                <w:sz w:val="20"/>
                <w:szCs w:val="20"/>
                <w:color w:val="auto"/>
              </w:rPr>
            </w:pPr>
            <w:r>
              <w:rPr>
                <w:rFonts w:ascii="Arial" w:cs="Arial" w:eastAsia="Arial" w:hAnsi="Arial"/>
                <w:sz w:val="14"/>
                <w:szCs w:val="14"/>
                <w:i w:val="1"/>
                <w:iCs w:val="1"/>
                <w:color w:val="3E3935"/>
              </w:rPr>
              <w:t>41%</w:t>
            </w:r>
          </w:p>
        </w:tc>
        <w:tc>
          <w:tcPr>
            <w:tcW w:w="1680" w:type="dxa"/>
            <w:vAlign w:val="bottom"/>
            <w:tcBorders>
              <w:right w:val="single" w:sz="8" w:color="0071CE"/>
            </w:tcBorders>
          </w:tcPr>
          <w:p>
            <w:pPr>
              <w:jc w:val="center"/>
              <w:spacing w:after="0"/>
              <w:rPr>
                <w:sz w:val="20"/>
                <w:szCs w:val="20"/>
                <w:color w:val="auto"/>
              </w:rPr>
            </w:pPr>
            <w:r>
              <w:rPr>
                <w:rFonts w:ascii="Arial" w:cs="Arial" w:eastAsia="Arial" w:hAnsi="Arial"/>
                <w:sz w:val="14"/>
                <w:szCs w:val="14"/>
                <w:i w:val="1"/>
                <w:iCs w:val="1"/>
                <w:color w:val="3E3935"/>
              </w:rPr>
              <w:t>1.57%</w:t>
            </w:r>
          </w:p>
        </w:tc>
        <w:tc>
          <w:tcPr>
            <w:tcW w:w="1700" w:type="dxa"/>
            <w:vAlign w:val="bottom"/>
            <w:tcBorders>
              <w:right w:val="single" w:sz="8" w:color="0071CE"/>
            </w:tcBorders>
          </w:tcPr>
          <w:p>
            <w:pPr>
              <w:jc w:val="right"/>
              <w:ind w:right="528"/>
              <w:spacing w:after="0"/>
              <w:rPr>
                <w:sz w:val="20"/>
                <w:szCs w:val="20"/>
                <w:color w:val="auto"/>
              </w:rPr>
            </w:pPr>
            <w:r>
              <w:rPr>
                <w:rFonts w:ascii="Arial" w:cs="Arial" w:eastAsia="Arial" w:hAnsi="Arial"/>
                <w:sz w:val="14"/>
                <w:szCs w:val="14"/>
                <w:i w:val="1"/>
                <w:iCs w:val="1"/>
                <w:color w:val="3E3935"/>
              </w:rPr>
              <w:t>$53.42</w:t>
            </w:r>
          </w:p>
        </w:tc>
        <w:tc>
          <w:tcPr>
            <w:tcW w:w="1580" w:type="dxa"/>
            <w:vAlign w:val="bottom"/>
          </w:tcPr>
          <w:p>
            <w:pPr>
              <w:jc w:val="center"/>
              <w:ind w:left="28"/>
              <w:spacing w:after="0"/>
              <w:rPr>
                <w:sz w:val="20"/>
                <w:szCs w:val="20"/>
                <w:color w:val="auto"/>
              </w:rPr>
            </w:pPr>
            <w:r>
              <w:rPr>
                <w:rFonts w:ascii="Arial" w:cs="Arial" w:eastAsia="Arial" w:hAnsi="Arial"/>
                <w:sz w:val="14"/>
                <w:szCs w:val="14"/>
                <w:i w:val="1"/>
                <w:iCs w:val="1"/>
                <w:color w:val="3E3935"/>
              </w:rPr>
              <w:t>108.0%</w:t>
            </w:r>
          </w:p>
        </w:tc>
      </w:tr>
      <w:tr>
        <w:trPr>
          <w:trHeight w:val="62"/>
        </w:trPr>
        <w:tc>
          <w:tcPr>
            <w:tcW w:w="2240" w:type="dxa"/>
            <w:vAlign w:val="bottom"/>
            <w:tcBorders>
              <w:right w:val="single" w:sz="8" w:color="0071CE"/>
            </w:tcBorders>
          </w:tcPr>
          <w:p>
            <w:pPr>
              <w:spacing w:after="0"/>
              <w:rPr>
                <w:sz w:val="5"/>
                <w:szCs w:val="5"/>
                <w:color w:val="auto"/>
              </w:rPr>
            </w:pPr>
          </w:p>
        </w:tc>
        <w:tc>
          <w:tcPr>
            <w:tcW w:w="1680" w:type="dxa"/>
            <w:vAlign w:val="bottom"/>
            <w:tcBorders>
              <w:right w:val="single" w:sz="8" w:color="0071CE"/>
            </w:tcBorders>
          </w:tcPr>
          <w:p>
            <w:pPr>
              <w:spacing w:after="0"/>
              <w:rPr>
                <w:sz w:val="5"/>
                <w:szCs w:val="5"/>
                <w:color w:val="auto"/>
              </w:rPr>
            </w:pPr>
          </w:p>
        </w:tc>
        <w:tc>
          <w:tcPr>
            <w:tcW w:w="1700" w:type="dxa"/>
            <w:vAlign w:val="bottom"/>
            <w:tcBorders>
              <w:right w:val="single" w:sz="8" w:color="0071CE"/>
            </w:tcBorders>
          </w:tcPr>
          <w:p>
            <w:pPr>
              <w:spacing w:after="0"/>
              <w:rPr>
                <w:sz w:val="5"/>
                <w:szCs w:val="5"/>
                <w:color w:val="auto"/>
              </w:rPr>
            </w:pPr>
          </w:p>
        </w:tc>
        <w:tc>
          <w:tcPr>
            <w:tcW w:w="1680" w:type="dxa"/>
            <w:vAlign w:val="bottom"/>
            <w:tcBorders>
              <w:right w:val="single" w:sz="8" w:color="0071CE"/>
            </w:tcBorders>
          </w:tcPr>
          <w:p>
            <w:pPr>
              <w:spacing w:after="0"/>
              <w:rPr>
                <w:sz w:val="5"/>
                <w:szCs w:val="5"/>
                <w:color w:val="auto"/>
              </w:rPr>
            </w:pPr>
          </w:p>
        </w:tc>
        <w:tc>
          <w:tcPr>
            <w:tcW w:w="1700" w:type="dxa"/>
            <w:vAlign w:val="bottom"/>
            <w:tcBorders>
              <w:right w:val="single" w:sz="8" w:color="0071CE"/>
            </w:tcBorders>
          </w:tcPr>
          <w:p>
            <w:pPr>
              <w:spacing w:after="0"/>
              <w:rPr>
                <w:sz w:val="5"/>
                <w:szCs w:val="5"/>
                <w:color w:val="auto"/>
              </w:rPr>
            </w:pPr>
          </w:p>
        </w:tc>
        <w:tc>
          <w:tcPr>
            <w:tcW w:w="1580" w:type="dxa"/>
            <w:vAlign w:val="bottom"/>
          </w:tcPr>
          <w:p>
            <w:pPr>
              <w:spacing w:after="0"/>
              <w:rPr>
                <w:sz w:val="5"/>
                <w:szCs w:val="5"/>
                <w:color w:val="auto"/>
              </w:rPr>
            </w:pPr>
          </w:p>
        </w:tc>
      </w:tr>
    </w:tbl>
    <w:p>
      <w:pPr>
        <w:spacing w:after="0" w:line="64" w:lineRule="exact"/>
        <w:rPr>
          <w:sz w:val="20"/>
          <w:szCs w:val="20"/>
          <w:color w:val="auto"/>
        </w:rPr>
      </w:pPr>
    </w:p>
    <w:p>
      <w:pPr>
        <w:jc w:val="both"/>
        <w:ind w:left="540" w:right="20"/>
        <w:spacing w:after="0" w:line="246" w:lineRule="auto"/>
        <w:rPr>
          <w:sz w:val="20"/>
          <w:szCs w:val="20"/>
          <w:color w:val="auto"/>
        </w:rPr>
      </w:pPr>
      <w:r>
        <w:rPr>
          <w:rFonts w:ascii="Arial" w:cs="Arial" w:eastAsia="Arial" w:hAnsi="Arial"/>
          <w:sz w:val="18"/>
          <w:szCs w:val="18"/>
          <w:i w:val="1"/>
          <w:iCs w:val="1"/>
          <w:color w:val="3E3935"/>
        </w:rPr>
        <w:t>There is no dividend yield, as dividends are assumed to be reinvested for the TSR calculation. The maximum award for PSUs for the 2022–2024 performance period is 200% of PSUs granted. If the maximum level of performance is achieved, the grant date fair values for the 2022 PSUs would be $29,250,000 (Ms. Barra), $10,725,000 (Mr. Jacobson), $14,943,750 (Mr. Reuss), $9,046,800 (Mr. Parks), and $9,046,800 (Mr. Carlisle).</w:t>
      </w:r>
    </w:p>
    <w:p>
      <w:pPr>
        <w:spacing w:after="0" w:line="42" w:lineRule="exact"/>
        <w:rPr>
          <w:sz w:val="20"/>
          <w:szCs w:val="20"/>
          <w:color w:val="auto"/>
        </w:rPr>
      </w:pPr>
    </w:p>
    <w:p>
      <w:pPr>
        <w:jc w:val="both"/>
        <w:ind w:left="540" w:hanging="424"/>
        <w:spacing w:after="0" w:line="252" w:lineRule="auto"/>
        <w:tabs>
          <w:tab w:leader="none" w:pos="540" w:val="left"/>
        </w:tabs>
        <w:numPr>
          <w:ilvl w:val="0"/>
          <w:numId w:val="120"/>
        </w:numPr>
        <w:rPr>
          <w:rFonts w:ascii="Arial" w:cs="Arial" w:eastAsia="Arial" w:hAnsi="Arial"/>
          <w:sz w:val="18"/>
          <w:szCs w:val="18"/>
          <w:i w:val="1"/>
          <w:iCs w:val="1"/>
          <w:color w:val="3E3935"/>
        </w:rPr>
      </w:pPr>
      <w:r>
        <w:rPr>
          <w:rFonts w:ascii="Arial" w:cs="Arial" w:eastAsia="Arial" w:hAnsi="Arial"/>
          <w:sz w:val="18"/>
          <w:szCs w:val="18"/>
          <w:i w:val="1"/>
          <w:iCs w:val="1"/>
          <w:color w:val="3E3935"/>
        </w:rPr>
        <w:t>Option Awards displays the grant date fair value of stock options issued under the LTIP, computed in accordance with FASB ASC Topic 718 using a Black-Scholes valuation. The assumptions used for the Black-Scholes valuation of the stock options are summarized below:</w:t>
      </w:r>
    </w:p>
    <w:p>
      <w:pPr>
        <w:spacing w:after="0" w:line="215" w:lineRule="exact"/>
        <w:rPr>
          <w:sz w:val="20"/>
          <w:szCs w:val="20"/>
          <w:color w:val="auto"/>
        </w:rPr>
      </w:pPr>
    </w:p>
    <w:tbl>
      <w:tblPr>
        <w:tblLayout w:type="fixed"/>
        <w:tblInd w:w="560" w:type="dxa"/>
        <w:tblCellMar>
          <w:top w:w="0" w:type="dxa"/>
          <w:left w:w="0" w:type="dxa"/>
          <w:bottom w:w="0" w:type="dxa"/>
          <w:right w:w="0" w:type="dxa"/>
        </w:tblCellMar>
      </w:tblPr>
      <w:tr>
        <w:trPr>
          <w:trHeight w:val="203"/>
        </w:trPr>
        <w:tc>
          <w:tcPr>
            <w:tcW w:w="2020" w:type="dxa"/>
            <w:vAlign w:val="bottom"/>
            <w:tcBorders>
              <w:bottom w:val="single" w:sz="8" w:color="0071CE"/>
              <w:right w:val="single" w:sz="8" w:color="0071CE"/>
            </w:tcBorders>
          </w:tcPr>
          <w:p>
            <w:pPr>
              <w:jc w:val="center"/>
              <w:spacing w:after="0"/>
              <w:rPr>
                <w:sz w:val="20"/>
                <w:szCs w:val="20"/>
                <w:color w:val="auto"/>
              </w:rPr>
            </w:pPr>
            <w:r>
              <w:rPr>
                <w:rFonts w:ascii="Arial" w:cs="Arial" w:eastAsia="Arial" w:hAnsi="Arial"/>
                <w:sz w:val="14"/>
                <w:szCs w:val="14"/>
                <w:i w:val="1"/>
                <w:iCs w:val="1"/>
                <w:color w:val="3E3935"/>
              </w:rPr>
              <w:t>Grant Date</w:t>
            </w:r>
          </w:p>
        </w:tc>
        <w:tc>
          <w:tcPr>
            <w:tcW w:w="1680" w:type="dxa"/>
            <w:vAlign w:val="bottom"/>
            <w:tcBorders>
              <w:bottom w:val="single" w:sz="8" w:color="0071CE"/>
              <w:right w:val="single" w:sz="8" w:color="0071CE"/>
            </w:tcBorders>
          </w:tcPr>
          <w:p>
            <w:pPr>
              <w:jc w:val="center"/>
              <w:ind w:left="8"/>
              <w:spacing w:after="0"/>
              <w:rPr>
                <w:sz w:val="20"/>
                <w:szCs w:val="20"/>
                <w:color w:val="auto"/>
              </w:rPr>
            </w:pPr>
            <w:r>
              <w:rPr>
                <w:rFonts w:ascii="Arial" w:cs="Arial" w:eastAsia="Arial" w:hAnsi="Arial"/>
                <w:sz w:val="14"/>
                <w:szCs w:val="14"/>
                <w:i w:val="1"/>
                <w:iCs w:val="1"/>
                <w:color w:val="3E3935"/>
              </w:rPr>
              <w:t>Dividend Yield</w:t>
            </w:r>
          </w:p>
        </w:tc>
        <w:tc>
          <w:tcPr>
            <w:tcW w:w="1700" w:type="dxa"/>
            <w:vAlign w:val="bottom"/>
            <w:tcBorders>
              <w:bottom w:val="single" w:sz="8" w:color="0071CE"/>
              <w:right w:val="single" w:sz="8" w:color="0071CE"/>
            </w:tcBorders>
          </w:tcPr>
          <w:p>
            <w:pPr>
              <w:jc w:val="center"/>
              <w:spacing w:after="0"/>
              <w:rPr>
                <w:sz w:val="20"/>
                <w:szCs w:val="20"/>
                <w:color w:val="auto"/>
              </w:rPr>
            </w:pPr>
            <w:r>
              <w:rPr>
                <w:rFonts w:ascii="Arial" w:cs="Arial" w:eastAsia="Arial" w:hAnsi="Arial"/>
                <w:sz w:val="14"/>
                <w:szCs w:val="14"/>
                <w:i w:val="1"/>
                <w:iCs w:val="1"/>
                <w:color w:val="3E3935"/>
              </w:rPr>
              <w:t>Implied Volatility</w:t>
            </w:r>
          </w:p>
        </w:tc>
        <w:tc>
          <w:tcPr>
            <w:tcW w:w="1780" w:type="dxa"/>
            <w:vAlign w:val="bottom"/>
            <w:tcBorders>
              <w:bottom w:val="single" w:sz="8" w:color="0071CE"/>
              <w:right w:val="single" w:sz="8" w:color="0071CE"/>
            </w:tcBorders>
          </w:tcPr>
          <w:p>
            <w:pPr>
              <w:jc w:val="center"/>
              <w:spacing w:after="0"/>
              <w:rPr>
                <w:sz w:val="20"/>
                <w:szCs w:val="20"/>
                <w:color w:val="auto"/>
              </w:rPr>
            </w:pPr>
            <w:r>
              <w:rPr>
                <w:rFonts w:ascii="Arial" w:cs="Arial" w:eastAsia="Arial" w:hAnsi="Arial"/>
                <w:sz w:val="14"/>
                <w:szCs w:val="14"/>
                <w:i w:val="1"/>
                <w:iCs w:val="1"/>
                <w:color w:val="3E3935"/>
              </w:rPr>
              <w:t>Risk-Free Interest Rate</w:t>
            </w:r>
          </w:p>
        </w:tc>
        <w:tc>
          <w:tcPr>
            <w:tcW w:w="1720" w:type="dxa"/>
            <w:vAlign w:val="bottom"/>
            <w:tcBorders>
              <w:bottom w:val="single" w:sz="8" w:color="0071CE"/>
              <w:right w:val="single" w:sz="8" w:color="0071CE"/>
            </w:tcBorders>
          </w:tcPr>
          <w:p>
            <w:pPr>
              <w:jc w:val="center"/>
              <w:ind w:left="8"/>
              <w:spacing w:after="0"/>
              <w:rPr>
                <w:sz w:val="20"/>
                <w:szCs w:val="20"/>
                <w:color w:val="auto"/>
              </w:rPr>
            </w:pPr>
            <w:r>
              <w:rPr>
                <w:rFonts w:ascii="Arial" w:cs="Arial" w:eastAsia="Arial" w:hAnsi="Arial"/>
                <w:sz w:val="14"/>
                <w:szCs w:val="14"/>
                <w:i w:val="1"/>
                <w:iCs w:val="1"/>
                <w:color w:val="3E3935"/>
              </w:rPr>
              <w:t>Expected Option Life</w:t>
            </w:r>
          </w:p>
        </w:tc>
        <w:tc>
          <w:tcPr>
            <w:tcW w:w="1680" w:type="dxa"/>
            <w:vAlign w:val="bottom"/>
            <w:tcBorders>
              <w:bottom w:val="single" w:sz="8" w:color="0071CE"/>
            </w:tcBorders>
          </w:tcPr>
          <w:p>
            <w:pPr>
              <w:jc w:val="center"/>
              <w:ind w:left="8"/>
              <w:spacing w:after="0"/>
              <w:rPr>
                <w:sz w:val="20"/>
                <w:szCs w:val="20"/>
                <w:color w:val="auto"/>
              </w:rPr>
            </w:pPr>
            <w:r>
              <w:rPr>
                <w:rFonts w:ascii="Arial" w:cs="Arial" w:eastAsia="Arial" w:hAnsi="Arial"/>
                <w:sz w:val="14"/>
                <w:szCs w:val="14"/>
                <w:i w:val="1"/>
                <w:iCs w:val="1"/>
                <w:color w:val="3E3935"/>
              </w:rPr>
              <w:t>Grant Date Fair Value</w:t>
            </w:r>
          </w:p>
        </w:tc>
      </w:tr>
      <w:tr>
        <w:trPr>
          <w:trHeight w:val="242"/>
        </w:trPr>
        <w:tc>
          <w:tcPr>
            <w:tcW w:w="2020" w:type="dxa"/>
            <w:vAlign w:val="bottom"/>
            <w:tcBorders>
              <w:right w:val="single" w:sz="8" w:color="0071CE"/>
            </w:tcBorders>
          </w:tcPr>
          <w:p>
            <w:pPr>
              <w:jc w:val="right"/>
              <w:ind w:right="668"/>
              <w:spacing w:after="0"/>
              <w:rPr>
                <w:sz w:val="20"/>
                <w:szCs w:val="20"/>
                <w:color w:val="auto"/>
              </w:rPr>
            </w:pPr>
            <w:r>
              <w:rPr>
                <w:rFonts w:ascii="Arial" w:cs="Arial" w:eastAsia="Arial" w:hAnsi="Arial"/>
                <w:sz w:val="14"/>
                <w:szCs w:val="14"/>
                <w:i w:val="1"/>
                <w:iCs w:val="1"/>
                <w:color w:val="3E3935"/>
              </w:rPr>
              <w:t>2/8/2022</w:t>
            </w:r>
          </w:p>
        </w:tc>
        <w:tc>
          <w:tcPr>
            <w:tcW w:w="1680" w:type="dxa"/>
            <w:vAlign w:val="bottom"/>
            <w:tcBorders>
              <w:right w:val="single" w:sz="8" w:color="0071CE"/>
            </w:tcBorders>
          </w:tcPr>
          <w:p>
            <w:pPr>
              <w:jc w:val="right"/>
              <w:ind w:right="528"/>
              <w:spacing w:after="0"/>
              <w:rPr>
                <w:sz w:val="20"/>
                <w:szCs w:val="20"/>
                <w:color w:val="auto"/>
              </w:rPr>
            </w:pPr>
            <w:r>
              <w:rPr>
                <w:rFonts w:ascii="Arial" w:cs="Arial" w:eastAsia="Arial" w:hAnsi="Arial"/>
                <w:sz w:val="14"/>
                <w:szCs w:val="14"/>
                <w:i w:val="1"/>
                <w:iCs w:val="1"/>
                <w:color w:val="3E3935"/>
              </w:rPr>
              <w:t>1.60%</w:t>
            </w:r>
          </w:p>
        </w:tc>
        <w:tc>
          <w:tcPr>
            <w:tcW w:w="1700" w:type="dxa"/>
            <w:vAlign w:val="bottom"/>
            <w:tcBorders>
              <w:right w:val="single" w:sz="8" w:color="0071CE"/>
            </w:tcBorders>
          </w:tcPr>
          <w:p>
            <w:pPr>
              <w:jc w:val="right"/>
              <w:ind w:right="608"/>
              <w:spacing w:after="0"/>
              <w:rPr>
                <w:sz w:val="20"/>
                <w:szCs w:val="20"/>
                <w:color w:val="auto"/>
              </w:rPr>
            </w:pPr>
            <w:r>
              <w:rPr>
                <w:rFonts w:ascii="Arial" w:cs="Arial" w:eastAsia="Arial" w:hAnsi="Arial"/>
                <w:sz w:val="14"/>
                <w:szCs w:val="14"/>
                <w:i w:val="1"/>
                <w:iCs w:val="1"/>
                <w:color w:val="3E3935"/>
              </w:rPr>
              <w:t>41%</w:t>
            </w:r>
          </w:p>
        </w:tc>
        <w:tc>
          <w:tcPr>
            <w:tcW w:w="1780" w:type="dxa"/>
            <w:vAlign w:val="bottom"/>
            <w:tcBorders>
              <w:right w:val="single" w:sz="8" w:color="0071CE"/>
            </w:tcBorders>
          </w:tcPr>
          <w:p>
            <w:pPr>
              <w:jc w:val="right"/>
              <w:ind w:right="568"/>
              <w:spacing w:after="0"/>
              <w:rPr>
                <w:sz w:val="20"/>
                <w:szCs w:val="20"/>
                <w:color w:val="auto"/>
              </w:rPr>
            </w:pPr>
            <w:r>
              <w:rPr>
                <w:rFonts w:ascii="Arial" w:cs="Arial" w:eastAsia="Arial" w:hAnsi="Arial"/>
                <w:sz w:val="14"/>
                <w:szCs w:val="14"/>
                <w:i w:val="1"/>
                <w:iCs w:val="1"/>
                <w:color w:val="3E3935"/>
              </w:rPr>
              <w:t>1.88%</w:t>
            </w:r>
          </w:p>
        </w:tc>
        <w:tc>
          <w:tcPr>
            <w:tcW w:w="1720" w:type="dxa"/>
            <w:vAlign w:val="bottom"/>
            <w:tcBorders>
              <w:right w:val="single" w:sz="8" w:color="0071CE"/>
            </w:tcBorders>
          </w:tcPr>
          <w:p>
            <w:pPr>
              <w:jc w:val="center"/>
              <w:ind w:left="8"/>
              <w:spacing w:after="0"/>
              <w:rPr>
                <w:sz w:val="20"/>
                <w:szCs w:val="20"/>
                <w:color w:val="auto"/>
              </w:rPr>
            </w:pPr>
            <w:r>
              <w:rPr>
                <w:rFonts w:ascii="Arial" w:cs="Arial" w:eastAsia="Arial" w:hAnsi="Arial"/>
                <w:sz w:val="14"/>
                <w:szCs w:val="14"/>
                <w:i w:val="1"/>
                <w:iCs w:val="1"/>
                <w:color w:val="3E3935"/>
              </w:rPr>
              <w:t>6.00 years</w:t>
            </w:r>
          </w:p>
        </w:tc>
        <w:tc>
          <w:tcPr>
            <w:tcW w:w="1680" w:type="dxa"/>
            <w:vAlign w:val="bottom"/>
          </w:tcPr>
          <w:p>
            <w:pPr>
              <w:jc w:val="right"/>
              <w:ind w:right="508"/>
              <w:spacing w:after="0"/>
              <w:rPr>
                <w:sz w:val="20"/>
                <w:szCs w:val="20"/>
                <w:color w:val="auto"/>
              </w:rPr>
            </w:pPr>
            <w:r>
              <w:rPr>
                <w:rFonts w:ascii="Arial" w:cs="Arial" w:eastAsia="Arial" w:hAnsi="Arial"/>
                <w:sz w:val="14"/>
                <w:szCs w:val="14"/>
                <w:i w:val="1"/>
                <w:iCs w:val="1"/>
                <w:color w:val="3E3935"/>
              </w:rPr>
              <w:t>$17.52</w:t>
            </w:r>
          </w:p>
        </w:tc>
      </w:tr>
      <w:tr>
        <w:trPr>
          <w:trHeight w:val="62"/>
        </w:trPr>
        <w:tc>
          <w:tcPr>
            <w:tcW w:w="2020" w:type="dxa"/>
            <w:vAlign w:val="bottom"/>
            <w:tcBorders>
              <w:right w:val="single" w:sz="8" w:color="0071CE"/>
            </w:tcBorders>
          </w:tcPr>
          <w:p>
            <w:pPr>
              <w:spacing w:after="0"/>
              <w:rPr>
                <w:sz w:val="5"/>
                <w:szCs w:val="5"/>
                <w:color w:val="auto"/>
              </w:rPr>
            </w:pPr>
          </w:p>
        </w:tc>
        <w:tc>
          <w:tcPr>
            <w:tcW w:w="1680" w:type="dxa"/>
            <w:vAlign w:val="bottom"/>
            <w:tcBorders>
              <w:right w:val="single" w:sz="8" w:color="0071CE"/>
            </w:tcBorders>
          </w:tcPr>
          <w:p>
            <w:pPr>
              <w:spacing w:after="0"/>
              <w:rPr>
                <w:sz w:val="5"/>
                <w:szCs w:val="5"/>
                <w:color w:val="auto"/>
              </w:rPr>
            </w:pPr>
          </w:p>
        </w:tc>
        <w:tc>
          <w:tcPr>
            <w:tcW w:w="1700" w:type="dxa"/>
            <w:vAlign w:val="bottom"/>
            <w:tcBorders>
              <w:right w:val="single" w:sz="8" w:color="0071CE"/>
            </w:tcBorders>
          </w:tcPr>
          <w:p>
            <w:pPr>
              <w:spacing w:after="0"/>
              <w:rPr>
                <w:sz w:val="5"/>
                <w:szCs w:val="5"/>
                <w:color w:val="auto"/>
              </w:rPr>
            </w:pPr>
          </w:p>
        </w:tc>
        <w:tc>
          <w:tcPr>
            <w:tcW w:w="1780" w:type="dxa"/>
            <w:vAlign w:val="bottom"/>
            <w:tcBorders>
              <w:right w:val="single" w:sz="8" w:color="0071CE"/>
            </w:tcBorders>
          </w:tcPr>
          <w:p>
            <w:pPr>
              <w:spacing w:after="0"/>
              <w:rPr>
                <w:sz w:val="5"/>
                <w:szCs w:val="5"/>
                <w:color w:val="auto"/>
              </w:rPr>
            </w:pPr>
          </w:p>
        </w:tc>
        <w:tc>
          <w:tcPr>
            <w:tcW w:w="1720" w:type="dxa"/>
            <w:vAlign w:val="bottom"/>
            <w:tcBorders>
              <w:right w:val="single" w:sz="8" w:color="0071CE"/>
            </w:tcBorders>
          </w:tcPr>
          <w:p>
            <w:pPr>
              <w:spacing w:after="0"/>
              <w:rPr>
                <w:sz w:val="5"/>
                <w:szCs w:val="5"/>
                <w:color w:val="auto"/>
              </w:rPr>
            </w:pPr>
          </w:p>
        </w:tc>
        <w:tc>
          <w:tcPr>
            <w:tcW w:w="1680" w:type="dxa"/>
            <w:vAlign w:val="bottom"/>
          </w:tcPr>
          <w:p>
            <w:pPr>
              <w:spacing w:after="0"/>
              <w:rPr>
                <w:sz w:val="5"/>
                <w:szCs w:val="5"/>
                <w:color w:val="auto"/>
              </w:rPr>
            </w:pPr>
          </w:p>
        </w:tc>
      </w:tr>
    </w:tbl>
    <w:p>
      <w:pPr>
        <w:spacing w:after="0" w:line="105" w:lineRule="exact"/>
        <w:rPr>
          <w:sz w:val="20"/>
          <w:szCs w:val="20"/>
          <w:color w:val="auto"/>
        </w:rPr>
      </w:pPr>
    </w:p>
    <w:p>
      <w:pPr>
        <w:jc w:val="both"/>
        <w:ind w:left="540" w:right="20" w:hanging="424"/>
        <w:spacing w:after="0" w:line="252" w:lineRule="auto"/>
        <w:tabs>
          <w:tab w:leader="none" w:pos="540" w:val="left"/>
        </w:tabs>
        <w:numPr>
          <w:ilvl w:val="0"/>
          <w:numId w:val="121"/>
        </w:numPr>
        <w:rPr>
          <w:rFonts w:ascii="Arial" w:cs="Arial" w:eastAsia="Arial" w:hAnsi="Arial"/>
          <w:sz w:val="18"/>
          <w:szCs w:val="18"/>
          <w:i w:val="1"/>
          <w:iCs w:val="1"/>
          <w:color w:val="3E3935"/>
        </w:rPr>
      </w:pPr>
      <w:r>
        <w:rPr>
          <w:rFonts w:ascii="Arial" w:cs="Arial" w:eastAsia="Arial" w:hAnsi="Arial"/>
          <w:sz w:val="18"/>
          <w:szCs w:val="18"/>
          <w:i w:val="1"/>
          <w:iCs w:val="1"/>
          <w:color w:val="3E3935"/>
        </w:rPr>
        <w:t>All NEOs were eligible for a payment under the STIP for 2022 performance based on the Company’s achievement of annual performance goals and individual performance. Individual performance decisions for each NEO are determined by the Compensation Committee; results are discussed beginning on page 65.</w:t>
      </w:r>
    </w:p>
    <w:p>
      <w:pPr>
        <w:spacing w:after="0" w:line="77" w:lineRule="exact"/>
        <w:rPr>
          <w:rFonts w:ascii="Arial" w:cs="Arial" w:eastAsia="Arial" w:hAnsi="Arial"/>
          <w:sz w:val="18"/>
          <w:szCs w:val="18"/>
          <w:i w:val="1"/>
          <w:iCs w:val="1"/>
          <w:color w:val="3E3935"/>
        </w:rPr>
      </w:pPr>
    </w:p>
    <w:p>
      <w:pPr>
        <w:jc w:val="both"/>
        <w:ind w:left="540" w:hanging="424"/>
        <w:spacing w:after="0" w:line="252" w:lineRule="auto"/>
        <w:tabs>
          <w:tab w:leader="none" w:pos="540" w:val="left"/>
        </w:tabs>
        <w:numPr>
          <w:ilvl w:val="0"/>
          <w:numId w:val="121"/>
        </w:numPr>
        <w:rPr>
          <w:rFonts w:ascii="Arial" w:cs="Arial" w:eastAsia="Arial" w:hAnsi="Arial"/>
          <w:sz w:val="18"/>
          <w:szCs w:val="18"/>
          <w:i w:val="1"/>
          <w:iCs w:val="1"/>
          <w:color w:val="3E3935"/>
        </w:rPr>
      </w:pPr>
      <w:r>
        <w:rPr>
          <w:rFonts w:ascii="Arial" w:cs="Arial" w:eastAsia="Arial" w:hAnsi="Arial"/>
          <w:sz w:val="18"/>
          <w:szCs w:val="18"/>
          <w:i w:val="1"/>
          <w:iCs w:val="1"/>
          <w:color w:val="3E3935"/>
        </w:rPr>
        <w:t>These amounts represent the actuarial change in the present value of the NEO’s accrued benefit for 2022 attributed to year-over-year variances in applicable discount rates, lump sum interest rates, mortality rates, and employer contributions to tax-qualified and non-tax-qualified plans, as described in “Pension Benefits” on page 78. The</w:t>
      </w:r>
    </w:p>
    <w:p>
      <w:pPr>
        <w:spacing w:after="0" w:line="112" w:lineRule="exact"/>
        <w:rPr>
          <w:sz w:val="20"/>
          <w:szCs w:val="20"/>
          <w:color w:val="auto"/>
        </w:rPr>
      </w:pPr>
    </w:p>
    <w:p>
      <w:pPr>
        <w:ind w:left="120"/>
        <w:spacing w:after="0"/>
        <w:rPr>
          <w:sz w:val="20"/>
          <w:szCs w:val="20"/>
          <w:color w:val="auto"/>
        </w:rPr>
      </w:pPr>
      <w:r>
        <w:rPr>
          <w:rFonts w:ascii="Arial" w:cs="Arial" w:eastAsia="Arial" w:hAnsi="Arial"/>
          <w:sz w:val="14"/>
          <w:szCs w:val="14"/>
          <w:color w:val="0071CE"/>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wp:posOffset>
            </wp:positionH>
            <wp:positionV relativeFrom="paragraph">
              <wp:posOffset>-95885</wp:posOffset>
            </wp:positionV>
            <wp:extent cx="5983605" cy="10287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5983605" cy="102870"/>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11" w:lineRule="exact"/>
        <w:rPr>
          <w:sz w:val="20"/>
          <w:szCs w:val="20"/>
          <w:color w:val="auto"/>
        </w:rPr>
      </w:pPr>
    </w:p>
    <w:p>
      <w:pPr>
        <w:jc w:val="both"/>
        <w:ind w:left="540" w:right="20"/>
        <w:spacing w:after="0" w:line="274" w:lineRule="auto"/>
        <w:rPr>
          <w:sz w:val="20"/>
          <w:szCs w:val="20"/>
          <w:color w:val="auto"/>
        </w:rPr>
      </w:pPr>
      <w:r>
        <w:rPr>
          <w:rFonts w:ascii="Arial" w:cs="Arial" w:eastAsia="Arial" w:hAnsi="Arial"/>
          <w:sz w:val="17"/>
          <w:szCs w:val="17"/>
          <w:i w:val="1"/>
          <w:iCs w:val="1"/>
          <w:color w:val="3E3935"/>
        </w:rPr>
        <w:t>Company does not credit interest at above-market rates to any deferred retirement accounts, and no interest amounts are included in these totals. In 2022, the actuarial present value decreased in the amount of $493,068 (Ms. Barra), $389,602 (Mr. Reuss), $332,677 (Mr. Parks), and $305,416 (Mr. Carlisle). Mr. Jacobson is not eligible to participate in DB pension plans based on his date of service.</w:t>
      </w:r>
    </w:p>
    <w:p>
      <w:pPr>
        <w:spacing w:after="0" w:line="19" w:lineRule="exact"/>
        <w:rPr>
          <w:sz w:val="20"/>
          <w:szCs w:val="20"/>
          <w:color w:val="auto"/>
        </w:rPr>
      </w:pPr>
    </w:p>
    <w:p>
      <w:pPr>
        <w:ind w:left="540" w:hanging="424"/>
        <w:spacing w:after="0"/>
        <w:tabs>
          <w:tab w:leader="none" w:pos="540" w:val="left"/>
        </w:tabs>
        <w:numPr>
          <w:ilvl w:val="0"/>
          <w:numId w:val="122"/>
        </w:numPr>
        <w:rPr>
          <w:rFonts w:ascii="Arial" w:cs="Arial" w:eastAsia="Arial" w:hAnsi="Arial"/>
          <w:sz w:val="18"/>
          <w:szCs w:val="18"/>
          <w:i w:val="1"/>
          <w:iCs w:val="1"/>
          <w:color w:val="3E3935"/>
        </w:rPr>
      </w:pPr>
      <w:r>
        <w:rPr>
          <w:rFonts w:ascii="Arial" w:cs="Arial" w:eastAsia="Arial" w:hAnsi="Arial"/>
          <w:sz w:val="18"/>
          <w:szCs w:val="18"/>
          <w:i w:val="1"/>
          <w:iCs w:val="1"/>
          <w:color w:val="3E3935"/>
        </w:rPr>
        <w:t>The amounts included as All Other Compensation are described in the table below.</w:t>
      </w:r>
    </w:p>
    <w:p>
      <w:pPr>
        <w:spacing w:after="0" w:line="313"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0071CE"/>
        </w:rPr>
        <w:t>All Other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wp:posOffset>
            </wp:positionH>
            <wp:positionV relativeFrom="paragraph">
              <wp:posOffset>100330</wp:posOffset>
            </wp:positionV>
            <wp:extent cx="6711950" cy="825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6711950" cy="8255"/>
                    </a:xfrm>
                    <a:prstGeom prst="rect">
                      <a:avLst/>
                    </a:prstGeom>
                    <a:noFill/>
                  </pic:spPr>
                </pic:pic>
              </a:graphicData>
            </a:graphic>
          </wp:anchor>
        </w:drawing>
      </w:r>
    </w:p>
    <w:p>
      <w:pPr>
        <w:spacing w:after="0" w:line="192" w:lineRule="exact"/>
        <w:rPr>
          <w:sz w:val="20"/>
          <w:szCs w:val="20"/>
          <w:color w:val="auto"/>
        </w:rPr>
      </w:pPr>
    </w:p>
    <w:tbl>
      <w:tblPr>
        <w:tblLayout w:type="fixed"/>
        <w:tblInd w:w="560" w:type="dxa"/>
        <w:tblCellMar>
          <w:top w:w="0" w:type="dxa"/>
          <w:left w:w="0" w:type="dxa"/>
          <w:bottom w:w="0" w:type="dxa"/>
          <w:right w:w="0" w:type="dxa"/>
        </w:tblCellMar>
      </w:tblPr>
      <w:tr>
        <w:trPr>
          <w:trHeight w:val="189"/>
        </w:trPr>
        <w:tc>
          <w:tcPr>
            <w:tcW w:w="3940" w:type="dxa"/>
            <w:vAlign w:val="bottom"/>
          </w:tcPr>
          <w:p>
            <w:pPr>
              <w:spacing w:after="0"/>
              <w:rPr>
                <w:sz w:val="16"/>
                <w:szCs w:val="16"/>
                <w:color w:val="auto"/>
              </w:rPr>
            </w:pPr>
          </w:p>
        </w:tc>
        <w:tc>
          <w:tcPr>
            <w:tcW w:w="1720" w:type="dxa"/>
            <w:vAlign w:val="bottom"/>
          </w:tcPr>
          <w:p>
            <w:pPr>
              <w:jc w:val="right"/>
              <w:ind w:right="79"/>
              <w:spacing w:after="0"/>
              <w:rPr>
                <w:sz w:val="20"/>
                <w:szCs w:val="20"/>
                <w:color w:val="auto"/>
              </w:rPr>
            </w:pPr>
            <w:r>
              <w:rPr>
                <w:rFonts w:ascii="Arial" w:cs="Arial" w:eastAsia="Arial" w:hAnsi="Arial"/>
                <w:sz w:val="16"/>
                <w:szCs w:val="16"/>
                <w:b w:val="1"/>
                <w:bCs w:val="1"/>
                <w:color w:val="00C1DE"/>
              </w:rPr>
              <w:t>M.T. Barra</w:t>
            </w:r>
          </w:p>
        </w:tc>
        <w:tc>
          <w:tcPr>
            <w:tcW w:w="1440" w:type="dxa"/>
            <w:vAlign w:val="bottom"/>
          </w:tcPr>
          <w:p>
            <w:pPr>
              <w:jc w:val="right"/>
              <w:ind w:right="99"/>
              <w:spacing w:after="0"/>
              <w:rPr>
                <w:sz w:val="20"/>
                <w:szCs w:val="20"/>
                <w:color w:val="auto"/>
              </w:rPr>
            </w:pPr>
            <w:r>
              <w:rPr>
                <w:rFonts w:ascii="Arial" w:cs="Arial" w:eastAsia="Arial" w:hAnsi="Arial"/>
                <w:sz w:val="16"/>
                <w:szCs w:val="16"/>
                <w:b w:val="1"/>
                <w:bCs w:val="1"/>
                <w:color w:val="00C1DE"/>
              </w:rPr>
              <w:t>P.A. Jacobson</w:t>
            </w:r>
          </w:p>
        </w:tc>
        <w:tc>
          <w:tcPr>
            <w:tcW w:w="1180" w:type="dxa"/>
            <w:vAlign w:val="bottom"/>
          </w:tcPr>
          <w:p>
            <w:pPr>
              <w:jc w:val="right"/>
              <w:ind w:right="79"/>
              <w:spacing w:after="0"/>
              <w:rPr>
                <w:sz w:val="20"/>
                <w:szCs w:val="20"/>
                <w:color w:val="auto"/>
              </w:rPr>
            </w:pPr>
            <w:r>
              <w:rPr>
                <w:rFonts w:ascii="Arial" w:cs="Arial" w:eastAsia="Arial" w:hAnsi="Arial"/>
                <w:sz w:val="16"/>
                <w:szCs w:val="16"/>
                <w:b w:val="1"/>
                <w:bCs w:val="1"/>
                <w:color w:val="00C1DE"/>
              </w:rPr>
              <w:t>M.L. Reuss</w:t>
            </w:r>
          </w:p>
        </w:tc>
        <w:tc>
          <w:tcPr>
            <w:tcW w:w="1120" w:type="dxa"/>
            <w:vAlign w:val="bottom"/>
          </w:tcPr>
          <w:p>
            <w:pPr>
              <w:jc w:val="right"/>
              <w:ind w:right="79"/>
              <w:spacing w:after="0"/>
              <w:rPr>
                <w:sz w:val="20"/>
                <w:szCs w:val="20"/>
                <w:color w:val="auto"/>
              </w:rPr>
            </w:pPr>
            <w:r>
              <w:rPr>
                <w:rFonts w:ascii="Arial" w:cs="Arial" w:eastAsia="Arial" w:hAnsi="Arial"/>
                <w:sz w:val="16"/>
                <w:szCs w:val="16"/>
                <w:b w:val="1"/>
                <w:bCs w:val="1"/>
                <w:color w:val="00C1DE"/>
              </w:rPr>
              <w:t>D.L. Parks</w:t>
            </w:r>
          </w:p>
        </w:tc>
        <w:tc>
          <w:tcPr>
            <w:tcW w:w="1180" w:type="dxa"/>
            <w:vAlign w:val="bottom"/>
          </w:tcPr>
          <w:p>
            <w:pPr>
              <w:jc w:val="right"/>
              <w:spacing w:after="0"/>
              <w:rPr>
                <w:sz w:val="20"/>
                <w:szCs w:val="20"/>
                <w:color w:val="auto"/>
              </w:rPr>
            </w:pPr>
            <w:r>
              <w:rPr>
                <w:rFonts w:ascii="Arial" w:cs="Arial" w:eastAsia="Arial" w:hAnsi="Arial"/>
                <w:sz w:val="16"/>
                <w:szCs w:val="16"/>
                <w:b w:val="1"/>
                <w:bCs w:val="1"/>
                <w:color w:val="00C1DE"/>
              </w:rPr>
              <w:t>S.K. Carlisle</w:t>
            </w:r>
          </w:p>
        </w:tc>
      </w:tr>
      <w:tr>
        <w:trPr>
          <w:trHeight w:val="240"/>
        </w:trPr>
        <w:tc>
          <w:tcPr>
            <w:tcW w:w="3940" w:type="dxa"/>
            <w:vAlign w:val="bottom"/>
            <w:tcBorders>
              <w:bottom w:val="single" w:sz="8" w:color="00C1DE"/>
            </w:tcBorders>
          </w:tcPr>
          <w:p>
            <w:pPr>
              <w:spacing w:after="0"/>
              <w:rPr>
                <w:sz w:val="20"/>
                <w:szCs w:val="20"/>
                <w:color w:val="auto"/>
              </w:rPr>
            </w:pPr>
          </w:p>
        </w:tc>
        <w:tc>
          <w:tcPr>
            <w:tcW w:w="1720" w:type="dxa"/>
            <w:vAlign w:val="bottom"/>
            <w:tcBorders>
              <w:bottom w:val="single" w:sz="8" w:color="00C1DE"/>
            </w:tcBorders>
          </w:tcPr>
          <w:p>
            <w:pPr>
              <w:jc w:val="right"/>
              <w:ind w:right="79"/>
              <w:spacing w:after="0"/>
              <w:rPr>
                <w:sz w:val="20"/>
                <w:szCs w:val="20"/>
                <w:color w:val="auto"/>
              </w:rPr>
            </w:pPr>
            <w:r>
              <w:rPr>
                <w:rFonts w:ascii="Arial" w:cs="Arial" w:eastAsia="Arial" w:hAnsi="Arial"/>
                <w:sz w:val="16"/>
                <w:szCs w:val="16"/>
                <w:b w:val="1"/>
                <w:bCs w:val="1"/>
                <w:color w:val="00C1DE"/>
              </w:rPr>
              <w:t>($)</w:t>
            </w:r>
          </w:p>
        </w:tc>
        <w:tc>
          <w:tcPr>
            <w:tcW w:w="1440" w:type="dxa"/>
            <w:vAlign w:val="bottom"/>
            <w:tcBorders>
              <w:bottom w:val="single" w:sz="8" w:color="00C1DE"/>
            </w:tcBorders>
          </w:tcPr>
          <w:p>
            <w:pPr>
              <w:jc w:val="right"/>
              <w:ind w:right="99"/>
              <w:spacing w:after="0"/>
              <w:rPr>
                <w:sz w:val="20"/>
                <w:szCs w:val="20"/>
                <w:color w:val="auto"/>
              </w:rPr>
            </w:pPr>
            <w:r>
              <w:rPr>
                <w:rFonts w:ascii="Arial" w:cs="Arial" w:eastAsia="Arial" w:hAnsi="Arial"/>
                <w:sz w:val="16"/>
                <w:szCs w:val="16"/>
                <w:b w:val="1"/>
                <w:bCs w:val="1"/>
                <w:color w:val="00C1DE"/>
              </w:rPr>
              <w:t>($)</w:t>
            </w:r>
          </w:p>
        </w:tc>
        <w:tc>
          <w:tcPr>
            <w:tcW w:w="1180" w:type="dxa"/>
            <w:vAlign w:val="bottom"/>
            <w:tcBorders>
              <w:bottom w:val="single" w:sz="8" w:color="00C1DE"/>
            </w:tcBorders>
          </w:tcPr>
          <w:p>
            <w:pPr>
              <w:jc w:val="right"/>
              <w:ind w:right="79"/>
              <w:spacing w:after="0"/>
              <w:rPr>
                <w:sz w:val="20"/>
                <w:szCs w:val="20"/>
                <w:color w:val="auto"/>
              </w:rPr>
            </w:pPr>
            <w:r>
              <w:rPr>
                <w:rFonts w:ascii="Arial" w:cs="Arial" w:eastAsia="Arial" w:hAnsi="Arial"/>
                <w:sz w:val="16"/>
                <w:szCs w:val="16"/>
                <w:b w:val="1"/>
                <w:bCs w:val="1"/>
                <w:color w:val="00C1DE"/>
              </w:rPr>
              <w:t>($)</w:t>
            </w:r>
          </w:p>
        </w:tc>
        <w:tc>
          <w:tcPr>
            <w:tcW w:w="1120" w:type="dxa"/>
            <w:vAlign w:val="bottom"/>
            <w:tcBorders>
              <w:bottom w:val="single" w:sz="8" w:color="00C1DE"/>
            </w:tcBorders>
          </w:tcPr>
          <w:p>
            <w:pPr>
              <w:jc w:val="right"/>
              <w:ind w:right="79"/>
              <w:spacing w:after="0"/>
              <w:rPr>
                <w:sz w:val="20"/>
                <w:szCs w:val="20"/>
                <w:color w:val="auto"/>
              </w:rPr>
            </w:pPr>
            <w:r>
              <w:rPr>
                <w:rFonts w:ascii="Arial" w:cs="Arial" w:eastAsia="Arial" w:hAnsi="Arial"/>
                <w:sz w:val="16"/>
                <w:szCs w:val="16"/>
                <w:b w:val="1"/>
                <w:bCs w:val="1"/>
                <w:color w:val="00C1DE"/>
              </w:rPr>
              <w:t>($)</w:t>
            </w:r>
          </w:p>
        </w:tc>
        <w:tc>
          <w:tcPr>
            <w:tcW w:w="1180" w:type="dxa"/>
            <w:vAlign w:val="bottom"/>
            <w:tcBorders>
              <w:bottom w:val="single" w:sz="8" w:color="00C1DE"/>
            </w:tcBorders>
          </w:tcPr>
          <w:p>
            <w:pPr>
              <w:jc w:val="right"/>
              <w:spacing w:after="0"/>
              <w:rPr>
                <w:sz w:val="20"/>
                <w:szCs w:val="20"/>
                <w:color w:val="auto"/>
              </w:rPr>
            </w:pPr>
            <w:r>
              <w:rPr>
                <w:rFonts w:ascii="Arial" w:cs="Arial" w:eastAsia="Arial" w:hAnsi="Arial"/>
                <w:sz w:val="16"/>
                <w:szCs w:val="16"/>
                <w:b w:val="1"/>
                <w:bCs w:val="1"/>
                <w:color w:val="00C1DE"/>
              </w:rPr>
              <w:t>($)</w:t>
            </w:r>
          </w:p>
        </w:tc>
      </w:tr>
      <w:tr>
        <w:trPr>
          <w:trHeight w:val="267"/>
        </w:trPr>
        <w:tc>
          <w:tcPr>
            <w:tcW w:w="3940" w:type="dxa"/>
            <w:vAlign w:val="bottom"/>
            <w:tcBorders>
              <w:bottom w:val="single" w:sz="8" w:color="3E3935"/>
            </w:tcBorders>
          </w:tcPr>
          <w:p>
            <w:pPr>
              <w:ind w:left="100"/>
              <w:spacing w:after="0" w:line="267" w:lineRule="exact"/>
              <w:rPr>
                <w:sz w:val="20"/>
                <w:szCs w:val="20"/>
                <w:color w:val="auto"/>
              </w:rPr>
            </w:pPr>
            <w:r>
              <w:rPr>
                <w:rFonts w:ascii="Arial" w:cs="Arial" w:eastAsia="Arial" w:hAnsi="Arial"/>
                <w:sz w:val="16"/>
                <w:szCs w:val="16"/>
                <w:color w:val="3E3935"/>
              </w:rPr>
              <w:t>Perquisites and Other Personal Benefits</w:t>
            </w:r>
            <w:r>
              <w:rPr>
                <w:rFonts w:ascii="Arial" w:cs="Arial" w:eastAsia="Arial" w:hAnsi="Arial"/>
                <w:sz w:val="24"/>
                <w:szCs w:val="24"/>
                <w:color w:val="3E3935"/>
                <w:vertAlign w:val="superscript"/>
              </w:rPr>
              <w:t>(1)</w:t>
            </w:r>
          </w:p>
        </w:tc>
        <w:tc>
          <w:tcPr>
            <w:tcW w:w="1720" w:type="dxa"/>
            <w:vAlign w:val="bottom"/>
            <w:tcBorders>
              <w:bottom w:val="single" w:sz="8" w:color="3E3935"/>
            </w:tcBorders>
          </w:tcPr>
          <w:p>
            <w:pPr>
              <w:jc w:val="right"/>
              <w:ind w:right="79"/>
              <w:spacing w:after="0"/>
              <w:rPr>
                <w:sz w:val="20"/>
                <w:szCs w:val="20"/>
                <w:color w:val="auto"/>
              </w:rPr>
            </w:pPr>
            <w:r>
              <w:rPr>
                <w:rFonts w:ascii="Arial" w:cs="Arial" w:eastAsia="Arial" w:hAnsi="Arial"/>
                <w:sz w:val="16"/>
                <w:szCs w:val="16"/>
                <w:color w:val="3E3935"/>
              </w:rPr>
              <w:t>430,013</w:t>
            </w:r>
          </w:p>
        </w:tc>
        <w:tc>
          <w:tcPr>
            <w:tcW w:w="1440" w:type="dxa"/>
            <w:vAlign w:val="bottom"/>
            <w:tcBorders>
              <w:bottom w:val="single" w:sz="8" w:color="3E3935"/>
            </w:tcBorders>
          </w:tcPr>
          <w:p>
            <w:pPr>
              <w:jc w:val="right"/>
              <w:ind w:right="99"/>
              <w:spacing w:after="0"/>
              <w:rPr>
                <w:sz w:val="20"/>
                <w:szCs w:val="20"/>
                <w:color w:val="auto"/>
              </w:rPr>
            </w:pPr>
            <w:r>
              <w:rPr>
                <w:rFonts w:ascii="Arial" w:cs="Arial" w:eastAsia="Arial" w:hAnsi="Arial"/>
                <w:sz w:val="16"/>
                <w:szCs w:val="16"/>
                <w:color w:val="3E3935"/>
              </w:rPr>
              <w:t>48,595</w:t>
            </w:r>
          </w:p>
        </w:tc>
        <w:tc>
          <w:tcPr>
            <w:tcW w:w="1180" w:type="dxa"/>
            <w:vAlign w:val="bottom"/>
            <w:tcBorders>
              <w:bottom w:val="single" w:sz="8" w:color="3E3935"/>
            </w:tcBorders>
          </w:tcPr>
          <w:p>
            <w:pPr>
              <w:jc w:val="right"/>
              <w:ind w:right="79"/>
              <w:spacing w:after="0"/>
              <w:rPr>
                <w:sz w:val="20"/>
                <w:szCs w:val="20"/>
                <w:color w:val="auto"/>
              </w:rPr>
            </w:pPr>
            <w:r>
              <w:rPr>
                <w:rFonts w:ascii="Arial" w:cs="Arial" w:eastAsia="Arial" w:hAnsi="Arial"/>
                <w:sz w:val="16"/>
                <w:szCs w:val="16"/>
                <w:color w:val="3E3935"/>
              </w:rPr>
              <w:t>112,751</w:t>
            </w:r>
          </w:p>
        </w:tc>
        <w:tc>
          <w:tcPr>
            <w:tcW w:w="1120" w:type="dxa"/>
            <w:vAlign w:val="bottom"/>
            <w:tcBorders>
              <w:bottom w:val="single" w:sz="8" w:color="3E3935"/>
            </w:tcBorders>
          </w:tcPr>
          <w:p>
            <w:pPr>
              <w:jc w:val="right"/>
              <w:ind w:right="79"/>
              <w:spacing w:after="0"/>
              <w:rPr>
                <w:sz w:val="20"/>
                <w:szCs w:val="20"/>
                <w:color w:val="auto"/>
              </w:rPr>
            </w:pPr>
            <w:r>
              <w:rPr>
                <w:rFonts w:ascii="Arial" w:cs="Arial" w:eastAsia="Arial" w:hAnsi="Arial"/>
                <w:sz w:val="16"/>
                <w:szCs w:val="16"/>
                <w:color w:val="3E3935"/>
              </w:rPr>
              <w:t>30,332</w:t>
            </w:r>
          </w:p>
        </w:tc>
        <w:tc>
          <w:tcPr>
            <w:tcW w:w="1180" w:type="dxa"/>
            <w:vAlign w:val="bottom"/>
            <w:tcBorders>
              <w:bottom w:val="single" w:sz="8" w:color="3E3935"/>
            </w:tcBorders>
          </w:tcPr>
          <w:p>
            <w:pPr>
              <w:jc w:val="right"/>
              <w:spacing w:after="0"/>
              <w:rPr>
                <w:sz w:val="20"/>
                <w:szCs w:val="20"/>
                <w:color w:val="auto"/>
              </w:rPr>
            </w:pPr>
            <w:r>
              <w:rPr>
                <w:rFonts w:ascii="Arial" w:cs="Arial" w:eastAsia="Arial" w:hAnsi="Arial"/>
                <w:sz w:val="16"/>
                <w:szCs w:val="16"/>
                <w:color w:val="3E3935"/>
              </w:rPr>
              <w:t>28,267</w:t>
            </w:r>
          </w:p>
        </w:tc>
      </w:tr>
      <w:tr>
        <w:trPr>
          <w:trHeight w:val="263"/>
        </w:trPr>
        <w:tc>
          <w:tcPr>
            <w:tcW w:w="3940" w:type="dxa"/>
            <w:vAlign w:val="bottom"/>
            <w:tcBorders>
              <w:bottom w:val="single" w:sz="8" w:color="3E3935"/>
            </w:tcBorders>
          </w:tcPr>
          <w:p>
            <w:pPr>
              <w:ind w:left="100"/>
              <w:spacing w:after="0" w:line="264" w:lineRule="exact"/>
              <w:rPr>
                <w:sz w:val="20"/>
                <w:szCs w:val="20"/>
                <w:color w:val="auto"/>
              </w:rPr>
            </w:pPr>
            <w:r>
              <w:rPr>
                <w:rFonts w:ascii="Arial" w:cs="Arial" w:eastAsia="Arial" w:hAnsi="Arial"/>
                <w:sz w:val="16"/>
                <w:szCs w:val="16"/>
                <w:color w:val="3E3935"/>
              </w:rPr>
              <w:t>Employer Contributions to Savings Plans</w:t>
            </w:r>
            <w:r>
              <w:rPr>
                <w:rFonts w:ascii="Arial" w:cs="Arial" w:eastAsia="Arial" w:hAnsi="Arial"/>
                <w:sz w:val="24"/>
                <w:szCs w:val="24"/>
                <w:color w:val="3E3935"/>
                <w:vertAlign w:val="superscript"/>
              </w:rPr>
              <w:t>(2)</w:t>
            </w:r>
          </w:p>
        </w:tc>
        <w:tc>
          <w:tcPr>
            <w:tcW w:w="1720" w:type="dxa"/>
            <w:vAlign w:val="bottom"/>
            <w:tcBorders>
              <w:bottom w:val="single" w:sz="8" w:color="3E3935"/>
            </w:tcBorders>
          </w:tcPr>
          <w:p>
            <w:pPr>
              <w:jc w:val="right"/>
              <w:ind w:right="79"/>
              <w:spacing w:after="0"/>
              <w:rPr>
                <w:sz w:val="20"/>
                <w:szCs w:val="20"/>
                <w:color w:val="auto"/>
              </w:rPr>
            </w:pPr>
            <w:r>
              <w:rPr>
                <w:rFonts w:ascii="Arial" w:cs="Arial" w:eastAsia="Arial" w:hAnsi="Arial"/>
                <w:sz w:val="16"/>
                <w:szCs w:val="16"/>
                <w:color w:val="3E3935"/>
              </w:rPr>
              <w:t>668,640</w:t>
            </w:r>
          </w:p>
        </w:tc>
        <w:tc>
          <w:tcPr>
            <w:tcW w:w="1440" w:type="dxa"/>
            <w:vAlign w:val="bottom"/>
            <w:tcBorders>
              <w:bottom w:val="single" w:sz="8" w:color="3E3935"/>
            </w:tcBorders>
          </w:tcPr>
          <w:p>
            <w:pPr>
              <w:jc w:val="right"/>
              <w:ind w:right="99"/>
              <w:spacing w:after="0"/>
              <w:rPr>
                <w:sz w:val="20"/>
                <w:szCs w:val="20"/>
                <w:color w:val="auto"/>
              </w:rPr>
            </w:pPr>
            <w:r>
              <w:rPr>
                <w:rFonts w:ascii="Arial" w:cs="Arial" w:eastAsia="Arial" w:hAnsi="Arial"/>
                <w:sz w:val="16"/>
                <w:szCs w:val="16"/>
                <w:color w:val="3E3935"/>
              </w:rPr>
              <w:t>170,000</w:t>
            </w:r>
          </w:p>
        </w:tc>
        <w:tc>
          <w:tcPr>
            <w:tcW w:w="1180" w:type="dxa"/>
            <w:vAlign w:val="bottom"/>
            <w:tcBorders>
              <w:bottom w:val="single" w:sz="8" w:color="3E3935"/>
            </w:tcBorders>
          </w:tcPr>
          <w:p>
            <w:pPr>
              <w:jc w:val="right"/>
              <w:ind w:right="79"/>
              <w:spacing w:after="0"/>
              <w:rPr>
                <w:sz w:val="20"/>
                <w:szCs w:val="20"/>
                <w:color w:val="auto"/>
              </w:rPr>
            </w:pPr>
            <w:r>
              <w:rPr>
                <w:rFonts w:ascii="Arial" w:cs="Arial" w:eastAsia="Arial" w:hAnsi="Arial"/>
                <w:sz w:val="16"/>
                <w:szCs w:val="16"/>
                <w:color w:val="3E3935"/>
              </w:rPr>
              <w:t>317,328</w:t>
            </w:r>
          </w:p>
        </w:tc>
        <w:tc>
          <w:tcPr>
            <w:tcW w:w="1120" w:type="dxa"/>
            <w:vAlign w:val="bottom"/>
            <w:tcBorders>
              <w:bottom w:val="single" w:sz="8" w:color="3E3935"/>
            </w:tcBorders>
          </w:tcPr>
          <w:p>
            <w:pPr>
              <w:jc w:val="right"/>
              <w:ind w:right="79"/>
              <w:spacing w:after="0"/>
              <w:rPr>
                <w:sz w:val="20"/>
                <w:szCs w:val="20"/>
                <w:color w:val="auto"/>
              </w:rPr>
            </w:pPr>
            <w:r>
              <w:rPr>
                <w:rFonts w:ascii="Arial" w:cs="Arial" w:eastAsia="Arial" w:hAnsi="Arial"/>
                <w:sz w:val="16"/>
                <w:szCs w:val="16"/>
                <w:color w:val="3E3935"/>
              </w:rPr>
              <w:t>203,528</w:t>
            </w:r>
          </w:p>
        </w:tc>
        <w:tc>
          <w:tcPr>
            <w:tcW w:w="1180" w:type="dxa"/>
            <w:vAlign w:val="bottom"/>
            <w:tcBorders>
              <w:bottom w:val="single" w:sz="8" w:color="3E3935"/>
            </w:tcBorders>
          </w:tcPr>
          <w:p>
            <w:pPr>
              <w:jc w:val="right"/>
              <w:spacing w:after="0"/>
              <w:rPr>
                <w:sz w:val="20"/>
                <w:szCs w:val="20"/>
                <w:color w:val="auto"/>
              </w:rPr>
            </w:pPr>
            <w:r>
              <w:rPr>
                <w:rFonts w:ascii="Arial" w:cs="Arial" w:eastAsia="Arial" w:hAnsi="Arial"/>
                <w:sz w:val="16"/>
                <w:szCs w:val="16"/>
                <w:color w:val="3E3935"/>
              </w:rPr>
              <w:t>203,528</w:t>
            </w:r>
          </w:p>
        </w:tc>
      </w:tr>
      <w:tr>
        <w:trPr>
          <w:trHeight w:val="263"/>
        </w:trPr>
        <w:tc>
          <w:tcPr>
            <w:tcW w:w="3940" w:type="dxa"/>
            <w:vAlign w:val="bottom"/>
            <w:tcBorders>
              <w:bottom w:val="single" w:sz="8" w:color="3E3935"/>
            </w:tcBorders>
          </w:tcPr>
          <w:p>
            <w:pPr>
              <w:ind w:left="100"/>
              <w:spacing w:after="0" w:line="264" w:lineRule="exact"/>
              <w:rPr>
                <w:sz w:val="20"/>
                <w:szCs w:val="20"/>
                <w:color w:val="auto"/>
              </w:rPr>
            </w:pPr>
            <w:r>
              <w:rPr>
                <w:rFonts w:ascii="Arial" w:cs="Arial" w:eastAsia="Arial" w:hAnsi="Arial"/>
                <w:sz w:val="16"/>
                <w:szCs w:val="16"/>
                <w:color w:val="3E3935"/>
              </w:rPr>
              <w:t>Life and Other Insurance Benefits</w:t>
            </w:r>
            <w:r>
              <w:rPr>
                <w:rFonts w:ascii="Arial" w:cs="Arial" w:eastAsia="Arial" w:hAnsi="Arial"/>
                <w:sz w:val="24"/>
                <w:szCs w:val="24"/>
                <w:color w:val="3E3935"/>
                <w:vertAlign w:val="superscript"/>
              </w:rPr>
              <w:t>(3)</w:t>
            </w:r>
          </w:p>
        </w:tc>
        <w:tc>
          <w:tcPr>
            <w:tcW w:w="1720" w:type="dxa"/>
            <w:vAlign w:val="bottom"/>
            <w:tcBorders>
              <w:bottom w:val="single" w:sz="8" w:color="3E3935"/>
            </w:tcBorders>
          </w:tcPr>
          <w:p>
            <w:pPr>
              <w:jc w:val="right"/>
              <w:ind w:right="79"/>
              <w:spacing w:after="0"/>
              <w:rPr>
                <w:sz w:val="20"/>
                <w:szCs w:val="20"/>
                <w:color w:val="auto"/>
              </w:rPr>
            </w:pPr>
            <w:r>
              <w:rPr>
                <w:rFonts w:ascii="Arial" w:cs="Arial" w:eastAsia="Arial" w:hAnsi="Arial"/>
                <w:sz w:val="16"/>
                <w:szCs w:val="16"/>
                <w:color w:val="3E3935"/>
              </w:rPr>
              <w:t>22,907</w:t>
            </w:r>
          </w:p>
        </w:tc>
        <w:tc>
          <w:tcPr>
            <w:tcW w:w="1440" w:type="dxa"/>
            <w:vAlign w:val="bottom"/>
            <w:tcBorders>
              <w:bottom w:val="single" w:sz="8" w:color="3E3935"/>
            </w:tcBorders>
          </w:tcPr>
          <w:p>
            <w:pPr>
              <w:jc w:val="right"/>
              <w:ind w:right="99"/>
              <w:spacing w:after="0"/>
              <w:rPr>
                <w:sz w:val="20"/>
                <w:szCs w:val="20"/>
                <w:color w:val="auto"/>
              </w:rPr>
            </w:pPr>
            <w:r>
              <w:rPr>
                <w:rFonts w:ascii="Arial" w:cs="Arial" w:eastAsia="Arial" w:hAnsi="Arial"/>
                <w:sz w:val="16"/>
                <w:szCs w:val="16"/>
                <w:color w:val="3E3935"/>
              </w:rPr>
              <w:t>4,830</w:t>
            </w:r>
          </w:p>
        </w:tc>
        <w:tc>
          <w:tcPr>
            <w:tcW w:w="1180" w:type="dxa"/>
            <w:vAlign w:val="bottom"/>
            <w:tcBorders>
              <w:bottom w:val="single" w:sz="8" w:color="3E3935"/>
            </w:tcBorders>
          </w:tcPr>
          <w:p>
            <w:pPr>
              <w:jc w:val="right"/>
              <w:ind w:right="79"/>
              <w:spacing w:after="0"/>
              <w:rPr>
                <w:sz w:val="20"/>
                <w:szCs w:val="20"/>
                <w:color w:val="auto"/>
              </w:rPr>
            </w:pPr>
            <w:r>
              <w:rPr>
                <w:rFonts w:ascii="Arial" w:cs="Arial" w:eastAsia="Arial" w:hAnsi="Arial"/>
                <w:sz w:val="16"/>
                <w:szCs w:val="16"/>
                <w:color w:val="3E3935"/>
              </w:rPr>
              <w:t>8,171</w:t>
            </w:r>
          </w:p>
        </w:tc>
        <w:tc>
          <w:tcPr>
            <w:tcW w:w="1120" w:type="dxa"/>
            <w:vAlign w:val="bottom"/>
            <w:tcBorders>
              <w:bottom w:val="single" w:sz="8" w:color="3E3935"/>
            </w:tcBorders>
          </w:tcPr>
          <w:p>
            <w:pPr>
              <w:jc w:val="right"/>
              <w:ind w:right="79"/>
              <w:spacing w:after="0"/>
              <w:rPr>
                <w:sz w:val="20"/>
                <w:szCs w:val="20"/>
                <w:color w:val="auto"/>
              </w:rPr>
            </w:pPr>
            <w:r>
              <w:rPr>
                <w:rFonts w:ascii="Arial" w:cs="Arial" w:eastAsia="Arial" w:hAnsi="Arial"/>
                <w:sz w:val="16"/>
                <w:szCs w:val="16"/>
                <w:color w:val="3E3935"/>
              </w:rPr>
              <w:t>9,400</w:t>
            </w:r>
          </w:p>
        </w:tc>
        <w:tc>
          <w:tcPr>
            <w:tcW w:w="1180" w:type="dxa"/>
            <w:vAlign w:val="bottom"/>
            <w:tcBorders>
              <w:bottom w:val="single" w:sz="8" w:color="3E3935"/>
            </w:tcBorders>
          </w:tcPr>
          <w:p>
            <w:pPr>
              <w:jc w:val="right"/>
              <w:spacing w:after="0"/>
              <w:rPr>
                <w:sz w:val="20"/>
                <w:szCs w:val="20"/>
                <w:color w:val="auto"/>
              </w:rPr>
            </w:pPr>
            <w:r>
              <w:rPr>
                <w:rFonts w:ascii="Arial" w:cs="Arial" w:eastAsia="Arial" w:hAnsi="Arial"/>
                <w:sz w:val="16"/>
                <w:szCs w:val="16"/>
                <w:color w:val="3E3935"/>
              </w:rPr>
              <w:t>9,400</w:t>
            </w:r>
          </w:p>
        </w:tc>
      </w:tr>
      <w:tr>
        <w:trPr>
          <w:trHeight w:val="264"/>
        </w:trPr>
        <w:tc>
          <w:tcPr>
            <w:tcW w:w="3940" w:type="dxa"/>
            <w:vAlign w:val="bottom"/>
            <w:tcBorders>
              <w:bottom w:val="single" w:sz="8" w:color="3E3935"/>
            </w:tcBorders>
          </w:tcPr>
          <w:p>
            <w:pPr>
              <w:ind w:left="100"/>
              <w:spacing w:after="0" w:line="264" w:lineRule="exact"/>
              <w:rPr>
                <w:sz w:val="20"/>
                <w:szCs w:val="20"/>
                <w:color w:val="auto"/>
              </w:rPr>
            </w:pPr>
            <w:r>
              <w:rPr>
                <w:rFonts w:ascii="Arial" w:cs="Arial" w:eastAsia="Arial" w:hAnsi="Arial"/>
                <w:sz w:val="16"/>
                <w:szCs w:val="16"/>
                <w:color w:val="3E3935"/>
              </w:rPr>
              <w:t>Other</w:t>
            </w:r>
            <w:r>
              <w:rPr>
                <w:rFonts w:ascii="Arial" w:cs="Arial" w:eastAsia="Arial" w:hAnsi="Arial"/>
                <w:sz w:val="24"/>
                <w:szCs w:val="24"/>
                <w:color w:val="3E3935"/>
                <w:vertAlign w:val="superscript"/>
              </w:rPr>
              <w:t>(4)</w:t>
            </w:r>
          </w:p>
        </w:tc>
        <w:tc>
          <w:tcPr>
            <w:tcW w:w="1720" w:type="dxa"/>
            <w:vAlign w:val="bottom"/>
            <w:tcBorders>
              <w:bottom w:val="single" w:sz="8" w:color="3E3935"/>
            </w:tcBorders>
          </w:tcPr>
          <w:p>
            <w:pPr>
              <w:jc w:val="right"/>
              <w:ind w:right="79"/>
              <w:spacing w:after="0"/>
              <w:rPr>
                <w:sz w:val="20"/>
                <w:szCs w:val="20"/>
                <w:color w:val="auto"/>
              </w:rPr>
            </w:pPr>
            <w:r>
              <w:rPr>
                <w:rFonts w:ascii="Arial" w:cs="Arial" w:eastAsia="Arial" w:hAnsi="Arial"/>
                <w:sz w:val="16"/>
                <w:szCs w:val="16"/>
                <w:color w:val="3E3935"/>
              </w:rPr>
              <w:t>—</w:t>
            </w:r>
          </w:p>
        </w:tc>
        <w:tc>
          <w:tcPr>
            <w:tcW w:w="1440" w:type="dxa"/>
            <w:vAlign w:val="bottom"/>
            <w:tcBorders>
              <w:bottom w:val="single" w:sz="8" w:color="3E3935"/>
            </w:tcBorders>
          </w:tcPr>
          <w:p>
            <w:pPr>
              <w:jc w:val="right"/>
              <w:ind w:right="99"/>
              <w:spacing w:after="0"/>
              <w:rPr>
                <w:sz w:val="20"/>
                <w:szCs w:val="20"/>
                <w:color w:val="auto"/>
              </w:rPr>
            </w:pPr>
            <w:r>
              <w:rPr>
                <w:rFonts w:ascii="Arial" w:cs="Arial" w:eastAsia="Arial" w:hAnsi="Arial"/>
                <w:sz w:val="16"/>
                <w:szCs w:val="16"/>
                <w:color w:val="3E3935"/>
              </w:rPr>
              <w:t>—</w:t>
            </w:r>
          </w:p>
        </w:tc>
        <w:tc>
          <w:tcPr>
            <w:tcW w:w="1180" w:type="dxa"/>
            <w:vAlign w:val="bottom"/>
            <w:tcBorders>
              <w:bottom w:val="single" w:sz="8" w:color="3E3935"/>
            </w:tcBorders>
          </w:tcPr>
          <w:p>
            <w:pPr>
              <w:jc w:val="right"/>
              <w:ind w:right="79"/>
              <w:spacing w:after="0"/>
              <w:rPr>
                <w:sz w:val="20"/>
                <w:szCs w:val="20"/>
                <w:color w:val="auto"/>
              </w:rPr>
            </w:pPr>
            <w:r>
              <w:rPr>
                <w:rFonts w:ascii="Arial" w:cs="Arial" w:eastAsia="Arial" w:hAnsi="Arial"/>
                <w:sz w:val="16"/>
                <w:szCs w:val="16"/>
                <w:color w:val="3E3935"/>
              </w:rPr>
              <w:t>—</w:t>
            </w:r>
          </w:p>
        </w:tc>
        <w:tc>
          <w:tcPr>
            <w:tcW w:w="1120" w:type="dxa"/>
            <w:vAlign w:val="bottom"/>
            <w:tcBorders>
              <w:bottom w:val="single" w:sz="8" w:color="3E3935"/>
            </w:tcBorders>
          </w:tcPr>
          <w:p>
            <w:pPr>
              <w:jc w:val="right"/>
              <w:ind w:right="79"/>
              <w:spacing w:after="0"/>
              <w:rPr>
                <w:sz w:val="20"/>
                <w:szCs w:val="20"/>
                <w:color w:val="auto"/>
              </w:rPr>
            </w:pPr>
            <w:r>
              <w:rPr>
                <w:rFonts w:ascii="Arial" w:cs="Arial" w:eastAsia="Arial" w:hAnsi="Arial"/>
                <w:sz w:val="16"/>
                <w:szCs w:val="16"/>
                <w:color w:val="3E3935"/>
              </w:rPr>
              <w:t>—</w:t>
            </w:r>
          </w:p>
        </w:tc>
        <w:tc>
          <w:tcPr>
            <w:tcW w:w="1180" w:type="dxa"/>
            <w:vAlign w:val="bottom"/>
            <w:tcBorders>
              <w:bottom w:val="single" w:sz="8" w:color="3E3935"/>
            </w:tcBorders>
          </w:tcPr>
          <w:p>
            <w:pPr>
              <w:jc w:val="right"/>
              <w:spacing w:after="0"/>
              <w:rPr>
                <w:sz w:val="20"/>
                <w:szCs w:val="20"/>
                <w:color w:val="auto"/>
              </w:rPr>
            </w:pPr>
            <w:r>
              <w:rPr>
                <w:rFonts w:ascii="Arial" w:cs="Arial" w:eastAsia="Arial" w:hAnsi="Arial"/>
                <w:sz w:val="16"/>
                <w:szCs w:val="16"/>
                <w:color w:val="3E3935"/>
              </w:rPr>
              <w:t>17,765</w:t>
            </w:r>
          </w:p>
        </w:tc>
      </w:tr>
      <w:tr>
        <w:trPr>
          <w:trHeight w:val="260"/>
        </w:trPr>
        <w:tc>
          <w:tcPr>
            <w:tcW w:w="3940" w:type="dxa"/>
            <w:vAlign w:val="bottom"/>
            <w:tcBorders>
              <w:bottom w:val="single" w:sz="8" w:color="0071CE"/>
            </w:tcBorders>
          </w:tcPr>
          <w:p>
            <w:pPr>
              <w:ind w:left="100"/>
              <w:spacing w:after="0"/>
              <w:rPr>
                <w:sz w:val="20"/>
                <w:szCs w:val="20"/>
                <w:color w:val="auto"/>
              </w:rPr>
            </w:pPr>
            <w:r>
              <w:rPr>
                <w:rFonts w:ascii="Arial" w:cs="Arial" w:eastAsia="Arial" w:hAnsi="Arial"/>
                <w:sz w:val="16"/>
                <w:szCs w:val="16"/>
                <w:b w:val="1"/>
                <w:bCs w:val="1"/>
                <w:color w:val="3E3935"/>
              </w:rPr>
              <w:t>TOTAL</w:t>
            </w:r>
          </w:p>
        </w:tc>
        <w:tc>
          <w:tcPr>
            <w:tcW w:w="1720" w:type="dxa"/>
            <w:vAlign w:val="bottom"/>
            <w:tcBorders>
              <w:bottom w:val="single" w:sz="8" w:color="0071CE"/>
            </w:tcBorders>
          </w:tcPr>
          <w:p>
            <w:pPr>
              <w:jc w:val="right"/>
              <w:ind w:right="79"/>
              <w:spacing w:after="0"/>
              <w:rPr>
                <w:sz w:val="20"/>
                <w:szCs w:val="20"/>
                <w:color w:val="auto"/>
              </w:rPr>
            </w:pPr>
            <w:r>
              <w:rPr>
                <w:rFonts w:ascii="Arial" w:cs="Arial" w:eastAsia="Arial" w:hAnsi="Arial"/>
                <w:sz w:val="16"/>
                <w:szCs w:val="16"/>
                <w:color w:val="3E3935"/>
              </w:rPr>
              <w:t>1,121,560</w:t>
            </w:r>
          </w:p>
        </w:tc>
        <w:tc>
          <w:tcPr>
            <w:tcW w:w="1440" w:type="dxa"/>
            <w:vAlign w:val="bottom"/>
            <w:tcBorders>
              <w:bottom w:val="single" w:sz="8" w:color="0071CE"/>
            </w:tcBorders>
          </w:tcPr>
          <w:p>
            <w:pPr>
              <w:jc w:val="right"/>
              <w:ind w:right="99"/>
              <w:spacing w:after="0"/>
              <w:rPr>
                <w:sz w:val="20"/>
                <w:szCs w:val="20"/>
                <w:color w:val="auto"/>
              </w:rPr>
            </w:pPr>
            <w:r>
              <w:rPr>
                <w:rFonts w:ascii="Arial" w:cs="Arial" w:eastAsia="Arial" w:hAnsi="Arial"/>
                <w:sz w:val="16"/>
                <w:szCs w:val="16"/>
                <w:color w:val="3E3935"/>
              </w:rPr>
              <w:t>223,425</w:t>
            </w:r>
          </w:p>
        </w:tc>
        <w:tc>
          <w:tcPr>
            <w:tcW w:w="1180" w:type="dxa"/>
            <w:vAlign w:val="bottom"/>
            <w:tcBorders>
              <w:bottom w:val="single" w:sz="8" w:color="0071CE"/>
            </w:tcBorders>
          </w:tcPr>
          <w:p>
            <w:pPr>
              <w:jc w:val="right"/>
              <w:ind w:right="79"/>
              <w:spacing w:after="0"/>
              <w:rPr>
                <w:sz w:val="20"/>
                <w:szCs w:val="20"/>
                <w:color w:val="auto"/>
              </w:rPr>
            </w:pPr>
            <w:r>
              <w:rPr>
                <w:rFonts w:ascii="Arial" w:cs="Arial" w:eastAsia="Arial" w:hAnsi="Arial"/>
                <w:sz w:val="16"/>
                <w:szCs w:val="16"/>
                <w:color w:val="3E3935"/>
              </w:rPr>
              <w:t>438,250</w:t>
            </w:r>
          </w:p>
        </w:tc>
        <w:tc>
          <w:tcPr>
            <w:tcW w:w="1120" w:type="dxa"/>
            <w:vAlign w:val="bottom"/>
            <w:tcBorders>
              <w:bottom w:val="single" w:sz="8" w:color="0071CE"/>
            </w:tcBorders>
          </w:tcPr>
          <w:p>
            <w:pPr>
              <w:jc w:val="right"/>
              <w:ind w:right="79"/>
              <w:spacing w:after="0"/>
              <w:rPr>
                <w:sz w:val="20"/>
                <w:szCs w:val="20"/>
                <w:color w:val="auto"/>
              </w:rPr>
            </w:pPr>
            <w:r>
              <w:rPr>
                <w:rFonts w:ascii="Arial" w:cs="Arial" w:eastAsia="Arial" w:hAnsi="Arial"/>
                <w:sz w:val="16"/>
                <w:szCs w:val="16"/>
                <w:color w:val="3E3935"/>
              </w:rPr>
              <w:t>243,260</w:t>
            </w:r>
          </w:p>
        </w:tc>
        <w:tc>
          <w:tcPr>
            <w:tcW w:w="1180" w:type="dxa"/>
            <w:vAlign w:val="bottom"/>
            <w:tcBorders>
              <w:bottom w:val="single" w:sz="8" w:color="0071CE"/>
            </w:tcBorders>
          </w:tcPr>
          <w:p>
            <w:pPr>
              <w:jc w:val="right"/>
              <w:spacing w:after="0"/>
              <w:rPr>
                <w:sz w:val="20"/>
                <w:szCs w:val="20"/>
                <w:color w:val="auto"/>
              </w:rPr>
            </w:pPr>
            <w:r>
              <w:rPr>
                <w:rFonts w:ascii="Arial" w:cs="Arial" w:eastAsia="Arial" w:hAnsi="Arial"/>
                <w:sz w:val="16"/>
                <w:szCs w:val="16"/>
                <w:color w:val="3E3935"/>
              </w:rPr>
              <w:t>258,960</w:t>
            </w:r>
          </w:p>
        </w:tc>
      </w:tr>
    </w:tbl>
    <w:p>
      <w:pPr>
        <w:spacing w:after="0" w:line="64" w:lineRule="exact"/>
        <w:rPr>
          <w:sz w:val="20"/>
          <w:szCs w:val="20"/>
          <w:color w:val="auto"/>
        </w:rPr>
      </w:pPr>
    </w:p>
    <w:p>
      <w:pPr>
        <w:ind w:left="1080" w:hanging="532"/>
        <w:spacing w:after="0"/>
        <w:tabs>
          <w:tab w:leader="none" w:pos="1080" w:val="left"/>
        </w:tabs>
        <w:numPr>
          <w:ilvl w:val="0"/>
          <w:numId w:val="123"/>
        </w:numPr>
        <w:rPr>
          <w:rFonts w:ascii="Arial" w:cs="Arial" w:eastAsia="Arial" w:hAnsi="Arial"/>
          <w:sz w:val="18"/>
          <w:szCs w:val="18"/>
          <w:i w:val="1"/>
          <w:iCs w:val="1"/>
          <w:color w:val="3E3935"/>
        </w:rPr>
      </w:pPr>
      <w:r>
        <w:rPr>
          <w:rFonts w:ascii="Arial" w:cs="Arial" w:eastAsia="Arial" w:hAnsi="Arial"/>
          <w:sz w:val="18"/>
          <w:szCs w:val="18"/>
          <w:i w:val="1"/>
          <w:iCs w:val="1"/>
          <w:color w:val="3E3935"/>
        </w:rPr>
        <w:t>The amounts included as Perquisites and Other Personal Benefits are described in the table below.</w:t>
      </w:r>
    </w:p>
    <w:p>
      <w:pPr>
        <w:spacing w:after="0" w:line="76" w:lineRule="exact"/>
        <w:rPr>
          <w:rFonts w:ascii="Arial" w:cs="Arial" w:eastAsia="Arial" w:hAnsi="Arial"/>
          <w:sz w:val="18"/>
          <w:szCs w:val="18"/>
          <w:i w:val="1"/>
          <w:iCs w:val="1"/>
          <w:color w:val="3E3935"/>
        </w:rPr>
      </w:pPr>
    </w:p>
    <w:p>
      <w:pPr>
        <w:ind w:left="1080" w:hanging="532"/>
        <w:spacing w:after="0"/>
        <w:tabs>
          <w:tab w:leader="none" w:pos="1080" w:val="left"/>
        </w:tabs>
        <w:numPr>
          <w:ilvl w:val="0"/>
          <w:numId w:val="123"/>
        </w:numPr>
        <w:rPr>
          <w:rFonts w:ascii="Arial" w:cs="Arial" w:eastAsia="Arial" w:hAnsi="Arial"/>
          <w:sz w:val="18"/>
          <w:szCs w:val="18"/>
          <w:i w:val="1"/>
          <w:iCs w:val="1"/>
          <w:color w:val="3E3935"/>
        </w:rPr>
      </w:pPr>
      <w:r>
        <w:rPr>
          <w:rFonts w:ascii="Arial" w:cs="Arial" w:eastAsia="Arial" w:hAnsi="Arial"/>
          <w:sz w:val="18"/>
          <w:szCs w:val="18"/>
          <w:i w:val="1"/>
          <w:iCs w:val="1"/>
          <w:color w:val="3E3935"/>
        </w:rPr>
        <w:t>Includes employer contributions to tax-qualified and non-tax-qualified savings and retirement plans during 2022.</w:t>
      </w:r>
    </w:p>
    <w:p>
      <w:pPr>
        <w:spacing w:after="0" w:line="76" w:lineRule="exact"/>
        <w:rPr>
          <w:rFonts w:ascii="Arial" w:cs="Arial" w:eastAsia="Arial" w:hAnsi="Arial"/>
          <w:sz w:val="18"/>
          <w:szCs w:val="18"/>
          <w:i w:val="1"/>
          <w:iCs w:val="1"/>
          <w:color w:val="3E3935"/>
        </w:rPr>
      </w:pPr>
    </w:p>
    <w:p>
      <w:pPr>
        <w:jc w:val="both"/>
        <w:ind w:left="1080" w:right="20" w:hanging="532"/>
        <w:spacing w:after="0" w:line="252" w:lineRule="auto"/>
        <w:tabs>
          <w:tab w:leader="none" w:pos="1080" w:val="left"/>
        </w:tabs>
        <w:numPr>
          <w:ilvl w:val="0"/>
          <w:numId w:val="123"/>
        </w:numPr>
        <w:rPr>
          <w:rFonts w:ascii="Arial" w:cs="Arial" w:eastAsia="Arial" w:hAnsi="Arial"/>
          <w:sz w:val="18"/>
          <w:szCs w:val="18"/>
          <w:i w:val="1"/>
          <w:iCs w:val="1"/>
          <w:color w:val="3E3935"/>
        </w:rPr>
      </w:pPr>
      <w:r>
        <w:rPr>
          <w:rFonts w:ascii="Arial" w:cs="Arial" w:eastAsia="Arial" w:hAnsi="Arial"/>
          <w:sz w:val="18"/>
          <w:szCs w:val="18"/>
          <w:i w:val="1"/>
          <w:iCs w:val="1"/>
          <w:color w:val="3E3935"/>
        </w:rPr>
        <w:t>Includes premiums paid by the Company for Group Variable Universal Life insurance for executives. For Ms. Barra, the amount also includes premiums paid by the Company for providing personal accident insurance for members of the Board. NEOs are responsible for any ordinary income taxes resulting from the cost of Company-paid premiums.</w:t>
      </w:r>
    </w:p>
    <w:p>
      <w:pPr>
        <w:spacing w:after="0" w:line="36" w:lineRule="exact"/>
        <w:rPr>
          <w:rFonts w:ascii="Arial" w:cs="Arial" w:eastAsia="Arial" w:hAnsi="Arial"/>
          <w:sz w:val="18"/>
          <w:szCs w:val="18"/>
          <w:i w:val="1"/>
          <w:iCs w:val="1"/>
          <w:color w:val="3E3935"/>
        </w:rPr>
      </w:pPr>
    </w:p>
    <w:p>
      <w:pPr>
        <w:jc w:val="both"/>
        <w:ind w:left="1080" w:hanging="532"/>
        <w:spacing w:after="0" w:line="243" w:lineRule="auto"/>
        <w:tabs>
          <w:tab w:leader="none" w:pos="1080" w:val="left"/>
        </w:tabs>
        <w:numPr>
          <w:ilvl w:val="0"/>
          <w:numId w:val="123"/>
        </w:numPr>
        <w:rPr>
          <w:rFonts w:ascii="Arial" w:cs="Arial" w:eastAsia="Arial" w:hAnsi="Arial"/>
          <w:sz w:val="18"/>
          <w:szCs w:val="18"/>
          <w:i w:val="1"/>
          <w:iCs w:val="1"/>
          <w:color w:val="3E3935"/>
        </w:rPr>
      </w:pPr>
      <w:r>
        <w:rPr>
          <w:rFonts w:ascii="Arial" w:cs="Arial" w:eastAsia="Arial" w:hAnsi="Arial"/>
          <w:sz w:val="18"/>
          <w:szCs w:val="18"/>
          <w:i w:val="1"/>
          <w:iCs w:val="1"/>
          <w:color w:val="3E3935"/>
        </w:rPr>
        <w:t>Reflects tax equalization payments in connection with Mr. Carlisle’s international assignment in Canada, which ended in May 2018. These tax equalization payments are made under a policy that applies to all employees on international assignment at the request of the Company to ensure an employee does not receive any undue tax burden or benefit had the employee remained in their home country. For Mr. Carlisle, the trailing tax payments made after the end of his assignment are to address any foreign tax obligations relating to equity awards earned while on international assignment.</w:t>
      </w:r>
    </w:p>
    <w:p>
      <w:pPr>
        <w:spacing w:after="0" w:line="255"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0071CE"/>
        </w:rPr>
        <w:t>Perquisites and Other Personal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wp:posOffset>
            </wp:positionH>
            <wp:positionV relativeFrom="paragraph">
              <wp:posOffset>100330</wp:posOffset>
            </wp:positionV>
            <wp:extent cx="6711950" cy="825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6711950" cy="8255"/>
                    </a:xfrm>
                    <a:prstGeom prst="rect">
                      <a:avLst/>
                    </a:prstGeom>
                    <a:noFill/>
                  </pic:spPr>
                </pic:pic>
              </a:graphicData>
            </a:graphic>
          </wp:anchor>
        </w:drawing>
      </w:r>
    </w:p>
    <w:p>
      <w:pPr>
        <w:spacing w:after="0" w:line="192" w:lineRule="exact"/>
        <w:rPr>
          <w:sz w:val="20"/>
          <w:szCs w:val="20"/>
          <w:color w:val="auto"/>
        </w:rPr>
      </w:pPr>
    </w:p>
    <w:tbl>
      <w:tblPr>
        <w:tblLayout w:type="fixed"/>
        <w:tblInd w:w="560" w:type="dxa"/>
        <w:tblCellMar>
          <w:top w:w="0" w:type="dxa"/>
          <w:left w:w="0" w:type="dxa"/>
          <w:bottom w:w="0" w:type="dxa"/>
          <w:right w:w="0" w:type="dxa"/>
        </w:tblCellMar>
      </w:tblPr>
      <w:tr>
        <w:trPr>
          <w:trHeight w:val="189"/>
        </w:trPr>
        <w:tc>
          <w:tcPr>
            <w:tcW w:w="3360" w:type="dxa"/>
            <w:vAlign w:val="bottom"/>
          </w:tcPr>
          <w:p>
            <w:pPr>
              <w:spacing w:after="0"/>
              <w:rPr>
                <w:sz w:val="16"/>
                <w:szCs w:val="16"/>
                <w:color w:val="auto"/>
              </w:rPr>
            </w:pPr>
          </w:p>
        </w:tc>
        <w:tc>
          <w:tcPr>
            <w:tcW w:w="2060" w:type="dxa"/>
            <w:vAlign w:val="bottom"/>
          </w:tcPr>
          <w:p>
            <w:pPr>
              <w:jc w:val="right"/>
              <w:ind w:right="119"/>
              <w:spacing w:after="0"/>
              <w:rPr>
                <w:sz w:val="20"/>
                <w:szCs w:val="20"/>
                <w:color w:val="auto"/>
              </w:rPr>
            </w:pPr>
            <w:r>
              <w:rPr>
                <w:rFonts w:ascii="Arial" w:cs="Arial" w:eastAsia="Arial" w:hAnsi="Arial"/>
                <w:sz w:val="16"/>
                <w:szCs w:val="16"/>
                <w:b w:val="1"/>
                <w:bCs w:val="1"/>
                <w:color w:val="00C1DE"/>
              </w:rPr>
              <w:t>M.T. Barra</w:t>
            </w:r>
          </w:p>
        </w:tc>
        <w:tc>
          <w:tcPr>
            <w:tcW w:w="1500" w:type="dxa"/>
            <w:vAlign w:val="bottom"/>
          </w:tcPr>
          <w:p>
            <w:pPr>
              <w:jc w:val="right"/>
              <w:ind w:right="119"/>
              <w:spacing w:after="0"/>
              <w:rPr>
                <w:sz w:val="20"/>
                <w:szCs w:val="20"/>
                <w:color w:val="auto"/>
              </w:rPr>
            </w:pPr>
            <w:r>
              <w:rPr>
                <w:rFonts w:ascii="Arial" w:cs="Arial" w:eastAsia="Arial" w:hAnsi="Arial"/>
                <w:sz w:val="16"/>
                <w:szCs w:val="16"/>
                <w:b w:val="1"/>
                <w:bCs w:val="1"/>
                <w:color w:val="00C1DE"/>
              </w:rPr>
              <w:t>P.A. Jacobson</w:t>
            </w:r>
          </w:p>
        </w:tc>
        <w:tc>
          <w:tcPr>
            <w:tcW w:w="1260" w:type="dxa"/>
            <w:vAlign w:val="bottom"/>
          </w:tcPr>
          <w:p>
            <w:pPr>
              <w:jc w:val="right"/>
              <w:ind w:right="119"/>
              <w:spacing w:after="0"/>
              <w:rPr>
                <w:sz w:val="20"/>
                <w:szCs w:val="20"/>
                <w:color w:val="auto"/>
              </w:rPr>
            </w:pPr>
            <w:r>
              <w:rPr>
                <w:rFonts w:ascii="Arial" w:cs="Arial" w:eastAsia="Arial" w:hAnsi="Arial"/>
                <w:sz w:val="16"/>
                <w:szCs w:val="16"/>
                <w:b w:val="1"/>
                <w:bCs w:val="1"/>
                <w:color w:val="00C1DE"/>
              </w:rPr>
              <w:t>M.L. Reuss</w:t>
            </w:r>
          </w:p>
        </w:tc>
        <w:tc>
          <w:tcPr>
            <w:tcW w:w="1200" w:type="dxa"/>
            <w:vAlign w:val="bottom"/>
          </w:tcPr>
          <w:p>
            <w:pPr>
              <w:jc w:val="right"/>
              <w:ind w:right="139"/>
              <w:spacing w:after="0"/>
              <w:rPr>
                <w:sz w:val="20"/>
                <w:szCs w:val="20"/>
                <w:color w:val="auto"/>
              </w:rPr>
            </w:pPr>
            <w:r>
              <w:rPr>
                <w:rFonts w:ascii="Arial" w:cs="Arial" w:eastAsia="Arial" w:hAnsi="Arial"/>
                <w:sz w:val="16"/>
                <w:szCs w:val="16"/>
                <w:b w:val="1"/>
                <w:bCs w:val="1"/>
                <w:color w:val="00C1DE"/>
              </w:rPr>
              <w:t>D.L. Parks</w:t>
            </w:r>
          </w:p>
        </w:tc>
        <w:tc>
          <w:tcPr>
            <w:tcW w:w="1200" w:type="dxa"/>
            <w:vAlign w:val="bottom"/>
          </w:tcPr>
          <w:p>
            <w:pPr>
              <w:jc w:val="right"/>
              <w:spacing w:after="0"/>
              <w:rPr>
                <w:sz w:val="20"/>
                <w:szCs w:val="20"/>
                <w:color w:val="auto"/>
              </w:rPr>
            </w:pPr>
            <w:r>
              <w:rPr>
                <w:rFonts w:ascii="Arial" w:cs="Arial" w:eastAsia="Arial" w:hAnsi="Arial"/>
                <w:sz w:val="16"/>
                <w:szCs w:val="16"/>
                <w:b w:val="1"/>
                <w:bCs w:val="1"/>
                <w:color w:val="00C1DE"/>
              </w:rPr>
              <w:t>S.K. Carlisle</w:t>
            </w:r>
          </w:p>
        </w:tc>
      </w:tr>
      <w:tr>
        <w:trPr>
          <w:trHeight w:val="226"/>
        </w:trPr>
        <w:tc>
          <w:tcPr>
            <w:tcW w:w="3360" w:type="dxa"/>
            <w:vAlign w:val="bottom"/>
            <w:tcBorders>
              <w:bottom w:val="single" w:sz="8" w:color="00C1DE"/>
            </w:tcBorders>
          </w:tcPr>
          <w:p>
            <w:pPr>
              <w:spacing w:after="0"/>
              <w:rPr>
                <w:sz w:val="19"/>
                <w:szCs w:val="19"/>
                <w:color w:val="auto"/>
              </w:rPr>
            </w:pPr>
          </w:p>
        </w:tc>
        <w:tc>
          <w:tcPr>
            <w:tcW w:w="2060" w:type="dxa"/>
            <w:vAlign w:val="bottom"/>
            <w:tcBorders>
              <w:bottom w:val="single" w:sz="8" w:color="00C1DE"/>
            </w:tcBorders>
          </w:tcPr>
          <w:p>
            <w:pPr>
              <w:jc w:val="right"/>
              <w:ind w:right="119"/>
              <w:spacing w:after="0"/>
              <w:rPr>
                <w:sz w:val="20"/>
                <w:szCs w:val="20"/>
                <w:color w:val="auto"/>
              </w:rPr>
            </w:pPr>
            <w:r>
              <w:rPr>
                <w:rFonts w:ascii="Arial" w:cs="Arial" w:eastAsia="Arial" w:hAnsi="Arial"/>
                <w:sz w:val="16"/>
                <w:szCs w:val="16"/>
                <w:b w:val="1"/>
                <w:bCs w:val="1"/>
                <w:color w:val="00C1DE"/>
              </w:rPr>
              <w:t>($)</w:t>
            </w:r>
          </w:p>
        </w:tc>
        <w:tc>
          <w:tcPr>
            <w:tcW w:w="1500" w:type="dxa"/>
            <w:vAlign w:val="bottom"/>
            <w:tcBorders>
              <w:bottom w:val="single" w:sz="8" w:color="00C1DE"/>
            </w:tcBorders>
          </w:tcPr>
          <w:p>
            <w:pPr>
              <w:jc w:val="right"/>
              <w:ind w:right="119"/>
              <w:spacing w:after="0"/>
              <w:rPr>
                <w:sz w:val="20"/>
                <w:szCs w:val="20"/>
                <w:color w:val="auto"/>
              </w:rPr>
            </w:pPr>
            <w:r>
              <w:rPr>
                <w:rFonts w:ascii="Arial" w:cs="Arial" w:eastAsia="Arial" w:hAnsi="Arial"/>
                <w:sz w:val="16"/>
                <w:szCs w:val="16"/>
                <w:b w:val="1"/>
                <w:bCs w:val="1"/>
                <w:color w:val="00C1DE"/>
              </w:rPr>
              <w:t>($)</w:t>
            </w:r>
          </w:p>
        </w:tc>
        <w:tc>
          <w:tcPr>
            <w:tcW w:w="1260" w:type="dxa"/>
            <w:vAlign w:val="bottom"/>
            <w:tcBorders>
              <w:bottom w:val="single" w:sz="8" w:color="00C1DE"/>
            </w:tcBorders>
          </w:tcPr>
          <w:p>
            <w:pPr>
              <w:jc w:val="right"/>
              <w:ind w:right="119"/>
              <w:spacing w:after="0"/>
              <w:rPr>
                <w:sz w:val="20"/>
                <w:szCs w:val="20"/>
                <w:color w:val="auto"/>
              </w:rPr>
            </w:pPr>
            <w:r>
              <w:rPr>
                <w:rFonts w:ascii="Arial" w:cs="Arial" w:eastAsia="Arial" w:hAnsi="Arial"/>
                <w:sz w:val="16"/>
                <w:szCs w:val="16"/>
                <w:b w:val="1"/>
                <w:bCs w:val="1"/>
                <w:color w:val="00C1DE"/>
              </w:rPr>
              <w:t>($)</w:t>
            </w:r>
          </w:p>
        </w:tc>
        <w:tc>
          <w:tcPr>
            <w:tcW w:w="1200" w:type="dxa"/>
            <w:vAlign w:val="bottom"/>
            <w:tcBorders>
              <w:bottom w:val="single" w:sz="8" w:color="00C1DE"/>
            </w:tcBorders>
          </w:tcPr>
          <w:p>
            <w:pPr>
              <w:jc w:val="right"/>
              <w:ind w:right="139"/>
              <w:spacing w:after="0"/>
              <w:rPr>
                <w:sz w:val="20"/>
                <w:szCs w:val="20"/>
                <w:color w:val="auto"/>
              </w:rPr>
            </w:pPr>
            <w:r>
              <w:rPr>
                <w:rFonts w:ascii="Arial" w:cs="Arial" w:eastAsia="Arial" w:hAnsi="Arial"/>
                <w:sz w:val="16"/>
                <w:szCs w:val="16"/>
                <w:b w:val="1"/>
                <w:bCs w:val="1"/>
                <w:color w:val="00C1DE"/>
              </w:rPr>
              <w:t>($)</w:t>
            </w:r>
          </w:p>
        </w:tc>
        <w:tc>
          <w:tcPr>
            <w:tcW w:w="1200" w:type="dxa"/>
            <w:vAlign w:val="bottom"/>
            <w:tcBorders>
              <w:bottom w:val="single" w:sz="8" w:color="00C1DE"/>
            </w:tcBorders>
          </w:tcPr>
          <w:p>
            <w:pPr>
              <w:jc w:val="right"/>
              <w:spacing w:after="0"/>
              <w:rPr>
                <w:sz w:val="20"/>
                <w:szCs w:val="20"/>
                <w:color w:val="auto"/>
              </w:rPr>
            </w:pPr>
            <w:r>
              <w:rPr>
                <w:rFonts w:ascii="Arial" w:cs="Arial" w:eastAsia="Arial" w:hAnsi="Arial"/>
                <w:sz w:val="16"/>
                <w:szCs w:val="16"/>
                <w:b w:val="1"/>
                <w:bCs w:val="1"/>
                <w:color w:val="00C1DE"/>
              </w:rPr>
              <w:t>($)</w:t>
            </w:r>
          </w:p>
        </w:tc>
      </w:tr>
      <w:tr>
        <w:trPr>
          <w:trHeight w:val="267"/>
        </w:trPr>
        <w:tc>
          <w:tcPr>
            <w:tcW w:w="3360" w:type="dxa"/>
            <w:vAlign w:val="bottom"/>
            <w:tcBorders>
              <w:bottom w:val="single" w:sz="8" w:color="3E3935"/>
            </w:tcBorders>
          </w:tcPr>
          <w:p>
            <w:pPr>
              <w:ind w:left="100"/>
              <w:spacing w:after="0" w:line="267" w:lineRule="exact"/>
              <w:rPr>
                <w:sz w:val="20"/>
                <w:szCs w:val="20"/>
                <w:color w:val="auto"/>
              </w:rPr>
            </w:pPr>
            <w:r>
              <w:rPr>
                <w:rFonts w:ascii="Arial" w:cs="Arial" w:eastAsia="Arial" w:hAnsi="Arial"/>
                <w:sz w:val="16"/>
                <w:szCs w:val="16"/>
                <w:color w:val="3E3935"/>
              </w:rPr>
              <w:t>Personal Travel</w:t>
            </w:r>
            <w:r>
              <w:rPr>
                <w:rFonts w:ascii="Arial" w:cs="Arial" w:eastAsia="Arial" w:hAnsi="Arial"/>
                <w:sz w:val="24"/>
                <w:szCs w:val="24"/>
                <w:color w:val="3E3935"/>
                <w:vertAlign w:val="superscript"/>
              </w:rPr>
              <w:t>(1)</w:t>
            </w:r>
          </w:p>
        </w:tc>
        <w:tc>
          <w:tcPr>
            <w:tcW w:w="2060" w:type="dxa"/>
            <w:vAlign w:val="bottom"/>
            <w:tcBorders>
              <w:bottom w:val="single" w:sz="8" w:color="3E3935"/>
            </w:tcBorders>
          </w:tcPr>
          <w:p>
            <w:pPr>
              <w:jc w:val="right"/>
              <w:ind w:right="119"/>
              <w:spacing w:after="0"/>
              <w:rPr>
                <w:sz w:val="20"/>
                <w:szCs w:val="20"/>
                <w:color w:val="auto"/>
              </w:rPr>
            </w:pPr>
            <w:r>
              <w:rPr>
                <w:rFonts w:ascii="Arial" w:cs="Arial" w:eastAsia="Arial" w:hAnsi="Arial"/>
                <w:sz w:val="16"/>
                <w:szCs w:val="16"/>
                <w:color w:val="3E3935"/>
              </w:rPr>
              <w:t>254,037</w:t>
            </w:r>
          </w:p>
        </w:tc>
        <w:tc>
          <w:tcPr>
            <w:tcW w:w="1500" w:type="dxa"/>
            <w:vAlign w:val="bottom"/>
            <w:tcBorders>
              <w:bottom w:val="single" w:sz="8" w:color="3E3935"/>
            </w:tcBorders>
          </w:tcPr>
          <w:p>
            <w:pPr>
              <w:jc w:val="right"/>
              <w:ind w:right="119"/>
              <w:spacing w:after="0"/>
              <w:rPr>
                <w:sz w:val="20"/>
                <w:szCs w:val="20"/>
                <w:color w:val="auto"/>
              </w:rPr>
            </w:pPr>
            <w:r>
              <w:rPr>
                <w:rFonts w:ascii="Arial" w:cs="Arial" w:eastAsia="Arial" w:hAnsi="Arial"/>
                <w:sz w:val="16"/>
                <w:szCs w:val="16"/>
                <w:color w:val="3E3935"/>
              </w:rPr>
              <w:t>12,289</w:t>
            </w:r>
          </w:p>
        </w:tc>
        <w:tc>
          <w:tcPr>
            <w:tcW w:w="1260" w:type="dxa"/>
            <w:vAlign w:val="bottom"/>
            <w:tcBorders>
              <w:bottom w:val="single" w:sz="8" w:color="3E3935"/>
            </w:tcBorders>
          </w:tcPr>
          <w:p>
            <w:pPr>
              <w:jc w:val="right"/>
              <w:ind w:right="119"/>
              <w:spacing w:after="0"/>
              <w:rPr>
                <w:sz w:val="20"/>
                <w:szCs w:val="20"/>
                <w:color w:val="auto"/>
              </w:rPr>
            </w:pPr>
            <w:r>
              <w:rPr>
                <w:rFonts w:ascii="Arial" w:cs="Arial" w:eastAsia="Arial" w:hAnsi="Arial"/>
                <w:sz w:val="16"/>
                <w:szCs w:val="16"/>
                <w:color w:val="3E3935"/>
              </w:rPr>
              <w:t>67,635</w:t>
            </w:r>
          </w:p>
        </w:tc>
        <w:tc>
          <w:tcPr>
            <w:tcW w:w="1200" w:type="dxa"/>
            <w:vAlign w:val="bottom"/>
            <w:tcBorders>
              <w:bottom w:val="single" w:sz="8" w:color="3E3935"/>
            </w:tcBorders>
          </w:tcPr>
          <w:p>
            <w:pPr>
              <w:jc w:val="right"/>
              <w:ind w:right="139"/>
              <w:spacing w:after="0"/>
              <w:rPr>
                <w:sz w:val="20"/>
                <w:szCs w:val="20"/>
                <w:color w:val="auto"/>
              </w:rPr>
            </w:pPr>
            <w:r>
              <w:rPr>
                <w:rFonts w:ascii="Arial" w:cs="Arial" w:eastAsia="Arial" w:hAnsi="Arial"/>
                <w:sz w:val="16"/>
                <w:szCs w:val="16"/>
                <w:color w:val="3E3935"/>
              </w:rPr>
              <w:t>—</w:t>
            </w:r>
          </w:p>
        </w:tc>
        <w:tc>
          <w:tcPr>
            <w:tcW w:w="1200" w:type="dxa"/>
            <w:vAlign w:val="bottom"/>
            <w:tcBorders>
              <w:bottom w:val="single" w:sz="8" w:color="3E3935"/>
            </w:tcBorders>
          </w:tcPr>
          <w:p>
            <w:pPr>
              <w:jc w:val="right"/>
              <w:spacing w:after="0"/>
              <w:rPr>
                <w:sz w:val="20"/>
                <w:szCs w:val="20"/>
                <w:color w:val="auto"/>
              </w:rPr>
            </w:pPr>
            <w:r>
              <w:rPr>
                <w:rFonts w:ascii="Arial" w:cs="Arial" w:eastAsia="Arial" w:hAnsi="Arial"/>
                <w:sz w:val="16"/>
                <w:szCs w:val="16"/>
                <w:color w:val="3E3935"/>
              </w:rPr>
              <w:t>—</w:t>
            </w:r>
          </w:p>
        </w:tc>
      </w:tr>
      <w:tr>
        <w:trPr>
          <w:trHeight w:val="263"/>
        </w:trPr>
        <w:tc>
          <w:tcPr>
            <w:tcW w:w="3360" w:type="dxa"/>
            <w:vAlign w:val="bottom"/>
            <w:tcBorders>
              <w:bottom w:val="single" w:sz="8" w:color="3E3935"/>
            </w:tcBorders>
          </w:tcPr>
          <w:p>
            <w:pPr>
              <w:ind w:left="100"/>
              <w:spacing w:after="0" w:line="264" w:lineRule="exact"/>
              <w:rPr>
                <w:sz w:val="20"/>
                <w:szCs w:val="20"/>
                <w:color w:val="auto"/>
              </w:rPr>
            </w:pPr>
            <w:r>
              <w:rPr>
                <w:rFonts w:ascii="Arial" w:cs="Arial" w:eastAsia="Arial" w:hAnsi="Arial"/>
                <w:sz w:val="16"/>
                <w:szCs w:val="16"/>
                <w:color w:val="3E3935"/>
              </w:rPr>
              <w:t>Security</w:t>
            </w:r>
            <w:r>
              <w:rPr>
                <w:rFonts w:ascii="Arial" w:cs="Arial" w:eastAsia="Arial" w:hAnsi="Arial"/>
                <w:sz w:val="24"/>
                <w:szCs w:val="24"/>
                <w:color w:val="3E3935"/>
                <w:vertAlign w:val="superscript"/>
              </w:rPr>
              <w:t>(2)</w:t>
            </w:r>
          </w:p>
        </w:tc>
        <w:tc>
          <w:tcPr>
            <w:tcW w:w="2060" w:type="dxa"/>
            <w:vAlign w:val="bottom"/>
            <w:tcBorders>
              <w:bottom w:val="single" w:sz="8" w:color="3E3935"/>
            </w:tcBorders>
          </w:tcPr>
          <w:p>
            <w:pPr>
              <w:jc w:val="right"/>
              <w:ind w:right="119"/>
              <w:spacing w:after="0"/>
              <w:rPr>
                <w:sz w:val="20"/>
                <w:szCs w:val="20"/>
                <w:color w:val="auto"/>
              </w:rPr>
            </w:pPr>
            <w:r>
              <w:rPr>
                <w:rFonts w:ascii="Arial" w:cs="Arial" w:eastAsia="Arial" w:hAnsi="Arial"/>
                <w:sz w:val="16"/>
                <w:szCs w:val="16"/>
                <w:color w:val="3E3935"/>
              </w:rPr>
              <w:t>147,767</w:t>
            </w:r>
          </w:p>
        </w:tc>
        <w:tc>
          <w:tcPr>
            <w:tcW w:w="1500" w:type="dxa"/>
            <w:vAlign w:val="bottom"/>
            <w:tcBorders>
              <w:bottom w:val="single" w:sz="8" w:color="3E3935"/>
            </w:tcBorders>
          </w:tcPr>
          <w:p>
            <w:pPr>
              <w:jc w:val="right"/>
              <w:ind w:right="119"/>
              <w:spacing w:after="0"/>
              <w:rPr>
                <w:sz w:val="20"/>
                <w:szCs w:val="20"/>
                <w:color w:val="auto"/>
              </w:rPr>
            </w:pPr>
            <w:r>
              <w:rPr>
                <w:rFonts w:ascii="Arial" w:cs="Arial" w:eastAsia="Arial" w:hAnsi="Arial"/>
                <w:sz w:val="16"/>
                <w:szCs w:val="16"/>
                <w:color w:val="3E3935"/>
              </w:rPr>
              <w:t>—</w:t>
            </w:r>
          </w:p>
        </w:tc>
        <w:tc>
          <w:tcPr>
            <w:tcW w:w="1260" w:type="dxa"/>
            <w:vAlign w:val="bottom"/>
            <w:tcBorders>
              <w:bottom w:val="single" w:sz="8" w:color="3E3935"/>
            </w:tcBorders>
          </w:tcPr>
          <w:p>
            <w:pPr>
              <w:jc w:val="right"/>
              <w:ind w:right="119"/>
              <w:spacing w:after="0"/>
              <w:rPr>
                <w:sz w:val="20"/>
                <w:szCs w:val="20"/>
                <w:color w:val="auto"/>
              </w:rPr>
            </w:pPr>
            <w:r>
              <w:rPr>
                <w:rFonts w:ascii="Arial" w:cs="Arial" w:eastAsia="Arial" w:hAnsi="Arial"/>
                <w:sz w:val="16"/>
                <w:szCs w:val="16"/>
                <w:color w:val="3E3935"/>
              </w:rPr>
              <w:t>9,139</w:t>
            </w:r>
          </w:p>
        </w:tc>
        <w:tc>
          <w:tcPr>
            <w:tcW w:w="1200" w:type="dxa"/>
            <w:vAlign w:val="bottom"/>
            <w:tcBorders>
              <w:bottom w:val="single" w:sz="8" w:color="3E3935"/>
            </w:tcBorders>
          </w:tcPr>
          <w:p>
            <w:pPr>
              <w:jc w:val="right"/>
              <w:ind w:right="139"/>
              <w:spacing w:after="0"/>
              <w:rPr>
                <w:sz w:val="20"/>
                <w:szCs w:val="20"/>
                <w:color w:val="auto"/>
              </w:rPr>
            </w:pPr>
            <w:r>
              <w:rPr>
                <w:rFonts w:ascii="Arial" w:cs="Arial" w:eastAsia="Arial" w:hAnsi="Arial"/>
                <w:sz w:val="16"/>
                <w:szCs w:val="16"/>
                <w:color w:val="3E3935"/>
              </w:rPr>
              <w:t>—</w:t>
            </w:r>
          </w:p>
        </w:tc>
        <w:tc>
          <w:tcPr>
            <w:tcW w:w="1200" w:type="dxa"/>
            <w:vAlign w:val="bottom"/>
            <w:tcBorders>
              <w:bottom w:val="single" w:sz="8" w:color="3E3935"/>
            </w:tcBorders>
          </w:tcPr>
          <w:p>
            <w:pPr>
              <w:jc w:val="right"/>
              <w:spacing w:after="0"/>
              <w:rPr>
                <w:sz w:val="20"/>
                <w:szCs w:val="20"/>
                <w:color w:val="auto"/>
              </w:rPr>
            </w:pPr>
            <w:r>
              <w:rPr>
                <w:rFonts w:ascii="Arial" w:cs="Arial" w:eastAsia="Arial" w:hAnsi="Arial"/>
                <w:sz w:val="16"/>
                <w:szCs w:val="16"/>
                <w:color w:val="3E3935"/>
              </w:rPr>
              <w:t>—</w:t>
            </w:r>
          </w:p>
        </w:tc>
      </w:tr>
      <w:tr>
        <w:trPr>
          <w:trHeight w:val="263"/>
        </w:trPr>
        <w:tc>
          <w:tcPr>
            <w:tcW w:w="3360" w:type="dxa"/>
            <w:vAlign w:val="bottom"/>
            <w:tcBorders>
              <w:bottom w:val="single" w:sz="8" w:color="3E3935"/>
            </w:tcBorders>
          </w:tcPr>
          <w:p>
            <w:pPr>
              <w:ind w:left="100"/>
              <w:spacing w:after="0" w:line="264" w:lineRule="exact"/>
              <w:rPr>
                <w:sz w:val="20"/>
                <w:szCs w:val="20"/>
                <w:color w:val="auto"/>
              </w:rPr>
            </w:pPr>
            <w:r>
              <w:rPr>
                <w:rFonts w:ascii="Arial" w:cs="Arial" w:eastAsia="Arial" w:hAnsi="Arial"/>
                <w:sz w:val="16"/>
                <w:szCs w:val="16"/>
                <w:color w:val="3E3935"/>
              </w:rPr>
              <w:t>Company Vehicle Programs</w:t>
            </w:r>
            <w:r>
              <w:rPr>
                <w:rFonts w:ascii="Arial" w:cs="Arial" w:eastAsia="Arial" w:hAnsi="Arial"/>
                <w:sz w:val="24"/>
                <w:szCs w:val="24"/>
                <w:color w:val="3E3935"/>
                <w:vertAlign w:val="superscript"/>
              </w:rPr>
              <w:t>(3)</w:t>
            </w:r>
          </w:p>
        </w:tc>
        <w:tc>
          <w:tcPr>
            <w:tcW w:w="2060" w:type="dxa"/>
            <w:vAlign w:val="bottom"/>
            <w:tcBorders>
              <w:bottom w:val="single" w:sz="8" w:color="3E3935"/>
            </w:tcBorders>
          </w:tcPr>
          <w:p>
            <w:pPr>
              <w:jc w:val="right"/>
              <w:ind w:right="119"/>
              <w:spacing w:after="0"/>
              <w:rPr>
                <w:sz w:val="20"/>
                <w:szCs w:val="20"/>
                <w:color w:val="auto"/>
              </w:rPr>
            </w:pPr>
            <w:r>
              <w:rPr>
                <w:rFonts w:ascii="Arial" w:cs="Arial" w:eastAsia="Arial" w:hAnsi="Arial"/>
                <w:sz w:val="16"/>
                <w:szCs w:val="16"/>
                <w:color w:val="3E3935"/>
              </w:rPr>
              <w:t>13,260</w:t>
            </w:r>
          </w:p>
        </w:tc>
        <w:tc>
          <w:tcPr>
            <w:tcW w:w="1500" w:type="dxa"/>
            <w:vAlign w:val="bottom"/>
            <w:tcBorders>
              <w:bottom w:val="single" w:sz="8" w:color="3E3935"/>
            </w:tcBorders>
          </w:tcPr>
          <w:p>
            <w:pPr>
              <w:jc w:val="right"/>
              <w:ind w:right="119"/>
              <w:spacing w:after="0"/>
              <w:rPr>
                <w:sz w:val="20"/>
                <w:szCs w:val="20"/>
                <w:color w:val="auto"/>
              </w:rPr>
            </w:pPr>
            <w:r>
              <w:rPr>
                <w:rFonts w:ascii="Arial" w:cs="Arial" w:eastAsia="Arial" w:hAnsi="Arial"/>
                <w:sz w:val="16"/>
                <w:szCs w:val="16"/>
                <w:color w:val="3E3935"/>
              </w:rPr>
              <w:t>30,159</w:t>
            </w:r>
          </w:p>
        </w:tc>
        <w:tc>
          <w:tcPr>
            <w:tcW w:w="1260" w:type="dxa"/>
            <w:vAlign w:val="bottom"/>
            <w:tcBorders>
              <w:bottom w:val="single" w:sz="8" w:color="3E3935"/>
            </w:tcBorders>
          </w:tcPr>
          <w:p>
            <w:pPr>
              <w:jc w:val="right"/>
              <w:ind w:right="119"/>
              <w:spacing w:after="0"/>
              <w:rPr>
                <w:sz w:val="20"/>
                <w:szCs w:val="20"/>
                <w:color w:val="auto"/>
              </w:rPr>
            </w:pPr>
            <w:r>
              <w:rPr>
                <w:rFonts w:ascii="Arial" w:cs="Arial" w:eastAsia="Arial" w:hAnsi="Arial"/>
                <w:sz w:val="16"/>
                <w:szCs w:val="16"/>
                <w:color w:val="3E3935"/>
              </w:rPr>
              <w:t>21,075</w:t>
            </w:r>
          </w:p>
        </w:tc>
        <w:tc>
          <w:tcPr>
            <w:tcW w:w="1200" w:type="dxa"/>
            <w:vAlign w:val="bottom"/>
            <w:tcBorders>
              <w:bottom w:val="single" w:sz="8" w:color="3E3935"/>
            </w:tcBorders>
          </w:tcPr>
          <w:p>
            <w:pPr>
              <w:jc w:val="right"/>
              <w:ind w:right="139"/>
              <w:spacing w:after="0"/>
              <w:rPr>
                <w:sz w:val="20"/>
                <w:szCs w:val="20"/>
                <w:color w:val="auto"/>
              </w:rPr>
            </w:pPr>
            <w:r>
              <w:rPr>
                <w:rFonts w:ascii="Arial" w:cs="Arial" w:eastAsia="Arial" w:hAnsi="Arial"/>
                <w:sz w:val="16"/>
                <w:szCs w:val="16"/>
                <w:color w:val="3E3935"/>
              </w:rPr>
              <w:t>14,668</w:t>
            </w:r>
          </w:p>
        </w:tc>
        <w:tc>
          <w:tcPr>
            <w:tcW w:w="1200" w:type="dxa"/>
            <w:vAlign w:val="bottom"/>
            <w:tcBorders>
              <w:bottom w:val="single" w:sz="8" w:color="3E3935"/>
            </w:tcBorders>
          </w:tcPr>
          <w:p>
            <w:pPr>
              <w:jc w:val="right"/>
              <w:spacing w:after="0"/>
              <w:rPr>
                <w:sz w:val="20"/>
                <w:szCs w:val="20"/>
                <w:color w:val="auto"/>
              </w:rPr>
            </w:pPr>
            <w:r>
              <w:rPr>
                <w:rFonts w:ascii="Arial" w:cs="Arial" w:eastAsia="Arial" w:hAnsi="Arial"/>
                <w:sz w:val="16"/>
                <w:szCs w:val="16"/>
                <w:color w:val="3E3935"/>
              </w:rPr>
              <w:t>15,207</w:t>
            </w:r>
          </w:p>
        </w:tc>
      </w:tr>
      <w:tr>
        <w:trPr>
          <w:trHeight w:val="264"/>
        </w:trPr>
        <w:tc>
          <w:tcPr>
            <w:tcW w:w="3360" w:type="dxa"/>
            <w:vAlign w:val="bottom"/>
            <w:tcBorders>
              <w:bottom w:val="single" w:sz="8" w:color="3E3935"/>
            </w:tcBorders>
          </w:tcPr>
          <w:p>
            <w:pPr>
              <w:ind w:left="100"/>
              <w:spacing w:after="0" w:line="264" w:lineRule="exact"/>
              <w:rPr>
                <w:sz w:val="20"/>
                <w:szCs w:val="20"/>
                <w:color w:val="auto"/>
              </w:rPr>
            </w:pPr>
            <w:r>
              <w:rPr>
                <w:rFonts w:ascii="Arial" w:cs="Arial" w:eastAsia="Arial" w:hAnsi="Arial"/>
                <w:sz w:val="16"/>
                <w:szCs w:val="16"/>
                <w:color w:val="3E3935"/>
              </w:rPr>
              <w:t>Executive Physical</w:t>
            </w:r>
            <w:r>
              <w:rPr>
                <w:rFonts w:ascii="Arial" w:cs="Arial" w:eastAsia="Arial" w:hAnsi="Arial"/>
                <w:sz w:val="24"/>
                <w:szCs w:val="24"/>
                <w:color w:val="3E3935"/>
                <w:vertAlign w:val="superscript"/>
              </w:rPr>
              <w:t>(4)</w:t>
            </w:r>
          </w:p>
        </w:tc>
        <w:tc>
          <w:tcPr>
            <w:tcW w:w="2060" w:type="dxa"/>
            <w:vAlign w:val="bottom"/>
            <w:tcBorders>
              <w:bottom w:val="single" w:sz="8" w:color="3E3935"/>
            </w:tcBorders>
          </w:tcPr>
          <w:p>
            <w:pPr>
              <w:jc w:val="right"/>
              <w:ind w:right="119"/>
              <w:spacing w:after="0"/>
              <w:rPr>
                <w:sz w:val="20"/>
                <w:szCs w:val="20"/>
                <w:color w:val="auto"/>
              </w:rPr>
            </w:pPr>
            <w:r>
              <w:rPr>
                <w:rFonts w:ascii="Arial" w:cs="Arial" w:eastAsia="Arial" w:hAnsi="Arial"/>
                <w:sz w:val="16"/>
                <w:szCs w:val="16"/>
                <w:color w:val="3E3935"/>
              </w:rPr>
              <w:t>4,589</w:t>
            </w:r>
          </w:p>
        </w:tc>
        <w:tc>
          <w:tcPr>
            <w:tcW w:w="1500" w:type="dxa"/>
            <w:vAlign w:val="bottom"/>
            <w:tcBorders>
              <w:bottom w:val="single" w:sz="8" w:color="3E3935"/>
            </w:tcBorders>
          </w:tcPr>
          <w:p>
            <w:pPr>
              <w:jc w:val="right"/>
              <w:ind w:right="119"/>
              <w:spacing w:after="0"/>
              <w:rPr>
                <w:sz w:val="20"/>
                <w:szCs w:val="20"/>
                <w:color w:val="auto"/>
              </w:rPr>
            </w:pPr>
            <w:r>
              <w:rPr>
                <w:rFonts w:ascii="Arial" w:cs="Arial" w:eastAsia="Arial" w:hAnsi="Arial"/>
                <w:sz w:val="16"/>
                <w:szCs w:val="16"/>
                <w:color w:val="3E3935"/>
              </w:rPr>
              <w:t>6,147</w:t>
            </w:r>
          </w:p>
        </w:tc>
        <w:tc>
          <w:tcPr>
            <w:tcW w:w="1260" w:type="dxa"/>
            <w:vAlign w:val="bottom"/>
            <w:tcBorders>
              <w:bottom w:val="single" w:sz="8" w:color="3E3935"/>
            </w:tcBorders>
          </w:tcPr>
          <w:p>
            <w:pPr>
              <w:jc w:val="right"/>
              <w:ind w:right="119"/>
              <w:spacing w:after="0"/>
              <w:rPr>
                <w:sz w:val="20"/>
                <w:szCs w:val="20"/>
                <w:color w:val="auto"/>
              </w:rPr>
            </w:pPr>
            <w:r>
              <w:rPr>
                <w:rFonts w:ascii="Arial" w:cs="Arial" w:eastAsia="Arial" w:hAnsi="Arial"/>
                <w:sz w:val="16"/>
                <w:szCs w:val="16"/>
                <w:color w:val="3E3935"/>
              </w:rPr>
              <w:t>4,542</w:t>
            </w:r>
          </w:p>
        </w:tc>
        <w:tc>
          <w:tcPr>
            <w:tcW w:w="1200" w:type="dxa"/>
            <w:vAlign w:val="bottom"/>
            <w:tcBorders>
              <w:bottom w:val="single" w:sz="8" w:color="3E3935"/>
            </w:tcBorders>
          </w:tcPr>
          <w:p>
            <w:pPr>
              <w:jc w:val="right"/>
              <w:ind w:right="139"/>
              <w:spacing w:after="0"/>
              <w:rPr>
                <w:sz w:val="20"/>
                <w:szCs w:val="20"/>
                <w:color w:val="auto"/>
              </w:rPr>
            </w:pPr>
            <w:r>
              <w:rPr>
                <w:rFonts w:ascii="Arial" w:cs="Arial" w:eastAsia="Arial" w:hAnsi="Arial"/>
                <w:sz w:val="16"/>
                <w:szCs w:val="16"/>
                <w:color w:val="3E3935"/>
              </w:rPr>
              <w:t>5,304</w:t>
            </w:r>
          </w:p>
        </w:tc>
        <w:tc>
          <w:tcPr>
            <w:tcW w:w="1200" w:type="dxa"/>
            <w:vAlign w:val="bottom"/>
            <w:tcBorders>
              <w:bottom w:val="single" w:sz="8" w:color="3E3935"/>
            </w:tcBorders>
          </w:tcPr>
          <w:p>
            <w:pPr>
              <w:jc w:val="right"/>
              <w:spacing w:after="0"/>
              <w:rPr>
                <w:sz w:val="20"/>
                <w:szCs w:val="20"/>
                <w:color w:val="auto"/>
              </w:rPr>
            </w:pPr>
            <w:r>
              <w:rPr>
                <w:rFonts w:ascii="Arial" w:cs="Arial" w:eastAsia="Arial" w:hAnsi="Arial"/>
                <w:sz w:val="16"/>
                <w:szCs w:val="16"/>
                <w:color w:val="3E3935"/>
              </w:rPr>
              <w:t>2,700</w:t>
            </w:r>
          </w:p>
        </w:tc>
      </w:tr>
      <w:tr>
        <w:trPr>
          <w:trHeight w:val="263"/>
        </w:trPr>
        <w:tc>
          <w:tcPr>
            <w:tcW w:w="3360" w:type="dxa"/>
            <w:vAlign w:val="bottom"/>
            <w:tcBorders>
              <w:bottom w:val="single" w:sz="8" w:color="3E3935"/>
            </w:tcBorders>
          </w:tcPr>
          <w:p>
            <w:pPr>
              <w:ind w:left="100"/>
              <w:spacing w:after="0" w:line="264" w:lineRule="exact"/>
              <w:rPr>
                <w:sz w:val="20"/>
                <w:szCs w:val="20"/>
                <w:color w:val="auto"/>
              </w:rPr>
            </w:pPr>
            <w:r>
              <w:rPr>
                <w:rFonts w:ascii="Arial" w:cs="Arial" w:eastAsia="Arial" w:hAnsi="Arial"/>
                <w:sz w:val="16"/>
                <w:szCs w:val="16"/>
                <w:color w:val="3E3935"/>
              </w:rPr>
              <w:t>Financial Counseling</w:t>
            </w:r>
            <w:r>
              <w:rPr>
                <w:rFonts w:ascii="Arial" w:cs="Arial" w:eastAsia="Arial" w:hAnsi="Arial"/>
                <w:sz w:val="24"/>
                <w:szCs w:val="24"/>
                <w:color w:val="3E3935"/>
                <w:vertAlign w:val="superscript"/>
              </w:rPr>
              <w:t>(5)</w:t>
            </w:r>
          </w:p>
        </w:tc>
        <w:tc>
          <w:tcPr>
            <w:tcW w:w="2060" w:type="dxa"/>
            <w:vAlign w:val="bottom"/>
            <w:tcBorders>
              <w:bottom w:val="single" w:sz="8" w:color="3E3935"/>
            </w:tcBorders>
          </w:tcPr>
          <w:p>
            <w:pPr>
              <w:jc w:val="right"/>
              <w:ind w:right="119"/>
              <w:spacing w:after="0"/>
              <w:rPr>
                <w:sz w:val="20"/>
                <w:szCs w:val="20"/>
                <w:color w:val="auto"/>
              </w:rPr>
            </w:pPr>
            <w:r>
              <w:rPr>
                <w:rFonts w:ascii="Arial" w:cs="Arial" w:eastAsia="Arial" w:hAnsi="Arial"/>
                <w:sz w:val="16"/>
                <w:szCs w:val="16"/>
                <w:color w:val="3E3935"/>
              </w:rPr>
              <w:t>10,360</w:t>
            </w:r>
          </w:p>
        </w:tc>
        <w:tc>
          <w:tcPr>
            <w:tcW w:w="1500" w:type="dxa"/>
            <w:vAlign w:val="bottom"/>
            <w:tcBorders>
              <w:bottom w:val="single" w:sz="8" w:color="3E3935"/>
            </w:tcBorders>
          </w:tcPr>
          <w:p>
            <w:pPr>
              <w:jc w:val="right"/>
              <w:ind w:right="119"/>
              <w:spacing w:after="0"/>
              <w:rPr>
                <w:sz w:val="20"/>
                <w:szCs w:val="20"/>
                <w:color w:val="auto"/>
              </w:rPr>
            </w:pPr>
            <w:r>
              <w:rPr>
                <w:rFonts w:ascii="Arial" w:cs="Arial" w:eastAsia="Arial" w:hAnsi="Arial"/>
                <w:sz w:val="16"/>
                <w:szCs w:val="16"/>
                <w:color w:val="3E3935"/>
              </w:rPr>
              <w:t>—</w:t>
            </w:r>
          </w:p>
        </w:tc>
        <w:tc>
          <w:tcPr>
            <w:tcW w:w="1260" w:type="dxa"/>
            <w:vAlign w:val="bottom"/>
            <w:tcBorders>
              <w:bottom w:val="single" w:sz="8" w:color="3E3935"/>
            </w:tcBorders>
          </w:tcPr>
          <w:p>
            <w:pPr>
              <w:jc w:val="right"/>
              <w:ind w:right="119"/>
              <w:spacing w:after="0"/>
              <w:rPr>
                <w:sz w:val="20"/>
                <w:szCs w:val="20"/>
                <w:color w:val="auto"/>
              </w:rPr>
            </w:pPr>
            <w:r>
              <w:rPr>
                <w:rFonts w:ascii="Arial" w:cs="Arial" w:eastAsia="Arial" w:hAnsi="Arial"/>
                <w:sz w:val="16"/>
                <w:szCs w:val="16"/>
                <w:color w:val="3E3935"/>
              </w:rPr>
              <w:t>10,360</w:t>
            </w:r>
          </w:p>
        </w:tc>
        <w:tc>
          <w:tcPr>
            <w:tcW w:w="1200" w:type="dxa"/>
            <w:vAlign w:val="bottom"/>
            <w:tcBorders>
              <w:bottom w:val="single" w:sz="8" w:color="3E3935"/>
            </w:tcBorders>
          </w:tcPr>
          <w:p>
            <w:pPr>
              <w:jc w:val="right"/>
              <w:ind w:right="139"/>
              <w:spacing w:after="0"/>
              <w:rPr>
                <w:sz w:val="20"/>
                <w:szCs w:val="20"/>
                <w:color w:val="auto"/>
              </w:rPr>
            </w:pPr>
            <w:r>
              <w:rPr>
                <w:rFonts w:ascii="Arial" w:cs="Arial" w:eastAsia="Arial" w:hAnsi="Arial"/>
                <w:sz w:val="16"/>
                <w:szCs w:val="16"/>
                <w:color w:val="3E3935"/>
              </w:rPr>
              <w:t>10,360</w:t>
            </w:r>
          </w:p>
        </w:tc>
        <w:tc>
          <w:tcPr>
            <w:tcW w:w="1200" w:type="dxa"/>
            <w:vAlign w:val="bottom"/>
            <w:tcBorders>
              <w:bottom w:val="single" w:sz="8" w:color="3E3935"/>
            </w:tcBorders>
          </w:tcPr>
          <w:p>
            <w:pPr>
              <w:jc w:val="right"/>
              <w:spacing w:after="0"/>
              <w:rPr>
                <w:sz w:val="20"/>
                <w:szCs w:val="20"/>
                <w:color w:val="auto"/>
              </w:rPr>
            </w:pPr>
            <w:r>
              <w:rPr>
                <w:rFonts w:ascii="Arial" w:cs="Arial" w:eastAsia="Arial" w:hAnsi="Arial"/>
                <w:sz w:val="16"/>
                <w:szCs w:val="16"/>
                <w:color w:val="3E3935"/>
              </w:rPr>
              <w:t>10,360</w:t>
            </w:r>
          </w:p>
        </w:tc>
      </w:tr>
      <w:tr>
        <w:trPr>
          <w:trHeight w:val="264"/>
        </w:trPr>
        <w:tc>
          <w:tcPr>
            <w:tcW w:w="3360" w:type="dxa"/>
            <w:vAlign w:val="bottom"/>
            <w:tcBorders>
              <w:bottom w:val="single" w:sz="8" w:color="3E3935"/>
            </w:tcBorders>
          </w:tcPr>
          <w:p>
            <w:pPr>
              <w:ind w:left="100"/>
              <w:spacing w:after="0" w:line="264" w:lineRule="exact"/>
              <w:rPr>
                <w:sz w:val="20"/>
                <w:szCs w:val="20"/>
                <w:color w:val="auto"/>
              </w:rPr>
            </w:pPr>
            <w:r>
              <w:rPr>
                <w:rFonts w:ascii="Arial" w:cs="Arial" w:eastAsia="Arial" w:hAnsi="Arial"/>
                <w:sz w:val="16"/>
                <w:szCs w:val="16"/>
                <w:color w:val="3E3935"/>
              </w:rPr>
              <w:t>Other</w:t>
            </w:r>
            <w:r>
              <w:rPr>
                <w:rFonts w:ascii="Arial" w:cs="Arial" w:eastAsia="Arial" w:hAnsi="Arial"/>
                <w:sz w:val="24"/>
                <w:szCs w:val="24"/>
                <w:color w:val="3E3935"/>
                <w:vertAlign w:val="superscript"/>
              </w:rPr>
              <w:t>(6)</w:t>
            </w:r>
          </w:p>
        </w:tc>
        <w:tc>
          <w:tcPr>
            <w:tcW w:w="2060" w:type="dxa"/>
            <w:vAlign w:val="bottom"/>
            <w:tcBorders>
              <w:bottom w:val="single" w:sz="8" w:color="3E3935"/>
            </w:tcBorders>
          </w:tcPr>
          <w:p>
            <w:pPr>
              <w:jc w:val="right"/>
              <w:ind w:right="119"/>
              <w:spacing w:after="0"/>
              <w:rPr>
                <w:sz w:val="20"/>
                <w:szCs w:val="20"/>
                <w:color w:val="auto"/>
              </w:rPr>
            </w:pPr>
            <w:r>
              <w:rPr>
                <w:rFonts w:ascii="Arial" w:cs="Arial" w:eastAsia="Arial" w:hAnsi="Arial"/>
                <w:sz w:val="16"/>
                <w:szCs w:val="16"/>
                <w:color w:val="3E3935"/>
              </w:rPr>
              <w:t>—</w:t>
            </w:r>
          </w:p>
        </w:tc>
        <w:tc>
          <w:tcPr>
            <w:tcW w:w="1500" w:type="dxa"/>
            <w:vAlign w:val="bottom"/>
            <w:tcBorders>
              <w:bottom w:val="single" w:sz="8" w:color="3E3935"/>
            </w:tcBorders>
          </w:tcPr>
          <w:p>
            <w:pPr>
              <w:jc w:val="right"/>
              <w:ind w:right="119"/>
              <w:spacing w:after="0"/>
              <w:rPr>
                <w:sz w:val="20"/>
                <w:szCs w:val="20"/>
                <w:color w:val="auto"/>
              </w:rPr>
            </w:pPr>
            <w:r>
              <w:rPr>
                <w:rFonts w:ascii="Arial" w:cs="Arial" w:eastAsia="Arial" w:hAnsi="Arial"/>
                <w:sz w:val="16"/>
                <w:szCs w:val="16"/>
                <w:color w:val="3E3935"/>
              </w:rPr>
              <w:t>—</w:t>
            </w:r>
          </w:p>
        </w:tc>
        <w:tc>
          <w:tcPr>
            <w:tcW w:w="1260" w:type="dxa"/>
            <w:vAlign w:val="bottom"/>
            <w:tcBorders>
              <w:bottom w:val="single" w:sz="8" w:color="3E3935"/>
            </w:tcBorders>
          </w:tcPr>
          <w:p>
            <w:pPr>
              <w:jc w:val="right"/>
              <w:ind w:right="119"/>
              <w:spacing w:after="0"/>
              <w:rPr>
                <w:sz w:val="20"/>
                <w:szCs w:val="20"/>
                <w:color w:val="auto"/>
              </w:rPr>
            </w:pPr>
            <w:r>
              <w:rPr>
                <w:rFonts w:ascii="Arial" w:cs="Arial" w:eastAsia="Arial" w:hAnsi="Arial"/>
                <w:sz w:val="16"/>
                <w:szCs w:val="16"/>
                <w:color w:val="3E3935"/>
              </w:rPr>
              <w:t>—</w:t>
            </w:r>
          </w:p>
        </w:tc>
        <w:tc>
          <w:tcPr>
            <w:tcW w:w="1200" w:type="dxa"/>
            <w:vAlign w:val="bottom"/>
            <w:tcBorders>
              <w:bottom w:val="single" w:sz="8" w:color="3E3935"/>
            </w:tcBorders>
          </w:tcPr>
          <w:p>
            <w:pPr>
              <w:jc w:val="right"/>
              <w:ind w:right="139"/>
              <w:spacing w:after="0"/>
              <w:rPr>
                <w:sz w:val="20"/>
                <w:szCs w:val="20"/>
                <w:color w:val="auto"/>
              </w:rPr>
            </w:pPr>
            <w:r>
              <w:rPr>
                <w:rFonts w:ascii="Arial" w:cs="Arial" w:eastAsia="Arial" w:hAnsi="Arial"/>
                <w:sz w:val="16"/>
                <w:szCs w:val="16"/>
                <w:color w:val="3E3935"/>
              </w:rPr>
              <w:t>—</w:t>
            </w:r>
          </w:p>
        </w:tc>
        <w:tc>
          <w:tcPr>
            <w:tcW w:w="1200" w:type="dxa"/>
            <w:vAlign w:val="bottom"/>
            <w:tcBorders>
              <w:bottom w:val="single" w:sz="8" w:color="3E3935"/>
            </w:tcBorders>
          </w:tcPr>
          <w:p>
            <w:pPr>
              <w:jc w:val="right"/>
              <w:spacing w:after="0"/>
              <w:rPr>
                <w:sz w:val="20"/>
                <w:szCs w:val="20"/>
                <w:color w:val="auto"/>
              </w:rPr>
            </w:pPr>
            <w:r>
              <w:rPr>
                <w:rFonts w:ascii="Arial" w:cs="Arial" w:eastAsia="Arial" w:hAnsi="Arial"/>
                <w:sz w:val="16"/>
                <w:szCs w:val="16"/>
                <w:color w:val="3E3935"/>
              </w:rPr>
              <w:t>—</w:t>
            </w:r>
          </w:p>
        </w:tc>
      </w:tr>
      <w:tr>
        <w:trPr>
          <w:trHeight w:val="260"/>
        </w:trPr>
        <w:tc>
          <w:tcPr>
            <w:tcW w:w="3360" w:type="dxa"/>
            <w:vAlign w:val="bottom"/>
            <w:tcBorders>
              <w:bottom w:val="single" w:sz="8" w:color="0071CE"/>
            </w:tcBorders>
          </w:tcPr>
          <w:p>
            <w:pPr>
              <w:ind w:left="100"/>
              <w:spacing w:after="0"/>
              <w:rPr>
                <w:sz w:val="20"/>
                <w:szCs w:val="20"/>
                <w:color w:val="auto"/>
              </w:rPr>
            </w:pPr>
            <w:r>
              <w:rPr>
                <w:rFonts w:ascii="Arial" w:cs="Arial" w:eastAsia="Arial" w:hAnsi="Arial"/>
                <w:sz w:val="16"/>
                <w:szCs w:val="16"/>
                <w:b w:val="1"/>
                <w:bCs w:val="1"/>
                <w:color w:val="3E3935"/>
              </w:rPr>
              <w:t>TOTAL</w:t>
            </w:r>
          </w:p>
        </w:tc>
        <w:tc>
          <w:tcPr>
            <w:tcW w:w="2060" w:type="dxa"/>
            <w:vAlign w:val="bottom"/>
            <w:tcBorders>
              <w:bottom w:val="single" w:sz="8" w:color="0071CE"/>
            </w:tcBorders>
          </w:tcPr>
          <w:p>
            <w:pPr>
              <w:jc w:val="right"/>
              <w:ind w:right="119"/>
              <w:spacing w:after="0"/>
              <w:rPr>
                <w:sz w:val="20"/>
                <w:szCs w:val="20"/>
                <w:color w:val="auto"/>
              </w:rPr>
            </w:pPr>
            <w:r>
              <w:rPr>
                <w:rFonts w:ascii="Arial" w:cs="Arial" w:eastAsia="Arial" w:hAnsi="Arial"/>
                <w:sz w:val="16"/>
                <w:szCs w:val="16"/>
                <w:color w:val="3E3935"/>
              </w:rPr>
              <w:t>430,013</w:t>
            </w:r>
          </w:p>
        </w:tc>
        <w:tc>
          <w:tcPr>
            <w:tcW w:w="1500" w:type="dxa"/>
            <w:vAlign w:val="bottom"/>
            <w:tcBorders>
              <w:bottom w:val="single" w:sz="8" w:color="0071CE"/>
            </w:tcBorders>
          </w:tcPr>
          <w:p>
            <w:pPr>
              <w:jc w:val="right"/>
              <w:ind w:right="119"/>
              <w:spacing w:after="0"/>
              <w:rPr>
                <w:sz w:val="20"/>
                <w:szCs w:val="20"/>
                <w:color w:val="auto"/>
              </w:rPr>
            </w:pPr>
            <w:r>
              <w:rPr>
                <w:rFonts w:ascii="Arial" w:cs="Arial" w:eastAsia="Arial" w:hAnsi="Arial"/>
                <w:sz w:val="16"/>
                <w:szCs w:val="16"/>
                <w:color w:val="3E3935"/>
              </w:rPr>
              <w:t>48,595</w:t>
            </w:r>
          </w:p>
        </w:tc>
        <w:tc>
          <w:tcPr>
            <w:tcW w:w="1260" w:type="dxa"/>
            <w:vAlign w:val="bottom"/>
            <w:tcBorders>
              <w:bottom w:val="single" w:sz="8" w:color="0071CE"/>
            </w:tcBorders>
          </w:tcPr>
          <w:p>
            <w:pPr>
              <w:jc w:val="right"/>
              <w:ind w:right="119"/>
              <w:spacing w:after="0"/>
              <w:rPr>
                <w:sz w:val="20"/>
                <w:szCs w:val="20"/>
                <w:color w:val="auto"/>
              </w:rPr>
            </w:pPr>
            <w:r>
              <w:rPr>
                <w:rFonts w:ascii="Arial" w:cs="Arial" w:eastAsia="Arial" w:hAnsi="Arial"/>
                <w:sz w:val="16"/>
                <w:szCs w:val="16"/>
                <w:color w:val="3E3935"/>
              </w:rPr>
              <w:t>112,751</w:t>
            </w:r>
          </w:p>
        </w:tc>
        <w:tc>
          <w:tcPr>
            <w:tcW w:w="1200" w:type="dxa"/>
            <w:vAlign w:val="bottom"/>
            <w:tcBorders>
              <w:bottom w:val="single" w:sz="8" w:color="0071CE"/>
            </w:tcBorders>
          </w:tcPr>
          <w:p>
            <w:pPr>
              <w:jc w:val="right"/>
              <w:ind w:right="139"/>
              <w:spacing w:after="0"/>
              <w:rPr>
                <w:sz w:val="20"/>
                <w:szCs w:val="20"/>
                <w:color w:val="auto"/>
              </w:rPr>
            </w:pPr>
            <w:r>
              <w:rPr>
                <w:rFonts w:ascii="Arial" w:cs="Arial" w:eastAsia="Arial" w:hAnsi="Arial"/>
                <w:sz w:val="16"/>
                <w:szCs w:val="16"/>
                <w:color w:val="3E3935"/>
              </w:rPr>
              <w:t>30,332</w:t>
            </w:r>
          </w:p>
        </w:tc>
        <w:tc>
          <w:tcPr>
            <w:tcW w:w="1200" w:type="dxa"/>
            <w:vAlign w:val="bottom"/>
            <w:tcBorders>
              <w:bottom w:val="single" w:sz="8" w:color="0071CE"/>
            </w:tcBorders>
          </w:tcPr>
          <w:p>
            <w:pPr>
              <w:jc w:val="right"/>
              <w:spacing w:after="0"/>
              <w:rPr>
                <w:sz w:val="20"/>
                <w:szCs w:val="20"/>
                <w:color w:val="auto"/>
              </w:rPr>
            </w:pPr>
            <w:r>
              <w:rPr>
                <w:rFonts w:ascii="Arial" w:cs="Arial" w:eastAsia="Arial" w:hAnsi="Arial"/>
                <w:sz w:val="16"/>
                <w:szCs w:val="16"/>
                <w:color w:val="3E3935"/>
              </w:rPr>
              <w:t>28,267</w:t>
            </w:r>
          </w:p>
        </w:tc>
      </w:tr>
    </w:tbl>
    <w:p>
      <w:pPr>
        <w:spacing w:after="0" w:line="64" w:lineRule="exact"/>
        <w:rPr>
          <w:sz w:val="20"/>
          <w:szCs w:val="20"/>
          <w:color w:val="auto"/>
        </w:rPr>
      </w:pPr>
    </w:p>
    <w:p>
      <w:pPr>
        <w:jc w:val="both"/>
        <w:ind w:left="1080" w:hanging="532"/>
        <w:spacing w:after="0" w:line="246" w:lineRule="auto"/>
        <w:tabs>
          <w:tab w:leader="none" w:pos="1080" w:val="left"/>
        </w:tabs>
        <w:numPr>
          <w:ilvl w:val="0"/>
          <w:numId w:val="124"/>
        </w:numPr>
        <w:rPr>
          <w:rFonts w:ascii="Arial" w:cs="Arial" w:eastAsia="Arial" w:hAnsi="Arial"/>
          <w:sz w:val="18"/>
          <w:szCs w:val="18"/>
          <w:i w:val="1"/>
          <w:iCs w:val="1"/>
          <w:color w:val="3E3935"/>
        </w:rPr>
      </w:pPr>
      <w:r>
        <w:rPr>
          <w:rFonts w:ascii="Arial" w:cs="Arial" w:eastAsia="Arial" w:hAnsi="Arial"/>
          <w:sz w:val="18"/>
          <w:szCs w:val="18"/>
          <w:i w:val="1"/>
          <w:iCs w:val="1"/>
          <w:color w:val="3E3935"/>
        </w:rPr>
        <w:t>Personal travel, pursuant to Company policy as discussed on page 60, includes incremental costs (fuel, flight crew expenses, landing fees, ground transportation fees, and other miscellaneous variable expenses) associated with aircraft use. Ms. Barra serves on outside boards, which we view as directly and integrally related to her role as Chair and CEO and her professional development. The cost of travel to outside boards for 2022 was $110,437 and is excluded from the amount above.</w:t>
      </w:r>
    </w:p>
    <w:p>
      <w:pPr>
        <w:spacing w:after="0" w:line="42" w:lineRule="exact"/>
        <w:rPr>
          <w:rFonts w:ascii="Arial" w:cs="Arial" w:eastAsia="Arial" w:hAnsi="Arial"/>
          <w:sz w:val="18"/>
          <w:szCs w:val="18"/>
          <w:i w:val="1"/>
          <w:iCs w:val="1"/>
          <w:color w:val="3E3935"/>
        </w:rPr>
      </w:pPr>
    </w:p>
    <w:p>
      <w:pPr>
        <w:jc w:val="both"/>
        <w:ind w:left="1080" w:hanging="532"/>
        <w:spacing w:after="0" w:line="246" w:lineRule="auto"/>
        <w:tabs>
          <w:tab w:leader="none" w:pos="1080" w:val="left"/>
        </w:tabs>
        <w:numPr>
          <w:ilvl w:val="0"/>
          <w:numId w:val="124"/>
        </w:numPr>
        <w:rPr>
          <w:rFonts w:ascii="Arial" w:cs="Arial" w:eastAsia="Arial" w:hAnsi="Arial"/>
          <w:sz w:val="18"/>
          <w:szCs w:val="18"/>
          <w:i w:val="1"/>
          <w:iCs w:val="1"/>
          <w:color w:val="3E3935"/>
        </w:rPr>
      </w:pPr>
      <w:r>
        <w:rPr>
          <w:rFonts w:ascii="Arial" w:cs="Arial" w:eastAsia="Arial" w:hAnsi="Arial"/>
          <w:sz w:val="18"/>
          <w:szCs w:val="18"/>
          <w:i w:val="1"/>
          <w:iCs w:val="1"/>
          <w:color w:val="3E3935"/>
        </w:rPr>
        <w:t>Includes the incremental cost of providing security services and residential security system monitoring for Ms. Barra and Mr. Reuss as recommended by an independent third-party security consultant. For security personnel employed by the Company, the cost is the actual incremental cost of expenses incurred by the security personnel. Total salary, wages, and benefits are not allocated, as the Company already incurs these costs for business purposes.</w:t>
      </w:r>
    </w:p>
    <w:p>
      <w:pPr>
        <w:spacing w:after="0" w:line="42" w:lineRule="exact"/>
        <w:rPr>
          <w:rFonts w:ascii="Arial" w:cs="Arial" w:eastAsia="Arial" w:hAnsi="Arial"/>
          <w:sz w:val="18"/>
          <w:szCs w:val="18"/>
          <w:i w:val="1"/>
          <w:iCs w:val="1"/>
          <w:color w:val="3E3935"/>
        </w:rPr>
      </w:pPr>
    </w:p>
    <w:p>
      <w:pPr>
        <w:ind w:left="1080" w:hanging="532"/>
        <w:spacing w:after="0" w:line="269" w:lineRule="auto"/>
        <w:tabs>
          <w:tab w:leader="none" w:pos="1080" w:val="left"/>
        </w:tabs>
        <w:numPr>
          <w:ilvl w:val="0"/>
          <w:numId w:val="124"/>
        </w:numPr>
        <w:rPr>
          <w:rFonts w:ascii="Arial" w:cs="Arial" w:eastAsia="Arial" w:hAnsi="Arial"/>
          <w:sz w:val="18"/>
          <w:szCs w:val="18"/>
          <w:i w:val="1"/>
          <w:iCs w:val="1"/>
          <w:color w:val="3E3935"/>
        </w:rPr>
      </w:pPr>
      <w:r>
        <w:rPr>
          <w:rFonts w:ascii="Arial" w:cs="Arial" w:eastAsia="Arial" w:hAnsi="Arial"/>
          <w:sz w:val="18"/>
          <w:szCs w:val="18"/>
          <w:i w:val="1"/>
          <w:iCs w:val="1"/>
          <w:color w:val="3E3935"/>
        </w:rPr>
        <w:t>Includes the cost of providing cars, drivers, and the estimated annual lease value of Company vehicles, inclusive of fuel and insurance, driven by NEOs. The annual lease value is included because it is more reflective of the</w:t>
      </w:r>
    </w:p>
    <w:p>
      <w:pPr>
        <w:spacing w:after="0" w:line="97" w:lineRule="exact"/>
        <w:rPr>
          <w:sz w:val="20"/>
          <w:szCs w:val="20"/>
          <w:color w:val="auto"/>
        </w:rPr>
      </w:pPr>
    </w:p>
    <w:p>
      <w:pPr>
        <w:ind w:left="10660"/>
        <w:spacing w:after="0"/>
        <w:rPr>
          <w:sz w:val="20"/>
          <w:szCs w:val="20"/>
          <w:color w:val="auto"/>
        </w:rPr>
      </w:pPr>
      <w:r>
        <w:rPr>
          <w:rFonts w:ascii="Arial" w:cs="Arial" w:eastAsia="Arial" w:hAnsi="Arial"/>
          <w:sz w:val="14"/>
          <w:szCs w:val="14"/>
          <w:color w:val="0071CE"/>
        </w:rPr>
        <w:t>75</w:t>
      </w:r>
    </w:p>
    <w:p>
      <w:pPr>
        <w:sectPr>
          <w:pgSz w:w="11900" w:h="16838" w:orient="portrait"/>
          <w:cols w:equalWidth="0" w:num="1">
            <w:col w:w="11140"/>
          </w:cols>
          <w:pgMar w:left="320" w:top="482" w:right="4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11" w:lineRule="exact"/>
        <w:rPr>
          <w:sz w:val="20"/>
          <w:szCs w:val="20"/>
          <w:color w:val="auto"/>
        </w:rPr>
      </w:pPr>
    </w:p>
    <w:p>
      <w:pPr>
        <w:jc w:val="both"/>
        <w:ind w:left="1100"/>
        <w:spacing w:after="0" w:line="252" w:lineRule="auto"/>
        <w:rPr>
          <w:sz w:val="20"/>
          <w:szCs w:val="20"/>
          <w:color w:val="auto"/>
        </w:rPr>
      </w:pPr>
      <w:r>
        <w:rPr>
          <w:rFonts w:ascii="Arial" w:cs="Arial" w:eastAsia="Arial" w:hAnsi="Arial"/>
          <w:sz w:val="18"/>
          <w:szCs w:val="18"/>
          <w:i w:val="1"/>
          <w:iCs w:val="1"/>
          <w:color w:val="3E3935"/>
        </w:rPr>
        <w:t>value of the Company vehicle perquisite than of the Company’s incremental costs, which are generally significantly lower because the Company manufactures and ordinarily disposes of Company vehicles for a profit, resulting in minimal incremental costs, if any. Taxes related to imputed income are the responsibility of each participant.</w:t>
      </w:r>
    </w:p>
    <w:p>
      <w:pPr>
        <w:spacing w:after="0" w:line="37" w:lineRule="exact"/>
        <w:rPr>
          <w:sz w:val="20"/>
          <w:szCs w:val="20"/>
          <w:color w:val="auto"/>
        </w:rPr>
      </w:pPr>
    </w:p>
    <w:p>
      <w:pPr>
        <w:ind w:left="1080" w:hanging="532"/>
        <w:spacing w:after="0"/>
        <w:tabs>
          <w:tab w:leader="none" w:pos="1080" w:val="left"/>
        </w:tabs>
        <w:numPr>
          <w:ilvl w:val="0"/>
          <w:numId w:val="125"/>
        </w:numPr>
        <w:rPr>
          <w:rFonts w:ascii="Arial" w:cs="Arial" w:eastAsia="Arial" w:hAnsi="Arial"/>
          <w:sz w:val="18"/>
          <w:szCs w:val="18"/>
          <w:i w:val="1"/>
          <w:iCs w:val="1"/>
          <w:color w:val="3E3935"/>
        </w:rPr>
      </w:pPr>
      <w:r>
        <w:rPr>
          <w:rFonts w:ascii="Arial" w:cs="Arial" w:eastAsia="Arial" w:hAnsi="Arial"/>
          <w:sz w:val="18"/>
          <w:szCs w:val="18"/>
          <w:i w:val="1"/>
          <w:iCs w:val="1"/>
          <w:color w:val="3E3935"/>
        </w:rPr>
        <w:t>Reflects costs associated with executive physicals with an approved provider as discussed on page 60.</w:t>
      </w:r>
    </w:p>
    <w:p>
      <w:pPr>
        <w:spacing w:after="0" w:line="76" w:lineRule="exact"/>
        <w:rPr>
          <w:rFonts w:ascii="Arial" w:cs="Arial" w:eastAsia="Arial" w:hAnsi="Arial"/>
          <w:sz w:val="18"/>
          <w:szCs w:val="18"/>
          <w:i w:val="1"/>
          <w:iCs w:val="1"/>
          <w:color w:val="3E3935"/>
        </w:rPr>
      </w:pPr>
    </w:p>
    <w:p>
      <w:pPr>
        <w:ind w:left="1080" w:hanging="532"/>
        <w:spacing w:after="0"/>
        <w:tabs>
          <w:tab w:leader="none" w:pos="1080" w:val="left"/>
        </w:tabs>
        <w:numPr>
          <w:ilvl w:val="0"/>
          <w:numId w:val="125"/>
        </w:numPr>
        <w:rPr>
          <w:rFonts w:ascii="Arial" w:cs="Arial" w:eastAsia="Arial" w:hAnsi="Arial"/>
          <w:sz w:val="18"/>
          <w:szCs w:val="18"/>
          <w:i w:val="1"/>
          <w:iCs w:val="1"/>
          <w:color w:val="3E3935"/>
        </w:rPr>
      </w:pPr>
      <w:r>
        <w:rPr>
          <w:rFonts w:ascii="Arial" w:cs="Arial" w:eastAsia="Arial" w:hAnsi="Arial"/>
          <w:sz w:val="18"/>
          <w:szCs w:val="18"/>
          <w:i w:val="1"/>
          <w:iCs w:val="1"/>
          <w:color w:val="3E3935"/>
        </w:rPr>
        <w:t>Reflects costs associated with financial counseling and estate planning services with an approved provider.</w:t>
      </w:r>
    </w:p>
    <w:p>
      <w:pPr>
        <w:spacing w:after="0" w:line="76" w:lineRule="exact"/>
        <w:rPr>
          <w:rFonts w:ascii="Arial" w:cs="Arial" w:eastAsia="Arial" w:hAnsi="Arial"/>
          <w:sz w:val="18"/>
          <w:szCs w:val="18"/>
          <w:i w:val="1"/>
          <w:iCs w:val="1"/>
          <w:color w:val="3E3935"/>
        </w:rPr>
      </w:pPr>
    </w:p>
    <w:p>
      <w:pPr>
        <w:jc w:val="both"/>
        <w:ind w:left="1080" w:right="20" w:hanging="532"/>
        <w:spacing w:after="0" w:line="246" w:lineRule="auto"/>
        <w:tabs>
          <w:tab w:leader="none" w:pos="1080" w:val="left"/>
        </w:tabs>
        <w:numPr>
          <w:ilvl w:val="0"/>
          <w:numId w:val="125"/>
        </w:numPr>
        <w:rPr>
          <w:rFonts w:ascii="Arial" w:cs="Arial" w:eastAsia="Arial" w:hAnsi="Arial"/>
          <w:sz w:val="18"/>
          <w:szCs w:val="18"/>
          <w:i w:val="1"/>
          <w:iCs w:val="1"/>
          <w:color w:val="3E3935"/>
        </w:rPr>
      </w:pPr>
      <w:r>
        <w:rPr>
          <w:rFonts w:ascii="Arial" w:cs="Arial" w:eastAsia="Arial" w:hAnsi="Arial"/>
          <w:sz w:val="18"/>
          <w:szCs w:val="18"/>
          <w:i w:val="1"/>
          <w:iCs w:val="1"/>
          <w:color w:val="3E3935"/>
        </w:rPr>
        <w:t>Occasionally, unused tickets from sponsorship agreements are made available for personal use. Tickets are included in sponsorship agreements and typically result in no incremental costs to the Company. In 2022, there were no incremental costs associated with the personal use of tickets to GM-sponsored events. Occasionally, limited souvenirs may be included as part of a sponsorship agreement and no incremental costs are incurred by the Company.</w:t>
      </w:r>
    </w:p>
    <w:p>
      <w:pPr>
        <w:spacing w:after="0" w:line="271" w:lineRule="exact"/>
        <w:rPr>
          <w:sz w:val="20"/>
          <w:szCs w:val="20"/>
          <w:color w:val="auto"/>
        </w:rPr>
      </w:pPr>
    </w:p>
    <w:p>
      <w:pPr>
        <w:ind w:left="120"/>
        <w:spacing w:after="0"/>
        <w:rPr>
          <w:sz w:val="20"/>
          <w:szCs w:val="20"/>
          <w:color w:val="auto"/>
        </w:rPr>
      </w:pPr>
      <w:r>
        <w:rPr>
          <w:rFonts w:ascii="Arial" w:cs="Arial" w:eastAsia="Arial" w:hAnsi="Arial"/>
          <w:sz w:val="31"/>
          <w:szCs w:val="31"/>
          <w:color w:val="3E3935"/>
        </w:rPr>
        <w:t>Grants of Plan-Based Awards</w:t>
      </w:r>
    </w:p>
    <w:p>
      <w:pPr>
        <w:spacing w:after="0" w:line="166" w:lineRule="exact"/>
        <w:rPr>
          <w:sz w:val="20"/>
          <w:szCs w:val="20"/>
          <w:color w:val="auto"/>
        </w:rPr>
      </w:pPr>
    </w:p>
    <w:p>
      <w:pPr>
        <w:jc w:val="both"/>
        <w:ind w:left="120" w:right="20"/>
        <w:spacing w:after="0" w:line="234" w:lineRule="auto"/>
        <w:rPr>
          <w:sz w:val="20"/>
          <w:szCs w:val="20"/>
          <w:color w:val="auto"/>
        </w:rPr>
      </w:pPr>
      <w:r>
        <w:rPr>
          <w:rFonts w:ascii="Arial" w:cs="Arial" w:eastAsia="Arial" w:hAnsi="Arial"/>
          <w:sz w:val="20"/>
          <w:szCs w:val="20"/>
          <w:color w:val="3E3935"/>
        </w:rPr>
        <w:t>STIP awards for the 2022 performance year were made under the terms of the 2017 STIP. Equity awards granted to each NEO were made under the terms of the 2020 LTIP. PSUs vest and deliver at the end of the performance period and can be earned at a level between 0 and 200 percent of target. PSUs are based on the achievement of performance conditions relating to EBIT-adjusted Margin, Relative TSR, and EV Measures over a three-year performance period from January 1, 2022, to December 31, 2024. Stock options vest ratably over a three-year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141605</wp:posOffset>
            </wp:positionV>
            <wp:extent cx="6995160" cy="825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92" w:lineRule="exact"/>
        <w:rPr>
          <w:sz w:val="20"/>
          <w:szCs w:val="20"/>
          <w:color w:val="auto"/>
        </w:rPr>
      </w:pPr>
    </w:p>
    <w:tbl>
      <w:tblPr>
        <w:tblLayout w:type="fixed"/>
        <w:tblInd w:w="120" w:type="dxa"/>
        <w:tblCellMar>
          <w:top w:w="0" w:type="dxa"/>
          <w:left w:w="0" w:type="dxa"/>
          <w:bottom w:w="0" w:type="dxa"/>
          <w:right w:w="0" w:type="dxa"/>
        </w:tblCellMar>
      </w:tblPr>
      <w:tr>
        <w:trPr>
          <w:trHeight w:val="149"/>
        </w:trPr>
        <w:tc>
          <w:tcPr>
            <w:tcW w:w="16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3"/>
                <w:szCs w:val="13"/>
                <w:b w:val="1"/>
                <w:bCs w:val="1"/>
                <w:color w:val="00C1DE"/>
              </w:rPr>
              <w:t>All Other</w:t>
            </w:r>
          </w:p>
        </w:tc>
        <w:tc>
          <w:tcPr>
            <w:tcW w:w="800" w:type="dxa"/>
            <w:vAlign w:val="bottom"/>
          </w:tcPr>
          <w:p>
            <w:pPr>
              <w:jc w:val="right"/>
              <w:spacing w:after="0"/>
              <w:rPr>
                <w:sz w:val="20"/>
                <w:szCs w:val="20"/>
                <w:color w:val="auto"/>
              </w:rPr>
            </w:pPr>
            <w:r>
              <w:rPr>
                <w:rFonts w:ascii="Arial" w:cs="Arial" w:eastAsia="Arial" w:hAnsi="Arial"/>
                <w:sz w:val="13"/>
                <w:szCs w:val="13"/>
                <w:b w:val="1"/>
                <w:bCs w:val="1"/>
                <w:color w:val="00C1DE"/>
              </w:rPr>
              <w:t>All Other</w:t>
            </w:r>
          </w:p>
        </w:tc>
        <w:tc>
          <w:tcPr>
            <w:tcW w:w="6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16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220" w:type="dxa"/>
            <w:vAlign w:val="bottom"/>
            <w:gridSpan w:val="3"/>
          </w:tcPr>
          <w:p>
            <w:pPr>
              <w:jc w:val="center"/>
              <w:spacing w:after="0"/>
              <w:rPr>
                <w:sz w:val="20"/>
                <w:szCs w:val="20"/>
                <w:color w:val="auto"/>
              </w:rPr>
            </w:pPr>
            <w:r>
              <w:rPr>
                <w:rFonts w:ascii="Arial" w:cs="Arial" w:eastAsia="Arial" w:hAnsi="Arial"/>
                <w:sz w:val="13"/>
                <w:szCs w:val="13"/>
                <w:b w:val="1"/>
                <w:bCs w:val="1"/>
                <w:color w:val="00C1DE"/>
                <w:w w:val="97"/>
              </w:rPr>
              <w:t>Estimated Future Payouts</w:t>
            </w:r>
          </w:p>
        </w:tc>
        <w:tc>
          <w:tcPr>
            <w:tcW w:w="2080" w:type="dxa"/>
            <w:vAlign w:val="bottom"/>
            <w:gridSpan w:val="3"/>
          </w:tcPr>
          <w:p>
            <w:pPr>
              <w:jc w:val="center"/>
              <w:spacing w:after="0"/>
              <w:rPr>
                <w:sz w:val="20"/>
                <w:szCs w:val="20"/>
                <w:color w:val="auto"/>
              </w:rPr>
            </w:pPr>
            <w:r>
              <w:rPr>
                <w:rFonts w:ascii="Arial" w:cs="Arial" w:eastAsia="Arial" w:hAnsi="Arial"/>
                <w:sz w:val="13"/>
                <w:szCs w:val="13"/>
                <w:b w:val="1"/>
                <w:bCs w:val="1"/>
                <w:color w:val="00C1DE"/>
                <w:w w:val="96"/>
              </w:rPr>
              <w:t>Estimated Future Payouts</w:t>
            </w:r>
          </w:p>
        </w:tc>
        <w:tc>
          <w:tcPr>
            <w:tcW w:w="780" w:type="dxa"/>
            <w:vAlign w:val="bottom"/>
          </w:tcPr>
          <w:p>
            <w:pPr>
              <w:jc w:val="right"/>
              <w:spacing w:after="0"/>
              <w:rPr>
                <w:sz w:val="20"/>
                <w:szCs w:val="20"/>
                <w:color w:val="auto"/>
              </w:rPr>
            </w:pPr>
            <w:r>
              <w:rPr>
                <w:rFonts w:ascii="Arial" w:cs="Arial" w:eastAsia="Arial" w:hAnsi="Arial"/>
                <w:sz w:val="13"/>
                <w:szCs w:val="13"/>
                <w:b w:val="1"/>
                <w:bCs w:val="1"/>
                <w:color w:val="00C1DE"/>
              </w:rPr>
              <w:t>Stock</w:t>
            </w:r>
          </w:p>
        </w:tc>
        <w:tc>
          <w:tcPr>
            <w:tcW w:w="800" w:type="dxa"/>
            <w:vAlign w:val="bottom"/>
          </w:tcPr>
          <w:p>
            <w:pPr>
              <w:jc w:val="right"/>
              <w:spacing w:after="0"/>
              <w:rPr>
                <w:sz w:val="20"/>
                <w:szCs w:val="20"/>
                <w:color w:val="auto"/>
              </w:rPr>
            </w:pPr>
            <w:r>
              <w:rPr>
                <w:rFonts w:ascii="Arial" w:cs="Arial" w:eastAsia="Arial" w:hAnsi="Arial"/>
                <w:sz w:val="13"/>
                <w:szCs w:val="13"/>
                <w:b w:val="1"/>
                <w:bCs w:val="1"/>
                <w:color w:val="00C1DE"/>
              </w:rPr>
              <w:t>Option</w:t>
            </w:r>
          </w:p>
        </w:tc>
        <w:tc>
          <w:tcPr>
            <w:tcW w:w="640" w:type="dxa"/>
            <w:vAlign w:val="bottom"/>
          </w:tcPr>
          <w:p>
            <w:pPr>
              <w:jc w:val="right"/>
              <w:spacing w:after="0"/>
              <w:rPr>
                <w:sz w:val="20"/>
                <w:szCs w:val="20"/>
                <w:color w:val="auto"/>
              </w:rPr>
            </w:pPr>
            <w:r>
              <w:rPr>
                <w:rFonts w:ascii="Arial" w:cs="Arial" w:eastAsia="Arial" w:hAnsi="Arial"/>
                <w:sz w:val="13"/>
                <w:szCs w:val="13"/>
                <w:b w:val="1"/>
                <w:bCs w:val="1"/>
                <w:color w:val="00C1DE"/>
              </w:rPr>
              <w:t>Exercise</w:t>
            </w:r>
          </w:p>
        </w:tc>
        <w:tc>
          <w:tcPr>
            <w:tcW w:w="880" w:type="dxa"/>
            <w:vAlign w:val="bottom"/>
            <w:vMerge w:val="restart"/>
          </w:tcPr>
          <w:p>
            <w:pPr>
              <w:jc w:val="right"/>
              <w:spacing w:after="0"/>
              <w:rPr>
                <w:sz w:val="20"/>
                <w:szCs w:val="20"/>
                <w:color w:val="auto"/>
              </w:rPr>
            </w:pPr>
            <w:r>
              <w:rPr>
                <w:rFonts w:ascii="Arial" w:cs="Arial" w:eastAsia="Arial" w:hAnsi="Arial"/>
                <w:sz w:val="13"/>
                <w:szCs w:val="13"/>
                <w:b w:val="1"/>
                <w:bCs w:val="1"/>
                <w:color w:val="00C1DE"/>
              </w:rPr>
              <w:t>Grant Date</w:t>
            </w:r>
          </w:p>
        </w:tc>
        <w:tc>
          <w:tcPr>
            <w:tcW w:w="0" w:type="dxa"/>
            <w:vAlign w:val="bottom"/>
          </w:tcPr>
          <w:p>
            <w:pPr>
              <w:spacing w:after="0"/>
              <w:rPr>
                <w:sz w:val="1"/>
                <w:szCs w:val="1"/>
                <w:color w:val="auto"/>
              </w:rPr>
            </w:pPr>
          </w:p>
        </w:tc>
      </w:tr>
      <w:tr>
        <w:trPr>
          <w:trHeight w:val="135"/>
        </w:trPr>
        <w:tc>
          <w:tcPr>
            <w:tcW w:w="1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20" w:type="dxa"/>
            <w:vAlign w:val="bottom"/>
            <w:gridSpan w:val="3"/>
          </w:tcPr>
          <w:p>
            <w:pPr>
              <w:jc w:val="center"/>
              <w:spacing w:after="0" w:line="135" w:lineRule="exact"/>
              <w:rPr>
                <w:sz w:val="20"/>
                <w:szCs w:val="20"/>
                <w:color w:val="auto"/>
              </w:rPr>
            </w:pPr>
            <w:r>
              <w:rPr>
                <w:rFonts w:ascii="Arial" w:cs="Arial" w:eastAsia="Arial" w:hAnsi="Arial"/>
                <w:sz w:val="13"/>
                <w:szCs w:val="13"/>
                <w:b w:val="1"/>
                <w:bCs w:val="1"/>
                <w:color w:val="00C1DE"/>
                <w:w w:val="97"/>
              </w:rPr>
              <w:t>Under Non-Equity Incentive</w:t>
            </w:r>
          </w:p>
        </w:tc>
        <w:tc>
          <w:tcPr>
            <w:tcW w:w="2080" w:type="dxa"/>
            <w:vAlign w:val="bottom"/>
            <w:gridSpan w:val="3"/>
          </w:tcPr>
          <w:p>
            <w:pPr>
              <w:jc w:val="center"/>
              <w:spacing w:after="0" w:line="135" w:lineRule="exact"/>
              <w:rPr>
                <w:sz w:val="20"/>
                <w:szCs w:val="20"/>
                <w:color w:val="auto"/>
              </w:rPr>
            </w:pPr>
            <w:r>
              <w:rPr>
                <w:rFonts w:ascii="Arial" w:cs="Arial" w:eastAsia="Arial" w:hAnsi="Arial"/>
                <w:sz w:val="13"/>
                <w:szCs w:val="13"/>
                <w:b w:val="1"/>
                <w:bCs w:val="1"/>
                <w:color w:val="00C1DE"/>
                <w:w w:val="97"/>
              </w:rPr>
              <w:t>Under Equity Incentive</w:t>
            </w:r>
          </w:p>
        </w:tc>
        <w:tc>
          <w:tcPr>
            <w:tcW w:w="780" w:type="dxa"/>
            <w:vAlign w:val="bottom"/>
          </w:tcPr>
          <w:p>
            <w:pPr>
              <w:jc w:val="right"/>
              <w:spacing w:after="0" w:line="135" w:lineRule="exact"/>
              <w:rPr>
                <w:sz w:val="20"/>
                <w:szCs w:val="20"/>
                <w:color w:val="auto"/>
              </w:rPr>
            </w:pPr>
            <w:r>
              <w:rPr>
                <w:rFonts w:ascii="Arial" w:cs="Arial" w:eastAsia="Arial" w:hAnsi="Arial"/>
                <w:sz w:val="13"/>
                <w:szCs w:val="13"/>
                <w:b w:val="1"/>
                <w:bCs w:val="1"/>
                <w:color w:val="00C1DE"/>
              </w:rPr>
              <w:t>Awards:</w:t>
            </w:r>
          </w:p>
        </w:tc>
        <w:tc>
          <w:tcPr>
            <w:tcW w:w="800" w:type="dxa"/>
            <w:vAlign w:val="bottom"/>
          </w:tcPr>
          <w:p>
            <w:pPr>
              <w:jc w:val="right"/>
              <w:spacing w:after="0" w:line="135" w:lineRule="exact"/>
              <w:rPr>
                <w:sz w:val="20"/>
                <w:szCs w:val="20"/>
                <w:color w:val="auto"/>
              </w:rPr>
            </w:pPr>
            <w:r>
              <w:rPr>
                <w:rFonts w:ascii="Arial" w:cs="Arial" w:eastAsia="Arial" w:hAnsi="Arial"/>
                <w:sz w:val="13"/>
                <w:szCs w:val="13"/>
                <w:b w:val="1"/>
                <w:bCs w:val="1"/>
                <w:color w:val="00C1DE"/>
              </w:rPr>
              <w:t>Awards:</w:t>
            </w:r>
          </w:p>
        </w:tc>
        <w:tc>
          <w:tcPr>
            <w:tcW w:w="640" w:type="dxa"/>
            <w:vAlign w:val="bottom"/>
          </w:tcPr>
          <w:p>
            <w:pPr>
              <w:jc w:val="right"/>
              <w:spacing w:after="0" w:line="135" w:lineRule="exact"/>
              <w:rPr>
                <w:sz w:val="20"/>
                <w:szCs w:val="20"/>
                <w:color w:val="auto"/>
              </w:rPr>
            </w:pPr>
            <w:r>
              <w:rPr>
                <w:rFonts w:ascii="Arial" w:cs="Arial" w:eastAsia="Arial" w:hAnsi="Arial"/>
                <w:sz w:val="13"/>
                <w:szCs w:val="13"/>
                <w:b w:val="1"/>
                <w:bCs w:val="1"/>
                <w:color w:val="00C1DE"/>
              </w:rPr>
              <w:t>or Base</w:t>
            </w:r>
          </w:p>
        </w:tc>
        <w:tc>
          <w:tcPr>
            <w:tcW w:w="8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jc w:val="center"/>
              <w:spacing w:after="0" w:line="135" w:lineRule="exact"/>
              <w:rPr>
                <w:sz w:val="20"/>
                <w:szCs w:val="20"/>
                <w:color w:val="auto"/>
              </w:rPr>
            </w:pPr>
            <w:r>
              <w:rPr>
                <w:rFonts w:ascii="Arial" w:cs="Arial" w:eastAsia="Arial" w:hAnsi="Arial"/>
                <w:sz w:val="13"/>
                <w:szCs w:val="13"/>
                <w:b w:val="1"/>
                <w:bCs w:val="1"/>
                <w:color w:val="00C1DE"/>
                <w:w w:val="97"/>
              </w:rPr>
              <w:t>Plan Awards</w:t>
            </w:r>
          </w:p>
        </w:tc>
        <w:tc>
          <w:tcPr>
            <w:tcW w:w="680" w:type="dxa"/>
            <w:vAlign w:val="bottom"/>
          </w:tcPr>
          <w:p>
            <w:pPr>
              <w:spacing w:after="0"/>
              <w:rPr>
                <w:sz w:val="11"/>
                <w:szCs w:val="11"/>
                <w:color w:val="auto"/>
              </w:rPr>
            </w:pPr>
          </w:p>
        </w:tc>
        <w:tc>
          <w:tcPr>
            <w:tcW w:w="1440" w:type="dxa"/>
            <w:vAlign w:val="bottom"/>
            <w:gridSpan w:val="2"/>
          </w:tcPr>
          <w:p>
            <w:pPr>
              <w:jc w:val="center"/>
              <w:ind w:left="597"/>
              <w:spacing w:after="0" w:line="135" w:lineRule="exact"/>
              <w:rPr>
                <w:sz w:val="20"/>
                <w:szCs w:val="20"/>
                <w:color w:val="auto"/>
              </w:rPr>
            </w:pPr>
            <w:r>
              <w:rPr>
                <w:rFonts w:ascii="Arial" w:cs="Arial" w:eastAsia="Arial" w:hAnsi="Arial"/>
                <w:sz w:val="13"/>
                <w:szCs w:val="13"/>
                <w:b w:val="1"/>
                <w:bCs w:val="1"/>
                <w:color w:val="00C1DE"/>
                <w:w w:val="94"/>
              </w:rPr>
              <w:t>Plan Awards</w:t>
            </w:r>
          </w:p>
        </w:tc>
        <w:tc>
          <w:tcPr>
            <w:tcW w:w="64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Arial" w:cs="Arial" w:eastAsia="Arial" w:hAnsi="Arial"/>
                <w:sz w:val="13"/>
                <w:szCs w:val="13"/>
                <w:b w:val="1"/>
                <w:bCs w:val="1"/>
                <w:color w:val="00C1DE"/>
              </w:rPr>
              <w:t>Number of</w:t>
            </w:r>
          </w:p>
        </w:tc>
        <w:tc>
          <w:tcPr>
            <w:tcW w:w="800" w:type="dxa"/>
            <w:vAlign w:val="bottom"/>
          </w:tcPr>
          <w:p>
            <w:pPr>
              <w:jc w:val="right"/>
              <w:spacing w:after="0" w:line="135" w:lineRule="exact"/>
              <w:rPr>
                <w:sz w:val="20"/>
                <w:szCs w:val="20"/>
                <w:color w:val="auto"/>
              </w:rPr>
            </w:pPr>
            <w:r>
              <w:rPr>
                <w:rFonts w:ascii="Arial" w:cs="Arial" w:eastAsia="Arial" w:hAnsi="Arial"/>
                <w:sz w:val="13"/>
                <w:szCs w:val="13"/>
                <w:b w:val="1"/>
                <w:bCs w:val="1"/>
                <w:color w:val="00C1DE"/>
              </w:rPr>
              <w:t>Number of</w:t>
            </w:r>
          </w:p>
        </w:tc>
        <w:tc>
          <w:tcPr>
            <w:tcW w:w="640" w:type="dxa"/>
            <w:vAlign w:val="bottom"/>
          </w:tcPr>
          <w:p>
            <w:pPr>
              <w:jc w:val="right"/>
              <w:spacing w:after="0" w:line="135" w:lineRule="exact"/>
              <w:rPr>
                <w:sz w:val="20"/>
                <w:szCs w:val="20"/>
                <w:color w:val="auto"/>
              </w:rPr>
            </w:pPr>
            <w:r>
              <w:rPr>
                <w:rFonts w:ascii="Arial" w:cs="Arial" w:eastAsia="Arial" w:hAnsi="Arial"/>
                <w:sz w:val="13"/>
                <w:szCs w:val="13"/>
                <w:b w:val="1"/>
                <w:bCs w:val="1"/>
                <w:color w:val="00C1DE"/>
              </w:rPr>
              <w:t>Price of</w:t>
            </w:r>
          </w:p>
        </w:tc>
        <w:tc>
          <w:tcPr>
            <w:tcW w:w="880" w:type="dxa"/>
            <w:vAlign w:val="bottom"/>
          </w:tcPr>
          <w:p>
            <w:pPr>
              <w:jc w:val="right"/>
              <w:spacing w:after="0" w:line="135" w:lineRule="exact"/>
              <w:rPr>
                <w:sz w:val="20"/>
                <w:szCs w:val="20"/>
                <w:color w:val="auto"/>
              </w:rPr>
            </w:pPr>
            <w:r>
              <w:rPr>
                <w:rFonts w:ascii="Arial" w:cs="Arial" w:eastAsia="Arial" w:hAnsi="Arial"/>
                <w:sz w:val="13"/>
                <w:szCs w:val="13"/>
                <w:b w:val="1"/>
                <w:bCs w:val="1"/>
                <w:color w:val="00C1DE"/>
              </w:rPr>
              <w:t>Fair Value</w:t>
            </w:r>
          </w:p>
        </w:tc>
        <w:tc>
          <w:tcPr>
            <w:tcW w:w="0" w:type="dxa"/>
            <w:vAlign w:val="bottom"/>
          </w:tcPr>
          <w:p>
            <w:pPr>
              <w:spacing w:after="0"/>
              <w:rPr>
                <w:sz w:val="1"/>
                <w:szCs w:val="1"/>
                <w:color w:val="auto"/>
              </w:rPr>
            </w:pPr>
          </w:p>
        </w:tc>
      </w:tr>
      <w:tr>
        <w:trPr>
          <w:trHeight w:val="54"/>
        </w:trPr>
        <w:tc>
          <w:tcPr>
            <w:tcW w:w="1620" w:type="dxa"/>
            <w:vAlign w:val="bottom"/>
          </w:tcPr>
          <w:p>
            <w:pPr>
              <w:spacing w:after="0"/>
              <w:rPr>
                <w:sz w:val="4"/>
                <w:szCs w:val="4"/>
                <w:color w:val="auto"/>
              </w:rPr>
            </w:pPr>
          </w:p>
        </w:tc>
        <w:tc>
          <w:tcPr>
            <w:tcW w:w="64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Borders>
              <w:bottom w:val="single" w:sz="8" w:color="00C1DE"/>
            </w:tcBorders>
          </w:tcPr>
          <w:p>
            <w:pPr>
              <w:spacing w:after="0"/>
              <w:rPr>
                <w:sz w:val="4"/>
                <w:szCs w:val="4"/>
                <w:color w:val="auto"/>
              </w:rPr>
            </w:pPr>
          </w:p>
        </w:tc>
        <w:tc>
          <w:tcPr>
            <w:tcW w:w="820" w:type="dxa"/>
            <w:vAlign w:val="bottom"/>
            <w:tcBorders>
              <w:bottom w:val="single" w:sz="8" w:color="00C1DE"/>
            </w:tcBorders>
          </w:tcPr>
          <w:p>
            <w:pPr>
              <w:spacing w:after="0"/>
              <w:rPr>
                <w:sz w:val="4"/>
                <w:szCs w:val="4"/>
                <w:color w:val="auto"/>
              </w:rPr>
            </w:pPr>
          </w:p>
        </w:tc>
        <w:tc>
          <w:tcPr>
            <w:tcW w:w="680" w:type="dxa"/>
            <w:vAlign w:val="bottom"/>
            <w:tcBorders>
              <w:bottom w:val="single" w:sz="8" w:color="00C1DE"/>
            </w:tcBorders>
          </w:tcPr>
          <w:p>
            <w:pPr>
              <w:spacing w:after="0"/>
              <w:rPr>
                <w:sz w:val="4"/>
                <w:szCs w:val="4"/>
                <w:color w:val="auto"/>
              </w:rPr>
            </w:pPr>
          </w:p>
        </w:tc>
        <w:tc>
          <w:tcPr>
            <w:tcW w:w="780" w:type="dxa"/>
            <w:vAlign w:val="bottom"/>
            <w:tcBorders>
              <w:bottom w:val="single" w:sz="8" w:color="00C1DE"/>
            </w:tcBorders>
          </w:tcPr>
          <w:p>
            <w:pPr>
              <w:spacing w:after="0"/>
              <w:rPr>
                <w:sz w:val="4"/>
                <w:szCs w:val="4"/>
                <w:color w:val="auto"/>
              </w:rPr>
            </w:pPr>
          </w:p>
        </w:tc>
        <w:tc>
          <w:tcPr>
            <w:tcW w:w="660" w:type="dxa"/>
            <w:vAlign w:val="bottom"/>
            <w:tcBorders>
              <w:bottom w:val="single" w:sz="8" w:color="00C1DE"/>
            </w:tcBorders>
          </w:tcPr>
          <w:p>
            <w:pPr>
              <w:spacing w:after="0"/>
              <w:rPr>
                <w:sz w:val="4"/>
                <w:szCs w:val="4"/>
                <w:color w:val="auto"/>
              </w:rPr>
            </w:pPr>
          </w:p>
        </w:tc>
        <w:tc>
          <w:tcPr>
            <w:tcW w:w="640" w:type="dxa"/>
            <w:vAlign w:val="bottom"/>
            <w:tcBorders>
              <w:bottom w:val="single" w:sz="8" w:color="00C1DE"/>
            </w:tcBorders>
          </w:tcPr>
          <w:p>
            <w:pPr>
              <w:spacing w:after="0"/>
              <w:rPr>
                <w:sz w:val="4"/>
                <w:szCs w:val="4"/>
                <w:color w:val="auto"/>
              </w:rPr>
            </w:pPr>
          </w:p>
        </w:tc>
        <w:tc>
          <w:tcPr>
            <w:tcW w:w="780" w:type="dxa"/>
            <w:vAlign w:val="bottom"/>
            <w:vMerge w:val="restart"/>
          </w:tcPr>
          <w:p>
            <w:pPr>
              <w:jc w:val="right"/>
              <w:spacing w:after="0" w:line="117" w:lineRule="exact"/>
              <w:rPr>
                <w:sz w:val="20"/>
                <w:szCs w:val="20"/>
                <w:color w:val="auto"/>
              </w:rPr>
            </w:pPr>
            <w:r>
              <w:rPr>
                <w:rFonts w:ascii="Arial" w:cs="Arial" w:eastAsia="Arial" w:hAnsi="Arial"/>
                <w:sz w:val="13"/>
                <w:szCs w:val="13"/>
                <w:b w:val="1"/>
                <w:bCs w:val="1"/>
                <w:color w:val="00C1DE"/>
              </w:rPr>
              <w:t>Shares of</w:t>
            </w:r>
          </w:p>
        </w:tc>
        <w:tc>
          <w:tcPr>
            <w:tcW w:w="800" w:type="dxa"/>
            <w:vAlign w:val="bottom"/>
            <w:vMerge w:val="restart"/>
          </w:tcPr>
          <w:p>
            <w:pPr>
              <w:jc w:val="right"/>
              <w:spacing w:after="0" w:line="117" w:lineRule="exact"/>
              <w:rPr>
                <w:sz w:val="20"/>
                <w:szCs w:val="20"/>
                <w:color w:val="auto"/>
              </w:rPr>
            </w:pPr>
            <w:r>
              <w:rPr>
                <w:rFonts w:ascii="Arial" w:cs="Arial" w:eastAsia="Arial" w:hAnsi="Arial"/>
                <w:sz w:val="13"/>
                <w:szCs w:val="13"/>
                <w:b w:val="1"/>
                <w:bCs w:val="1"/>
                <w:color w:val="00C1DE"/>
              </w:rPr>
              <w:t>Securities</w:t>
            </w:r>
          </w:p>
        </w:tc>
        <w:tc>
          <w:tcPr>
            <w:tcW w:w="640" w:type="dxa"/>
            <w:vAlign w:val="bottom"/>
            <w:vMerge w:val="restart"/>
          </w:tcPr>
          <w:p>
            <w:pPr>
              <w:jc w:val="right"/>
              <w:spacing w:after="0" w:line="117" w:lineRule="exact"/>
              <w:rPr>
                <w:sz w:val="20"/>
                <w:szCs w:val="20"/>
                <w:color w:val="auto"/>
              </w:rPr>
            </w:pPr>
            <w:r>
              <w:rPr>
                <w:rFonts w:ascii="Arial" w:cs="Arial" w:eastAsia="Arial" w:hAnsi="Arial"/>
                <w:sz w:val="13"/>
                <w:szCs w:val="13"/>
                <w:b w:val="1"/>
                <w:bCs w:val="1"/>
                <w:color w:val="00C1DE"/>
              </w:rPr>
              <w:t>Option</w:t>
            </w:r>
          </w:p>
        </w:tc>
        <w:tc>
          <w:tcPr>
            <w:tcW w:w="880" w:type="dxa"/>
            <w:vAlign w:val="bottom"/>
            <w:vMerge w:val="restart"/>
          </w:tcPr>
          <w:p>
            <w:pPr>
              <w:jc w:val="right"/>
              <w:spacing w:after="0" w:line="117" w:lineRule="exact"/>
              <w:rPr>
                <w:sz w:val="20"/>
                <w:szCs w:val="20"/>
                <w:color w:val="auto"/>
              </w:rPr>
            </w:pPr>
            <w:r>
              <w:rPr>
                <w:rFonts w:ascii="Arial" w:cs="Arial" w:eastAsia="Arial" w:hAnsi="Arial"/>
                <w:sz w:val="13"/>
                <w:szCs w:val="13"/>
                <w:b w:val="1"/>
                <w:bCs w:val="1"/>
                <w:color w:val="00C1DE"/>
              </w:rPr>
              <w:t>of Stock</w:t>
            </w:r>
          </w:p>
        </w:tc>
        <w:tc>
          <w:tcPr>
            <w:tcW w:w="0" w:type="dxa"/>
            <w:vAlign w:val="bottom"/>
          </w:tcPr>
          <w:p>
            <w:pPr>
              <w:spacing w:after="0"/>
              <w:rPr>
                <w:sz w:val="1"/>
                <w:szCs w:val="1"/>
                <w:color w:val="auto"/>
              </w:rPr>
            </w:pPr>
          </w:p>
        </w:tc>
      </w:tr>
      <w:tr>
        <w:trPr>
          <w:trHeight w:val="43"/>
        </w:trPr>
        <w:tc>
          <w:tcPr>
            <w:tcW w:w="1620" w:type="dxa"/>
            <w:vAlign w:val="bottom"/>
          </w:tcPr>
          <w:p>
            <w:pPr>
              <w:spacing w:after="0"/>
              <w:rPr>
                <w:sz w:val="3"/>
                <w:szCs w:val="3"/>
                <w:color w:val="auto"/>
              </w:rPr>
            </w:pPr>
          </w:p>
        </w:tc>
        <w:tc>
          <w:tcPr>
            <w:tcW w:w="64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60" w:type="dxa"/>
            <w:vAlign w:val="bottom"/>
          </w:tcPr>
          <w:p>
            <w:pPr>
              <w:spacing w:after="0"/>
              <w:rPr>
                <w:sz w:val="3"/>
                <w:szCs w:val="3"/>
                <w:color w:val="auto"/>
              </w:rPr>
            </w:pPr>
          </w:p>
        </w:tc>
        <w:tc>
          <w:tcPr>
            <w:tcW w:w="640" w:type="dxa"/>
            <w:vAlign w:val="bottom"/>
          </w:tcPr>
          <w:p>
            <w:pPr>
              <w:spacing w:after="0"/>
              <w:rPr>
                <w:sz w:val="3"/>
                <w:szCs w:val="3"/>
                <w:color w:val="auto"/>
              </w:rPr>
            </w:pPr>
          </w:p>
        </w:tc>
        <w:tc>
          <w:tcPr>
            <w:tcW w:w="7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640" w:type="dxa"/>
            <w:vAlign w:val="bottom"/>
            <w:vMerge w:val="continue"/>
          </w:tcPr>
          <w:p>
            <w:pPr>
              <w:spacing w:after="0"/>
              <w:rPr>
                <w:sz w:val="3"/>
                <w:szCs w:val="3"/>
                <w:color w:val="auto"/>
              </w:rPr>
            </w:pPr>
          </w:p>
        </w:tc>
        <w:tc>
          <w:tcPr>
            <w:tcW w:w="88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39"/>
        </w:trPr>
        <w:tc>
          <w:tcPr>
            <w:tcW w:w="1620" w:type="dxa"/>
            <w:vAlign w:val="bottom"/>
            <w:vMerge w:val="restart"/>
          </w:tcPr>
          <w:p>
            <w:pPr>
              <w:ind w:left="60"/>
              <w:spacing w:after="0"/>
              <w:rPr>
                <w:sz w:val="20"/>
                <w:szCs w:val="20"/>
                <w:color w:val="auto"/>
              </w:rPr>
            </w:pPr>
            <w:r>
              <w:rPr>
                <w:rFonts w:ascii="Arial" w:cs="Arial" w:eastAsia="Arial" w:hAnsi="Arial"/>
                <w:sz w:val="13"/>
                <w:szCs w:val="13"/>
                <w:b w:val="1"/>
                <w:bCs w:val="1"/>
                <w:color w:val="00C1DE"/>
              </w:rPr>
              <w:t>Name</w:t>
            </w:r>
          </w:p>
        </w:tc>
        <w:tc>
          <w:tcPr>
            <w:tcW w:w="640" w:type="dxa"/>
            <w:vAlign w:val="bottom"/>
          </w:tcPr>
          <w:p>
            <w:pPr>
              <w:jc w:val="right"/>
              <w:ind w:right="17"/>
              <w:spacing w:after="0" w:line="139" w:lineRule="exact"/>
              <w:rPr>
                <w:sz w:val="20"/>
                <w:szCs w:val="20"/>
                <w:color w:val="auto"/>
              </w:rPr>
            </w:pPr>
            <w:r>
              <w:rPr>
                <w:rFonts w:ascii="Arial" w:cs="Arial" w:eastAsia="Arial" w:hAnsi="Arial"/>
                <w:sz w:val="13"/>
                <w:szCs w:val="13"/>
                <w:b w:val="1"/>
                <w:bCs w:val="1"/>
                <w:color w:val="00C1DE"/>
              </w:rPr>
              <w:t>Award</w:t>
            </w:r>
          </w:p>
        </w:tc>
        <w:tc>
          <w:tcPr>
            <w:tcW w:w="660" w:type="dxa"/>
            <w:vAlign w:val="bottom"/>
          </w:tcPr>
          <w:p>
            <w:pPr>
              <w:jc w:val="right"/>
              <w:ind w:right="17"/>
              <w:spacing w:after="0" w:line="139" w:lineRule="exact"/>
              <w:rPr>
                <w:sz w:val="20"/>
                <w:szCs w:val="20"/>
                <w:color w:val="auto"/>
              </w:rPr>
            </w:pPr>
            <w:r>
              <w:rPr>
                <w:rFonts w:ascii="Arial" w:cs="Arial" w:eastAsia="Arial" w:hAnsi="Arial"/>
                <w:sz w:val="13"/>
                <w:szCs w:val="13"/>
                <w:b w:val="1"/>
                <w:bCs w:val="1"/>
                <w:color w:val="00C1DE"/>
              </w:rPr>
              <w:t>Grant</w:t>
            </w:r>
          </w:p>
        </w:tc>
        <w:tc>
          <w:tcPr>
            <w:tcW w:w="700" w:type="dxa"/>
            <w:vAlign w:val="bottom"/>
          </w:tcPr>
          <w:p>
            <w:pPr>
              <w:jc w:val="right"/>
              <w:spacing w:after="0" w:line="139" w:lineRule="exact"/>
              <w:rPr>
                <w:sz w:val="20"/>
                <w:szCs w:val="20"/>
                <w:color w:val="auto"/>
              </w:rPr>
            </w:pPr>
            <w:r>
              <w:rPr>
                <w:rFonts w:ascii="Arial" w:cs="Arial" w:eastAsia="Arial" w:hAnsi="Arial"/>
                <w:sz w:val="13"/>
                <w:szCs w:val="13"/>
                <w:b w:val="1"/>
                <w:bCs w:val="1"/>
                <w:color w:val="00C1DE"/>
              </w:rPr>
              <w:t>Approval</w:t>
            </w:r>
          </w:p>
        </w:tc>
        <w:tc>
          <w:tcPr>
            <w:tcW w:w="720" w:type="dxa"/>
            <w:vAlign w:val="bottom"/>
          </w:tcPr>
          <w:p>
            <w:pPr>
              <w:jc w:val="right"/>
              <w:spacing w:after="0" w:line="139" w:lineRule="exact"/>
              <w:rPr>
                <w:sz w:val="20"/>
                <w:szCs w:val="20"/>
                <w:color w:val="auto"/>
              </w:rPr>
            </w:pPr>
            <w:r>
              <w:rPr>
                <w:rFonts w:ascii="Arial" w:cs="Arial" w:eastAsia="Arial" w:hAnsi="Arial"/>
                <w:sz w:val="13"/>
                <w:szCs w:val="13"/>
                <w:b w:val="1"/>
                <w:bCs w:val="1"/>
                <w:color w:val="00C1DE"/>
              </w:rPr>
              <w:t>Threshold</w:t>
            </w:r>
          </w:p>
        </w:tc>
        <w:tc>
          <w:tcPr>
            <w:tcW w:w="820" w:type="dxa"/>
            <w:vAlign w:val="bottom"/>
          </w:tcPr>
          <w:p>
            <w:pPr>
              <w:jc w:val="right"/>
              <w:ind w:right="57"/>
              <w:spacing w:after="0" w:line="139" w:lineRule="exact"/>
              <w:rPr>
                <w:sz w:val="20"/>
                <w:szCs w:val="20"/>
                <w:color w:val="auto"/>
              </w:rPr>
            </w:pPr>
            <w:r>
              <w:rPr>
                <w:rFonts w:ascii="Arial" w:cs="Arial" w:eastAsia="Arial" w:hAnsi="Arial"/>
                <w:sz w:val="13"/>
                <w:szCs w:val="13"/>
                <w:b w:val="1"/>
                <w:bCs w:val="1"/>
                <w:color w:val="00C1DE"/>
              </w:rPr>
              <w:t>Target</w:t>
            </w:r>
          </w:p>
        </w:tc>
        <w:tc>
          <w:tcPr>
            <w:tcW w:w="680" w:type="dxa"/>
            <w:vAlign w:val="bottom"/>
          </w:tcPr>
          <w:p>
            <w:pPr>
              <w:jc w:val="right"/>
              <w:spacing w:after="0" w:line="139" w:lineRule="exact"/>
              <w:rPr>
                <w:sz w:val="20"/>
                <w:szCs w:val="20"/>
                <w:color w:val="auto"/>
              </w:rPr>
            </w:pPr>
            <w:r>
              <w:rPr>
                <w:rFonts w:ascii="Arial" w:cs="Arial" w:eastAsia="Arial" w:hAnsi="Arial"/>
                <w:sz w:val="13"/>
                <w:szCs w:val="13"/>
                <w:b w:val="1"/>
                <w:bCs w:val="1"/>
                <w:color w:val="00C1DE"/>
                <w:w w:val="99"/>
              </w:rPr>
              <w:t>Maximum</w:t>
            </w:r>
          </w:p>
        </w:tc>
        <w:tc>
          <w:tcPr>
            <w:tcW w:w="780" w:type="dxa"/>
            <w:vAlign w:val="bottom"/>
          </w:tcPr>
          <w:p>
            <w:pPr>
              <w:jc w:val="right"/>
              <w:ind w:right="37"/>
              <w:spacing w:after="0" w:line="139" w:lineRule="exact"/>
              <w:rPr>
                <w:sz w:val="20"/>
                <w:szCs w:val="20"/>
                <w:color w:val="auto"/>
              </w:rPr>
            </w:pPr>
            <w:r>
              <w:rPr>
                <w:rFonts w:ascii="Arial" w:cs="Arial" w:eastAsia="Arial" w:hAnsi="Arial"/>
                <w:sz w:val="13"/>
                <w:szCs w:val="13"/>
                <w:b w:val="1"/>
                <w:bCs w:val="1"/>
                <w:color w:val="00C1DE"/>
              </w:rPr>
              <w:t>Threshold</w:t>
            </w:r>
          </w:p>
        </w:tc>
        <w:tc>
          <w:tcPr>
            <w:tcW w:w="660" w:type="dxa"/>
            <w:vAlign w:val="bottom"/>
          </w:tcPr>
          <w:p>
            <w:pPr>
              <w:jc w:val="right"/>
              <w:ind w:right="57"/>
              <w:spacing w:after="0" w:line="139" w:lineRule="exact"/>
              <w:rPr>
                <w:sz w:val="20"/>
                <w:szCs w:val="20"/>
                <w:color w:val="auto"/>
              </w:rPr>
            </w:pPr>
            <w:r>
              <w:rPr>
                <w:rFonts w:ascii="Arial" w:cs="Arial" w:eastAsia="Arial" w:hAnsi="Arial"/>
                <w:sz w:val="13"/>
                <w:szCs w:val="13"/>
                <w:b w:val="1"/>
                <w:bCs w:val="1"/>
                <w:color w:val="00C1DE"/>
              </w:rPr>
              <w:t>Target</w:t>
            </w:r>
          </w:p>
        </w:tc>
        <w:tc>
          <w:tcPr>
            <w:tcW w:w="640" w:type="dxa"/>
            <w:vAlign w:val="bottom"/>
          </w:tcPr>
          <w:p>
            <w:pPr>
              <w:jc w:val="right"/>
              <w:spacing w:after="0" w:line="139" w:lineRule="exact"/>
              <w:rPr>
                <w:sz w:val="20"/>
                <w:szCs w:val="20"/>
                <w:color w:val="auto"/>
              </w:rPr>
            </w:pPr>
            <w:r>
              <w:rPr>
                <w:rFonts w:ascii="Arial" w:cs="Arial" w:eastAsia="Arial" w:hAnsi="Arial"/>
                <w:sz w:val="13"/>
                <w:szCs w:val="13"/>
                <w:b w:val="1"/>
                <w:bCs w:val="1"/>
                <w:color w:val="00C1DE"/>
                <w:w w:val="96"/>
              </w:rPr>
              <w:t>Maximum</w:t>
            </w:r>
          </w:p>
        </w:tc>
        <w:tc>
          <w:tcPr>
            <w:tcW w:w="780" w:type="dxa"/>
            <w:vAlign w:val="bottom"/>
          </w:tcPr>
          <w:p>
            <w:pPr>
              <w:jc w:val="right"/>
              <w:spacing w:after="0" w:line="139" w:lineRule="exact"/>
              <w:rPr>
                <w:sz w:val="20"/>
                <w:szCs w:val="20"/>
                <w:color w:val="auto"/>
              </w:rPr>
            </w:pPr>
            <w:r>
              <w:rPr>
                <w:rFonts w:ascii="Arial" w:cs="Arial" w:eastAsia="Arial" w:hAnsi="Arial"/>
                <w:sz w:val="13"/>
                <w:szCs w:val="13"/>
                <w:b w:val="1"/>
                <w:bCs w:val="1"/>
                <w:color w:val="00C1DE"/>
              </w:rPr>
              <w:t>Stock or</w:t>
            </w:r>
          </w:p>
        </w:tc>
        <w:tc>
          <w:tcPr>
            <w:tcW w:w="800" w:type="dxa"/>
            <w:vAlign w:val="bottom"/>
          </w:tcPr>
          <w:p>
            <w:pPr>
              <w:jc w:val="right"/>
              <w:spacing w:after="0" w:line="139" w:lineRule="exact"/>
              <w:rPr>
                <w:sz w:val="20"/>
                <w:szCs w:val="20"/>
                <w:color w:val="auto"/>
              </w:rPr>
            </w:pPr>
            <w:r>
              <w:rPr>
                <w:rFonts w:ascii="Arial" w:cs="Arial" w:eastAsia="Arial" w:hAnsi="Arial"/>
                <w:sz w:val="13"/>
                <w:szCs w:val="13"/>
                <w:b w:val="1"/>
                <w:bCs w:val="1"/>
                <w:color w:val="00C1DE"/>
              </w:rPr>
              <w:t>Underlying</w:t>
            </w:r>
          </w:p>
        </w:tc>
        <w:tc>
          <w:tcPr>
            <w:tcW w:w="640" w:type="dxa"/>
            <w:vAlign w:val="bottom"/>
          </w:tcPr>
          <w:p>
            <w:pPr>
              <w:jc w:val="right"/>
              <w:spacing w:after="0" w:line="139" w:lineRule="exact"/>
              <w:rPr>
                <w:sz w:val="20"/>
                <w:szCs w:val="20"/>
                <w:color w:val="auto"/>
              </w:rPr>
            </w:pPr>
            <w:r>
              <w:rPr>
                <w:rFonts w:ascii="Arial" w:cs="Arial" w:eastAsia="Arial" w:hAnsi="Arial"/>
                <w:sz w:val="13"/>
                <w:szCs w:val="13"/>
                <w:b w:val="1"/>
                <w:bCs w:val="1"/>
                <w:color w:val="00C1DE"/>
              </w:rPr>
              <w:t>Awards</w:t>
            </w:r>
          </w:p>
        </w:tc>
        <w:tc>
          <w:tcPr>
            <w:tcW w:w="880" w:type="dxa"/>
            <w:vAlign w:val="bottom"/>
          </w:tcPr>
          <w:p>
            <w:pPr>
              <w:jc w:val="right"/>
              <w:spacing w:after="0" w:line="139" w:lineRule="exact"/>
              <w:rPr>
                <w:sz w:val="20"/>
                <w:szCs w:val="20"/>
                <w:color w:val="auto"/>
              </w:rPr>
            </w:pPr>
            <w:r>
              <w:rPr>
                <w:rFonts w:ascii="Arial" w:cs="Arial" w:eastAsia="Arial" w:hAnsi="Arial"/>
                <w:sz w:val="13"/>
                <w:szCs w:val="13"/>
                <w:b w:val="1"/>
                <w:bCs w:val="1"/>
                <w:color w:val="00C1DE"/>
              </w:rPr>
              <w:t>and Option</w:t>
            </w:r>
          </w:p>
        </w:tc>
        <w:tc>
          <w:tcPr>
            <w:tcW w:w="0" w:type="dxa"/>
            <w:vAlign w:val="bottom"/>
          </w:tcPr>
          <w:p>
            <w:pPr>
              <w:spacing w:after="0"/>
              <w:rPr>
                <w:sz w:val="1"/>
                <w:szCs w:val="1"/>
                <w:color w:val="auto"/>
              </w:rPr>
            </w:pPr>
          </w:p>
        </w:tc>
      </w:tr>
      <w:tr>
        <w:trPr>
          <w:trHeight w:val="189"/>
        </w:trPr>
        <w:tc>
          <w:tcPr>
            <w:tcW w:w="1620" w:type="dxa"/>
            <w:vAlign w:val="bottom"/>
            <w:tcBorders>
              <w:bottom w:val="single" w:sz="8" w:color="00C1DE"/>
            </w:tcBorders>
            <w:vMerge w:val="continue"/>
          </w:tcPr>
          <w:p>
            <w:pPr>
              <w:spacing w:after="0"/>
              <w:rPr>
                <w:sz w:val="16"/>
                <w:szCs w:val="16"/>
                <w:color w:val="auto"/>
              </w:rPr>
            </w:pPr>
          </w:p>
        </w:tc>
        <w:tc>
          <w:tcPr>
            <w:tcW w:w="640" w:type="dxa"/>
            <w:vAlign w:val="bottom"/>
            <w:tcBorders>
              <w:bottom w:val="single" w:sz="8" w:color="00C1DE"/>
            </w:tcBorders>
          </w:tcPr>
          <w:p>
            <w:pPr>
              <w:jc w:val="right"/>
              <w:ind w:right="17"/>
              <w:spacing w:after="0"/>
              <w:rPr>
                <w:sz w:val="20"/>
                <w:szCs w:val="20"/>
                <w:color w:val="auto"/>
              </w:rPr>
            </w:pPr>
            <w:r>
              <w:rPr>
                <w:rFonts w:ascii="Arial" w:cs="Arial" w:eastAsia="Arial" w:hAnsi="Arial"/>
                <w:sz w:val="13"/>
                <w:szCs w:val="13"/>
                <w:b w:val="1"/>
                <w:bCs w:val="1"/>
                <w:color w:val="00C1DE"/>
              </w:rPr>
              <w:t>Type</w:t>
            </w:r>
          </w:p>
        </w:tc>
        <w:tc>
          <w:tcPr>
            <w:tcW w:w="660" w:type="dxa"/>
            <w:vAlign w:val="bottom"/>
            <w:tcBorders>
              <w:bottom w:val="single" w:sz="8" w:color="00C1DE"/>
            </w:tcBorders>
          </w:tcPr>
          <w:p>
            <w:pPr>
              <w:jc w:val="right"/>
              <w:ind w:right="17"/>
              <w:spacing w:after="0"/>
              <w:rPr>
                <w:sz w:val="20"/>
                <w:szCs w:val="20"/>
                <w:color w:val="auto"/>
              </w:rPr>
            </w:pPr>
            <w:r>
              <w:rPr>
                <w:rFonts w:ascii="Arial" w:cs="Arial" w:eastAsia="Arial" w:hAnsi="Arial"/>
                <w:sz w:val="13"/>
                <w:szCs w:val="13"/>
                <w:b w:val="1"/>
                <w:bCs w:val="1"/>
                <w:color w:val="00C1DE"/>
              </w:rPr>
              <w:t>Date</w:t>
            </w:r>
          </w:p>
        </w:tc>
        <w:tc>
          <w:tcPr>
            <w:tcW w:w="700" w:type="dxa"/>
            <w:vAlign w:val="bottom"/>
            <w:tcBorders>
              <w:bottom w:val="single" w:sz="8" w:color="00C1DE"/>
            </w:tcBorders>
          </w:tcPr>
          <w:p>
            <w:pPr>
              <w:jc w:val="right"/>
              <w:spacing w:after="0"/>
              <w:rPr>
                <w:sz w:val="20"/>
                <w:szCs w:val="20"/>
                <w:color w:val="auto"/>
              </w:rPr>
            </w:pPr>
            <w:r>
              <w:rPr>
                <w:rFonts w:ascii="Arial" w:cs="Arial" w:eastAsia="Arial" w:hAnsi="Arial"/>
                <w:sz w:val="13"/>
                <w:szCs w:val="13"/>
                <w:b w:val="1"/>
                <w:bCs w:val="1"/>
                <w:color w:val="00C1DE"/>
              </w:rPr>
              <w:t>Date</w:t>
            </w:r>
          </w:p>
        </w:tc>
        <w:tc>
          <w:tcPr>
            <w:tcW w:w="720" w:type="dxa"/>
            <w:vAlign w:val="bottom"/>
            <w:tcBorders>
              <w:bottom w:val="single" w:sz="8" w:color="00C1DE"/>
            </w:tcBorders>
          </w:tcPr>
          <w:p>
            <w:pPr>
              <w:jc w:val="right"/>
              <w:spacing w:after="0"/>
              <w:rPr>
                <w:sz w:val="20"/>
                <w:szCs w:val="20"/>
                <w:color w:val="auto"/>
              </w:rPr>
            </w:pPr>
            <w:r>
              <w:rPr>
                <w:rFonts w:ascii="Arial" w:cs="Arial" w:eastAsia="Arial" w:hAnsi="Arial"/>
                <w:sz w:val="13"/>
                <w:szCs w:val="13"/>
                <w:b w:val="1"/>
                <w:bCs w:val="1"/>
                <w:color w:val="00C1DE"/>
              </w:rPr>
              <w:t>($)</w:t>
            </w:r>
          </w:p>
        </w:tc>
        <w:tc>
          <w:tcPr>
            <w:tcW w:w="820" w:type="dxa"/>
            <w:vAlign w:val="bottom"/>
            <w:tcBorders>
              <w:bottom w:val="single" w:sz="8" w:color="00C1DE"/>
            </w:tcBorders>
          </w:tcPr>
          <w:p>
            <w:pPr>
              <w:jc w:val="right"/>
              <w:ind w:right="57"/>
              <w:spacing w:after="0"/>
              <w:rPr>
                <w:sz w:val="20"/>
                <w:szCs w:val="20"/>
                <w:color w:val="auto"/>
              </w:rPr>
            </w:pPr>
            <w:r>
              <w:rPr>
                <w:rFonts w:ascii="Arial" w:cs="Arial" w:eastAsia="Arial" w:hAnsi="Arial"/>
                <w:sz w:val="13"/>
                <w:szCs w:val="13"/>
                <w:b w:val="1"/>
                <w:bCs w:val="1"/>
                <w:color w:val="00C1DE"/>
              </w:rPr>
              <w:t>($)</w:t>
            </w:r>
          </w:p>
        </w:tc>
        <w:tc>
          <w:tcPr>
            <w:tcW w:w="680" w:type="dxa"/>
            <w:vAlign w:val="bottom"/>
            <w:tcBorders>
              <w:bottom w:val="single" w:sz="8" w:color="00C1DE"/>
            </w:tcBorders>
          </w:tcPr>
          <w:p>
            <w:pPr>
              <w:jc w:val="right"/>
              <w:spacing w:after="0"/>
              <w:rPr>
                <w:sz w:val="20"/>
                <w:szCs w:val="20"/>
                <w:color w:val="auto"/>
              </w:rPr>
            </w:pPr>
            <w:r>
              <w:rPr>
                <w:rFonts w:ascii="Arial" w:cs="Arial" w:eastAsia="Arial" w:hAnsi="Arial"/>
                <w:sz w:val="13"/>
                <w:szCs w:val="13"/>
                <w:b w:val="1"/>
                <w:bCs w:val="1"/>
                <w:color w:val="00C1DE"/>
              </w:rPr>
              <w:t>($)</w:t>
            </w:r>
          </w:p>
        </w:tc>
        <w:tc>
          <w:tcPr>
            <w:tcW w:w="780" w:type="dxa"/>
            <w:vAlign w:val="bottom"/>
            <w:tcBorders>
              <w:bottom w:val="single" w:sz="8" w:color="00C1DE"/>
            </w:tcBorders>
          </w:tcPr>
          <w:p>
            <w:pPr>
              <w:jc w:val="right"/>
              <w:ind w:right="37"/>
              <w:spacing w:after="0"/>
              <w:rPr>
                <w:sz w:val="20"/>
                <w:szCs w:val="20"/>
                <w:color w:val="auto"/>
              </w:rPr>
            </w:pPr>
            <w:r>
              <w:rPr>
                <w:rFonts w:ascii="Arial" w:cs="Arial" w:eastAsia="Arial" w:hAnsi="Arial"/>
                <w:sz w:val="13"/>
                <w:szCs w:val="13"/>
                <w:b w:val="1"/>
                <w:bCs w:val="1"/>
                <w:color w:val="00C1DE"/>
              </w:rPr>
              <w:t>(#)</w:t>
            </w:r>
          </w:p>
        </w:tc>
        <w:tc>
          <w:tcPr>
            <w:tcW w:w="660" w:type="dxa"/>
            <w:vAlign w:val="bottom"/>
            <w:tcBorders>
              <w:bottom w:val="single" w:sz="8" w:color="00C1DE"/>
            </w:tcBorders>
          </w:tcPr>
          <w:p>
            <w:pPr>
              <w:jc w:val="right"/>
              <w:ind w:right="57"/>
              <w:spacing w:after="0"/>
              <w:rPr>
                <w:sz w:val="20"/>
                <w:szCs w:val="20"/>
                <w:color w:val="auto"/>
              </w:rPr>
            </w:pPr>
            <w:r>
              <w:rPr>
                <w:rFonts w:ascii="Arial" w:cs="Arial" w:eastAsia="Arial" w:hAnsi="Arial"/>
                <w:sz w:val="13"/>
                <w:szCs w:val="13"/>
                <w:b w:val="1"/>
                <w:bCs w:val="1"/>
                <w:color w:val="00C1DE"/>
              </w:rPr>
              <w:t>(#)</w:t>
            </w:r>
          </w:p>
        </w:tc>
        <w:tc>
          <w:tcPr>
            <w:tcW w:w="640" w:type="dxa"/>
            <w:vAlign w:val="bottom"/>
            <w:tcBorders>
              <w:bottom w:val="single" w:sz="8" w:color="00C1DE"/>
            </w:tcBorders>
          </w:tcPr>
          <w:p>
            <w:pPr>
              <w:jc w:val="right"/>
              <w:spacing w:after="0"/>
              <w:rPr>
                <w:sz w:val="20"/>
                <w:szCs w:val="20"/>
                <w:color w:val="auto"/>
              </w:rPr>
            </w:pPr>
            <w:r>
              <w:rPr>
                <w:rFonts w:ascii="Arial" w:cs="Arial" w:eastAsia="Arial" w:hAnsi="Arial"/>
                <w:sz w:val="13"/>
                <w:szCs w:val="13"/>
                <w:b w:val="1"/>
                <w:bCs w:val="1"/>
                <w:color w:val="00C1DE"/>
              </w:rPr>
              <w:t>(#)</w:t>
            </w:r>
          </w:p>
        </w:tc>
        <w:tc>
          <w:tcPr>
            <w:tcW w:w="780" w:type="dxa"/>
            <w:vAlign w:val="bottom"/>
            <w:tcBorders>
              <w:bottom w:val="single" w:sz="8" w:color="00C1DE"/>
            </w:tcBorders>
          </w:tcPr>
          <w:p>
            <w:pPr>
              <w:jc w:val="right"/>
              <w:spacing w:after="0"/>
              <w:rPr>
                <w:sz w:val="20"/>
                <w:szCs w:val="20"/>
                <w:color w:val="auto"/>
              </w:rPr>
            </w:pPr>
            <w:r>
              <w:rPr>
                <w:rFonts w:ascii="Arial" w:cs="Arial" w:eastAsia="Arial" w:hAnsi="Arial"/>
                <w:sz w:val="13"/>
                <w:szCs w:val="13"/>
                <w:b w:val="1"/>
                <w:bCs w:val="1"/>
                <w:color w:val="00C1DE"/>
              </w:rPr>
              <w:t>Units (#)</w:t>
            </w:r>
          </w:p>
        </w:tc>
        <w:tc>
          <w:tcPr>
            <w:tcW w:w="800" w:type="dxa"/>
            <w:vAlign w:val="bottom"/>
            <w:tcBorders>
              <w:bottom w:val="single" w:sz="8" w:color="00C1DE"/>
            </w:tcBorders>
          </w:tcPr>
          <w:p>
            <w:pPr>
              <w:jc w:val="right"/>
              <w:spacing w:after="0"/>
              <w:rPr>
                <w:sz w:val="20"/>
                <w:szCs w:val="20"/>
                <w:color w:val="auto"/>
              </w:rPr>
            </w:pPr>
            <w:r>
              <w:rPr>
                <w:rFonts w:ascii="Arial" w:cs="Arial" w:eastAsia="Arial" w:hAnsi="Arial"/>
                <w:sz w:val="13"/>
                <w:szCs w:val="13"/>
                <w:b w:val="1"/>
                <w:bCs w:val="1"/>
                <w:color w:val="00C1DE"/>
              </w:rPr>
              <w:t>Options (#)</w:t>
            </w:r>
          </w:p>
        </w:tc>
        <w:tc>
          <w:tcPr>
            <w:tcW w:w="640" w:type="dxa"/>
            <w:vAlign w:val="bottom"/>
            <w:tcBorders>
              <w:bottom w:val="single" w:sz="8" w:color="00C1DE"/>
            </w:tcBorders>
          </w:tcPr>
          <w:p>
            <w:pPr>
              <w:jc w:val="right"/>
              <w:spacing w:after="0"/>
              <w:rPr>
                <w:sz w:val="20"/>
                <w:szCs w:val="20"/>
                <w:color w:val="auto"/>
              </w:rPr>
            </w:pPr>
            <w:r>
              <w:rPr>
                <w:rFonts w:ascii="Arial" w:cs="Arial" w:eastAsia="Arial" w:hAnsi="Arial"/>
                <w:sz w:val="13"/>
                <w:szCs w:val="13"/>
                <w:b w:val="1"/>
                <w:bCs w:val="1"/>
                <w:color w:val="00C1DE"/>
              </w:rPr>
              <w:t>($/share)</w:t>
            </w:r>
          </w:p>
        </w:tc>
        <w:tc>
          <w:tcPr>
            <w:tcW w:w="880" w:type="dxa"/>
            <w:vAlign w:val="bottom"/>
            <w:tcBorders>
              <w:bottom w:val="single" w:sz="8" w:color="00C1DE"/>
            </w:tcBorders>
          </w:tcPr>
          <w:p>
            <w:pPr>
              <w:jc w:val="right"/>
              <w:spacing w:after="0" w:line="189" w:lineRule="exact"/>
              <w:rPr>
                <w:sz w:val="20"/>
                <w:szCs w:val="20"/>
                <w:color w:val="auto"/>
              </w:rPr>
            </w:pPr>
            <w:r>
              <w:rPr>
                <w:rFonts w:ascii="Arial" w:cs="Arial" w:eastAsia="Arial" w:hAnsi="Arial"/>
                <w:sz w:val="13"/>
                <w:szCs w:val="13"/>
                <w:b w:val="1"/>
                <w:bCs w:val="1"/>
                <w:color w:val="00C1DE"/>
              </w:rPr>
              <w:t>Awards ($)</w:t>
            </w:r>
            <w:r>
              <w:rPr>
                <w:rFonts w:ascii="Arial" w:cs="Arial" w:eastAsia="Arial" w:hAnsi="Arial"/>
                <w:sz w:val="18"/>
                <w:szCs w:val="18"/>
                <w:b w:val="1"/>
                <w:bCs w:val="1"/>
                <w:color w:val="00C1DE"/>
                <w:vertAlign w:val="superscript"/>
              </w:rPr>
              <w:t>(1)</w:t>
            </w:r>
          </w:p>
        </w:tc>
        <w:tc>
          <w:tcPr>
            <w:tcW w:w="0" w:type="dxa"/>
            <w:vAlign w:val="bottom"/>
          </w:tcPr>
          <w:p>
            <w:pPr>
              <w:spacing w:after="0"/>
              <w:rPr>
                <w:sz w:val="1"/>
                <w:szCs w:val="1"/>
                <w:color w:val="auto"/>
              </w:rPr>
            </w:pPr>
          </w:p>
        </w:tc>
      </w:tr>
      <w:tr>
        <w:trPr>
          <w:trHeight w:val="196"/>
        </w:trPr>
        <w:tc>
          <w:tcPr>
            <w:tcW w:w="1620" w:type="dxa"/>
            <w:vAlign w:val="bottom"/>
          </w:tcPr>
          <w:p>
            <w:pPr>
              <w:ind w:left="60"/>
              <w:spacing w:after="0"/>
              <w:rPr>
                <w:sz w:val="20"/>
                <w:szCs w:val="20"/>
                <w:color w:val="auto"/>
              </w:rPr>
            </w:pPr>
            <w:r>
              <w:rPr>
                <w:rFonts w:ascii="Arial" w:cs="Arial" w:eastAsia="Arial" w:hAnsi="Arial"/>
                <w:sz w:val="13"/>
                <w:szCs w:val="13"/>
                <w:color w:val="3E3935"/>
              </w:rPr>
              <w:t>Mary T. Barra</w:t>
            </w:r>
          </w:p>
        </w:tc>
        <w:tc>
          <w:tcPr>
            <w:tcW w:w="640" w:type="dxa"/>
            <w:vAlign w:val="bottom"/>
          </w:tcPr>
          <w:p>
            <w:pPr>
              <w:jc w:val="right"/>
              <w:ind w:right="17"/>
              <w:spacing w:after="0"/>
              <w:rPr>
                <w:sz w:val="20"/>
                <w:szCs w:val="20"/>
                <w:color w:val="auto"/>
              </w:rPr>
            </w:pPr>
            <w:r>
              <w:rPr>
                <w:rFonts w:ascii="Arial" w:cs="Arial" w:eastAsia="Arial" w:hAnsi="Arial"/>
                <w:sz w:val="13"/>
                <w:szCs w:val="13"/>
                <w:color w:val="3E3935"/>
              </w:rPr>
              <w:t>STIP</w:t>
            </w:r>
          </w:p>
        </w:tc>
        <w:tc>
          <w:tcPr>
            <w:tcW w:w="660" w:type="dxa"/>
            <w:vAlign w:val="bottom"/>
          </w:tcPr>
          <w:p>
            <w:pPr>
              <w:jc w:val="right"/>
              <w:ind w:right="17"/>
              <w:spacing w:after="0"/>
              <w:rPr>
                <w:sz w:val="20"/>
                <w:szCs w:val="20"/>
                <w:color w:val="auto"/>
              </w:rPr>
            </w:pPr>
            <w:r>
              <w:rPr>
                <w:rFonts w:ascii="Arial" w:cs="Arial" w:eastAsia="Arial" w:hAnsi="Arial"/>
                <w:sz w:val="13"/>
                <w:szCs w:val="13"/>
                <w:color w:val="3E3935"/>
              </w:rPr>
              <w:t>1/1/2022</w:t>
            </w:r>
          </w:p>
        </w:tc>
        <w:tc>
          <w:tcPr>
            <w:tcW w:w="700" w:type="dxa"/>
            <w:vAlign w:val="bottom"/>
          </w:tcPr>
          <w:p>
            <w:pPr>
              <w:jc w:val="right"/>
              <w:spacing w:after="0"/>
              <w:rPr>
                <w:sz w:val="20"/>
                <w:szCs w:val="20"/>
                <w:color w:val="auto"/>
              </w:rPr>
            </w:pPr>
            <w:r>
              <w:rPr>
                <w:rFonts w:ascii="Arial" w:cs="Arial" w:eastAsia="Arial" w:hAnsi="Arial"/>
                <w:sz w:val="13"/>
                <w:szCs w:val="13"/>
                <w:color w:val="3E3935"/>
              </w:rPr>
              <w:t>12/6/2021</w:t>
            </w:r>
          </w:p>
        </w:tc>
        <w:tc>
          <w:tcPr>
            <w:tcW w:w="720" w:type="dxa"/>
            <w:vAlign w:val="bottom"/>
          </w:tcPr>
          <w:p>
            <w:pPr>
              <w:jc w:val="right"/>
              <w:spacing w:after="0"/>
              <w:rPr>
                <w:sz w:val="20"/>
                <w:szCs w:val="20"/>
                <w:color w:val="auto"/>
              </w:rPr>
            </w:pPr>
            <w:r>
              <w:rPr>
                <w:rFonts w:ascii="Arial" w:cs="Arial" w:eastAsia="Arial" w:hAnsi="Arial"/>
                <w:sz w:val="13"/>
                <w:szCs w:val="13"/>
                <w:color w:val="3E3935"/>
              </w:rPr>
              <w:t>262,500</w:t>
            </w:r>
          </w:p>
        </w:tc>
        <w:tc>
          <w:tcPr>
            <w:tcW w:w="820" w:type="dxa"/>
            <w:vAlign w:val="bottom"/>
          </w:tcPr>
          <w:p>
            <w:pPr>
              <w:jc w:val="right"/>
              <w:ind w:right="57"/>
              <w:spacing w:after="0"/>
              <w:rPr>
                <w:sz w:val="20"/>
                <w:szCs w:val="20"/>
                <w:color w:val="auto"/>
              </w:rPr>
            </w:pPr>
            <w:r>
              <w:rPr>
                <w:rFonts w:ascii="Arial" w:cs="Arial" w:eastAsia="Arial" w:hAnsi="Arial"/>
                <w:sz w:val="13"/>
                <w:szCs w:val="13"/>
                <w:color w:val="3E3935"/>
              </w:rPr>
              <w:t>4,200,000</w:t>
            </w:r>
          </w:p>
        </w:tc>
        <w:tc>
          <w:tcPr>
            <w:tcW w:w="680" w:type="dxa"/>
            <w:vAlign w:val="bottom"/>
          </w:tcPr>
          <w:p>
            <w:pPr>
              <w:jc w:val="right"/>
              <w:spacing w:after="0"/>
              <w:rPr>
                <w:sz w:val="20"/>
                <w:szCs w:val="20"/>
                <w:color w:val="auto"/>
              </w:rPr>
            </w:pPr>
            <w:r>
              <w:rPr>
                <w:rFonts w:ascii="Arial" w:cs="Arial" w:eastAsia="Arial" w:hAnsi="Arial"/>
                <w:sz w:val="13"/>
                <w:szCs w:val="13"/>
                <w:color w:val="3E3935"/>
              </w:rPr>
              <w:t>8,400,000</w:t>
            </w:r>
          </w:p>
        </w:tc>
        <w:tc>
          <w:tcPr>
            <w:tcW w:w="7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1620" w:type="dxa"/>
            <w:vAlign w:val="bottom"/>
          </w:tcPr>
          <w:p>
            <w:pPr>
              <w:spacing w:after="0"/>
              <w:rPr>
                <w:sz w:val="4"/>
                <w:szCs w:val="4"/>
                <w:color w:val="auto"/>
              </w:rPr>
            </w:pPr>
          </w:p>
        </w:tc>
        <w:tc>
          <w:tcPr>
            <w:tcW w:w="640" w:type="dxa"/>
            <w:vAlign w:val="bottom"/>
            <w:tcBorders>
              <w:bottom w:val="single" w:sz="8" w:color="3E3935"/>
            </w:tcBorders>
          </w:tcPr>
          <w:p>
            <w:pPr>
              <w:spacing w:after="0"/>
              <w:rPr>
                <w:sz w:val="4"/>
                <w:szCs w:val="4"/>
                <w:color w:val="auto"/>
              </w:rPr>
            </w:pPr>
          </w:p>
        </w:tc>
        <w:tc>
          <w:tcPr>
            <w:tcW w:w="660" w:type="dxa"/>
            <w:vAlign w:val="bottom"/>
            <w:tcBorders>
              <w:bottom w:val="single" w:sz="8" w:color="3E3935"/>
            </w:tcBorders>
          </w:tcPr>
          <w:p>
            <w:pPr>
              <w:spacing w:after="0"/>
              <w:rPr>
                <w:sz w:val="4"/>
                <w:szCs w:val="4"/>
                <w:color w:val="auto"/>
              </w:rPr>
            </w:pPr>
          </w:p>
        </w:tc>
        <w:tc>
          <w:tcPr>
            <w:tcW w:w="700" w:type="dxa"/>
            <w:vAlign w:val="bottom"/>
            <w:tcBorders>
              <w:bottom w:val="single" w:sz="8" w:color="3E3935"/>
            </w:tcBorders>
          </w:tcPr>
          <w:p>
            <w:pPr>
              <w:spacing w:after="0"/>
              <w:rPr>
                <w:sz w:val="4"/>
                <w:szCs w:val="4"/>
                <w:color w:val="auto"/>
              </w:rPr>
            </w:pPr>
          </w:p>
        </w:tc>
        <w:tc>
          <w:tcPr>
            <w:tcW w:w="720" w:type="dxa"/>
            <w:vAlign w:val="bottom"/>
            <w:tcBorders>
              <w:bottom w:val="single" w:sz="8" w:color="3E3935"/>
            </w:tcBorders>
          </w:tcPr>
          <w:p>
            <w:pPr>
              <w:spacing w:after="0"/>
              <w:rPr>
                <w:sz w:val="4"/>
                <w:szCs w:val="4"/>
                <w:color w:val="auto"/>
              </w:rPr>
            </w:pPr>
          </w:p>
        </w:tc>
        <w:tc>
          <w:tcPr>
            <w:tcW w:w="820" w:type="dxa"/>
            <w:vAlign w:val="bottom"/>
            <w:tcBorders>
              <w:bottom w:val="single" w:sz="8" w:color="3E3935"/>
            </w:tcBorders>
          </w:tcPr>
          <w:p>
            <w:pPr>
              <w:spacing w:after="0"/>
              <w:rPr>
                <w:sz w:val="4"/>
                <w:szCs w:val="4"/>
                <w:color w:val="auto"/>
              </w:rPr>
            </w:pPr>
          </w:p>
        </w:tc>
        <w:tc>
          <w:tcPr>
            <w:tcW w:w="680" w:type="dxa"/>
            <w:vAlign w:val="bottom"/>
            <w:tcBorders>
              <w:bottom w:val="single" w:sz="8" w:color="3E3935"/>
            </w:tcBorders>
          </w:tcPr>
          <w:p>
            <w:pPr>
              <w:spacing w:after="0"/>
              <w:rPr>
                <w:sz w:val="4"/>
                <w:szCs w:val="4"/>
                <w:color w:val="auto"/>
              </w:rPr>
            </w:pPr>
          </w:p>
        </w:tc>
        <w:tc>
          <w:tcPr>
            <w:tcW w:w="780" w:type="dxa"/>
            <w:vAlign w:val="bottom"/>
            <w:tcBorders>
              <w:bottom w:val="single" w:sz="8" w:color="3E3935"/>
            </w:tcBorders>
          </w:tcPr>
          <w:p>
            <w:pPr>
              <w:spacing w:after="0"/>
              <w:rPr>
                <w:sz w:val="4"/>
                <w:szCs w:val="4"/>
                <w:color w:val="auto"/>
              </w:rPr>
            </w:pPr>
          </w:p>
        </w:tc>
        <w:tc>
          <w:tcPr>
            <w:tcW w:w="660" w:type="dxa"/>
            <w:vAlign w:val="bottom"/>
            <w:tcBorders>
              <w:bottom w:val="single" w:sz="8" w:color="3E3935"/>
            </w:tcBorders>
          </w:tcPr>
          <w:p>
            <w:pPr>
              <w:spacing w:after="0"/>
              <w:rPr>
                <w:sz w:val="4"/>
                <w:szCs w:val="4"/>
                <w:color w:val="auto"/>
              </w:rPr>
            </w:pPr>
          </w:p>
        </w:tc>
        <w:tc>
          <w:tcPr>
            <w:tcW w:w="640" w:type="dxa"/>
            <w:vAlign w:val="bottom"/>
            <w:tcBorders>
              <w:bottom w:val="single" w:sz="8" w:color="3E3935"/>
            </w:tcBorders>
          </w:tcPr>
          <w:p>
            <w:pPr>
              <w:spacing w:after="0"/>
              <w:rPr>
                <w:sz w:val="4"/>
                <w:szCs w:val="4"/>
                <w:color w:val="auto"/>
              </w:rPr>
            </w:pPr>
          </w:p>
        </w:tc>
        <w:tc>
          <w:tcPr>
            <w:tcW w:w="780" w:type="dxa"/>
            <w:vAlign w:val="bottom"/>
            <w:tcBorders>
              <w:bottom w:val="single" w:sz="8" w:color="3E3935"/>
            </w:tcBorders>
          </w:tcPr>
          <w:p>
            <w:pPr>
              <w:spacing w:after="0"/>
              <w:rPr>
                <w:sz w:val="4"/>
                <w:szCs w:val="4"/>
                <w:color w:val="auto"/>
              </w:rPr>
            </w:pPr>
          </w:p>
        </w:tc>
        <w:tc>
          <w:tcPr>
            <w:tcW w:w="800" w:type="dxa"/>
            <w:vAlign w:val="bottom"/>
            <w:tcBorders>
              <w:bottom w:val="single" w:sz="8" w:color="3E3935"/>
            </w:tcBorders>
          </w:tcPr>
          <w:p>
            <w:pPr>
              <w:spacing w:after="0"/>
              <w:rPr>
                <w:sz w:val="4"/>
                <w:szCs w:val="4"/>
                <w:color w:val="auto"/>
              </w:rPr>
            </w:pPr>
          </w:p>
        </w:tc>
        <w:tc>
          <w:tcPr>
            <w:tcW w:w="640" w:type="dxa"/>
            <w:vAlign w:val="bottom"/>
            <w:tcBorders>
              <w:bottom w:val="single" w:sz="8" w:color="3E3935"/>
            </w:tcBorders>
          </w:tcPr>
          <w:p>
            <w:pPr>
              <w:spacing w:after="0"/>
              <w:rPr>
                <w:sz w:val="4"/>
                <w:szCs w:val="4"/>
                <w:color w:val="auto"/>
              </w:rPr>
            </w:pPr>
          </w:p>
        </w:tc>
        <w:tc>
          <w:tcPr>
            <w:tcW w:w="880" w:type="dxa"/>
            <w:vAlign w:val="bottom"/>
            <w:tcBorders>
              <w:bottom w:val="single" w:sz="8" w:color="3E3935"/>
            </w:tcBorders>
          </w:tcPr>
          <w:p>
            <w:pPr>
              <w:spacing w:after="0"/>
              <w:rPr>
                <w:sz w:val="4"/>
                <w:szCs w:val="4"/>
                <w:color w:val="auto"/>
              </w:rPr>
            </w:pPr>
          </w:p>
        </w:tc>
        <w:tc>
          <w:tcPr>
            <w:tcW w:w="0" w:type="dxa"/>
            <w:vAlign w:val="bottom"/>
          </w:tcPr>
          <w:p>
            <w:pPr>
              <w:spacing w:after="0"/>
              <w:rPr>
                <w:sz w:val="1"/>
                <w:szCs w:val="1"/>
                <w:color w:val="auto"/>
              </w:rPr>
            </w:pPr>
          </w:p>
        </w:tc>
      </w:tr>
      <w:tr>
        <w:trPr>
          <w:trHeight w:val="195"/>
        </w:trPr>
        <w:tc>
          <w:tcPr>
            <w:tcW w:w="1620" w:type="dxa"/>
            <w:vAlign w:val="bottom"/>
          </w:tcPr>
          <w:p>
            <w:pPr>
              <w:spacing w:after="0"/>
              <w:rPr>
                <w:sz w:val="17"/>
                <w:szCs w:val="17"/>
                <w:color w:val="auto"/>
              </w:rPr>
            </w:pPr>
          </w:p>
        </w:tc>
        <w:tc>
          <w:tcPr>
            <w:tcW w:w="640" w:type="dxa"/>
            <w:vAlign w:val="bottom"/>
          </w:tcPr>
          <w:p>
            <w:pPr>
              <w:jc w:val="right"/>
              <w:ind w:right="17"/>
              <w:spacing w:after="0"/>
              <w:rPr>
                <w:sz w:val="20"/>
                <w:szCs w:val="20"/>
                <w:color w:val="auto"/>
              </w:rPr>
            </w:pPr>
            <w:r>
              <w:rPr>
                <w:rFonts w:ascii="Arial" w:cs="Arial" w:eastAsia="Arial" w:hAnsi="Arial"/>
                <w:sz w:val="13"/>
                <w:szCs w:val="13"/>
                <w:color w:val="3E3935"/>
              </w:rPr>
              <w:t>Options</w:t>
            </w:r>
          </w:p>
        </w:tc>
        <w:tc>
          <w:tcPr>
            <w:tcW w:w="660" w:type="dxa"/>
            <w:vAlign w:val="bottom"/>
          </w:tcPr>
          <w:p>
            <w:pPr>
              <w:jc w:val="right"/>
              <w:ind w:right="17"/>
              <w:spacing w:after="0"/>
              <w:rPr>
                <w:sz w:val="20"/>
                <w:szCs w:val="20"/>
                <w:color w:val="auto"/>
              </w:rPr>
            </w:pPr>
            <w:r>
              <w:rPr>
                <w:rFonts w:ascii="Arial" w:cs="Arial" w:eastAsia="Arial" w:hAnsi="Arial"/>
                <w:sz w:val="13"/>
                <w:szCs w:val="13"/>
                <w:color w:val="3E3935"/>
              </w:rPr>
              <w:t>2/8/2022</w:t>
            </w:r>
          </w:p>
        </w:tc>
        <w:tc>
          <w:tcPr>
            <w:tcW w:w="700" w:type="dxa"/>
            <w:vAlign w:val="bottom"/>
          </w:tcPr>
          <w:p>
            <w:pPr>
              <w:jc w:val="right"/>
              <w:spacing w:after="0"/>
              <w:rPr>
                <w:sz w:val="20"/>
                <w:szCs w:val="20"/>
                <w:color w:val="auto"/>
              </w:rPr>
            </w:pPr>
            <w:r>
              <w:rPr>
                <w:rFonts w:ascii="Arial" w:cs="Arial" w:eastAsia="Arial" w:hAnsi="Arial"/>
                <w:sz w:val="13"/>
                <w:szCs w:val="13"/>
                <w:color w:val="3E3935"/>
              </w:rPr>
              <w:t>12/6/2021</w:t>
            </w:r>
          </w:p>
        </w:tc>
        <w:tc>
          <w:tcPr>
            <w:tcW w:w="7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3E3935"/>
              </w:rPr>
              <w:t>278,254</w:t>
            </w:r>
          </w:p>
        </w:tc>
        <w:tc>
          <w:tcPr>
            <w:tcW w:w="640" w:type="dxa"/>
            <w:vAlign w:val="bottom"/>
          </w:tcPr>
          <w:p>
            <w:pPr>
              <w:jc w:val="right"/>
              <w:spacing w:after="0"/>
              <w:rPr>
                <w:sz w:val="20"/>
                <w:szCs w:val="20"/>
                <w:color w:val="auto"/>
              </w:rPr>
            </w:pPr>
            <w:r>
              <w:rPr>
                <w:rFonts w:ascii="Arial" w:cs="Arial" w:eastAsia="Arial" w:hAnsi="Arial"/>
                <w:sz w:val="13"/>
                <w:szCs w:val="13"/>
                <w:color w:val="3E3935"/>
              </w:rPr>
              <w:t>49.46</w:t>
            </w:r>
          </w:p>
        </w:tc>
        <w:tc>
          <w:tcPr>
            <w:tcW w:w="880" w:type="dxa"/>
            <w:vAlign w:val="bottom"/>
          </w:tcPr>
          <w:p>
            <w:pPr>
              <w:jc w:val="right"/>
              <w:spacing w:after="0"/>
              <w:rPr>
                <w:sz w:val="20"/>
                <w:szCs w:val="20"/>
                <w:color w:val="auto"/>
              </w:rPr>
            </w:pPr>
            <w:r>
              <w:rPr>
                <w:rFonts w:ascii="Arial" w:cs="Arial" w:eastAsia="Arial" w:hAnsi="Arial"/>
                <w:sz w:val="13"/>
                <w:szCs w:val="13"/>
                <w:color w:val="3E3935"/>
              </w:rPr>
              <w:t>4,875,010</w:t>
            </w:r>
          </w:p>
        </w:tc>
        <w:tc>
          <w:tcPr>
            <w:tcW w:w="0" w:type="dxa"/>
            <w:vAlign w:val="bottom"/>
          </w:tcPr>
          <w:p>
            <w:pPr>
              <w:spacing w:after="0"/>
              <w:rPr>
                <w:sz w:val="1"/>
                <w:szCs w:val="1"/>
                <w:color w:val="auto"/>
              </w:rPr>
            </w:pPr>
          </w:p>
        </w:tc>
      </w:tr>
      <w:tr>
        <w:trPr>
          <w:trHeight w:val="55"/>
        </w:trPr>
        <w:tc>
          <w:tcPr>
            <w:tcW w:w="1620" w:type="dxa"/>
            <w:vAlign w:val="bottom"/>
          </w:tcPr>
          <w:p>
            <w:pPr>
              <w:spacing w:after="0"/>
              <w:rPr>
                <w:sz w:val="4"/>
                <w:szCs w:val="4"/>
                <w:color w:val="auto"/>
              </w:rPr>
            </w:pPr>
          </w:p>
        </w:tc>
        <w:tc>
          <w:tcPr>
            <w:tcW w:w="640" w:type="dxa"/>
            <w:vAlign w:val="bottom"/>
            <w:tcBorders>
              <w:bottom w:val="single" w:sz="8" w:color="3E3935"/>
            </w:tcBorders>
          </w:tcPr>
          <w:p>
            <w:pPr>
              <w:spacing w:after="0"/>
              <w:rPr>
                <w:sz w:val="4"/>
                <w:szCs w:val="4"/>
                <w:color w:val="auto"/>
              </w:rPr>
            </w:pPr>
          </w:p>
        </w:tc>
        <w:tc>
          <w:tcPr>
            <w:tcW w:w="660" w:type="dxa"/>
            <w:vAlign w:val="bottom"/>
            <w:tcBorders>
              <w:bottom w:val="single" w:sz="8" w:color="3E3935"/>
            </w:tcBorders>
          </w:tcPr>
          <w:p>
            <w:pPr>
              <w:spacing w:after="0"/>
              <w:rPr>
                <w:sz w:val="4"/>
                <w:szCs w:val="4"/>
                <w:color w:val="auto"/>
              </w:rPr>
            </w:pPr>
          </w:p>
        </w:tc>
        <w:tc>
          <w:tcPr>
            <w:tcW w:w="700" w:type="dxa"/>
            <w:vAlign w:val="bottom"/>
            <w:tcBorders>
              <w:bottom w:val="single" w:sz="8" w:color="3E3935"/>
            </w:tcBorders>
          </w:tcPr>
          <w:p>
            <w:pPr>
              <w:spacing w:after="0"/>
              <w:rPr>
                <w:sz w:val="4"/>
                <w:szCs w:val="4"/>
                <w:color w:val="auto"/>
              </w:rPr>
            </w:pPr>
          </w:p>
        </w:tc>
        <w:tc>
          <w:tcPr>
            <w:tcW w:w="720" w:type="dxa"/>
            <w:vAlign w:val="bottom"/>
            <w:tcBorders>
              <w:bottom w:val="single" w:sz="8" w:color="3E3935"/>
            </w:tcBorders>
          </w:tcPr>
          <w:p>
            <w:pPr>
              <w:spacing w:after="0"/>
              <w:rPr>
                <w:sz w:val="4"/>
                <w:szCs w:val="4"/>
                <w:color w:val="auto"/>
              </w:rPr>
            </w:pPr>
          </w:p>
        </w:tc>
        <w:tc>
          <w:tcPr>
            <w:tcW w:w="820" w:type="dxa"/>
            <w:vAlign w:val="bottom"/>
            <w:tcBorders>
              <w:bottom w:val="single" w:sz="8" w:color="3E3935"/>
            </w:tcBorders>
          </w:tcPr>
          <w:p>
            <w:pPr>
              <w:spacing w:after="0"/>
              <w:rPr>
                <w:sz w:val="4"/>
                <w:szCs w:val="4"/>
                <w:color w:val="auto"/>
              </w:rPr>
            </w:pPr>
          </w:p>
        </w:tc>
        <w:tc>
          <w:tcPr>
            <w:tcW w:w="680" w:type="dxa"/>
            <w:vAlign w:val="bottom"/>
            <w:tcBorders>
              <w:bottom w:val="single" w:sz="8" w:color="3E3935"/>
            </w:tcBorders>
          </w:tcPr>
          <w:p>
            <w:pPr>
              <w:spacing w:after="0"/>
              <w:rPr>
                <w:sz w:val="4"/>
                <w:szCs w:val="4"/>
                <w:color w:val="auto"/>
              </w:rPr>
            </w:pPr>
          </w:p>
        </w:tc>
        <w:tc>
          <w:tcPr>
            <w:tcW w:w="780" w:type="dxa"/>
            <w:vAlign w:val="bottom"/>
            <w:tcBorders>
              <w:bottom w:val="single" w:sz="8" w:color="3E3935"/>
            </w:tcBorders>
          </w:tcPr>
          <w:p>
            <w:pPr>
              <w:spacing w:after="0"/>
              <w:rPr>
                <w:sz w:val="4"/>
                <w:szCs w:val="4"/>
                <w:color w:val="auto"/>
              </w:rPr>
            </w:pPr>
          </w:p>
        </w:tc>
        <w:tc>
          <w:tcPr>
            <w:tcW w:w="660" w:type="dxa"/>
            <w:vAlign w:val="bottom"/>
            <w:tcBorders>
              <w:bottom w:val="single" w:sz="8" w:color="3E3935"/>
            </w:tcBorders>
          </w:tcPr>
          <w:p>
            <w:pPr>
              <w:spacing w:after="0"/>
              <w:rPr>
                <w:sz w:val="4"/>
                <w:szCs w:val="4"/>
                <w:color w:val="auto"/>
              </w:rPr>
            </w:pPr>
          </w:p>
        </w:tc>
        <w:tc>
          <w:tcPr>
            <w:tcW w:w="640" w:type="dxa"/>
            <w:vAlign w:val="bottom"/>
            <w:tcBorders>
              <w:bottom w:val="single" w:sz="8" w:color="3E3935"/>
            </w:tcBorders>
          </w:tcPr>
          <w:p>
            <w:pPr>
              <w:spacing w:after="0"/>
              <w:rPr>
                <w:sz w:val="4"/>
                <w:szCs w:val="4"/>
                <w:color w:val="auto"/>
              </w:rPr>
            </w:pPr>
          </w:p>
        </w:tc>
        <w:tc>
          <w:tcPr>
            <w:tcW w:w="780" w:type="dxa"/>
            <w:vAlign w:val="bottom"/>
            <w:tcBorders>
              <w:bottom w:val="single" w:sz="8" w:color="3E3935"/>
            </w:tcBorders>
          </w:tcPr>
          <w:p>
            <w:pPr>
              <w:spacing w:after="0"/>
              <w:rPr>
                <w:sz w:val="4"/>
                <w:szCs w:val="4"/>
                <w:color w:val="auto"/>
              </w:rPr>
            </w:pPr>
          </w:p>
        </w:tc>
        <w:tc>
          <w:tcPr>
            <w:tcW w:w="800" w:type="dxa"/>
            <w:vAlign w:val="bottom"/>
            <w:tcBorders>
              <w:bottom w:val="single" w:sz="8" w:color="3E3935"/>
            </w:tcBorders>
          </w:tcPr>
          <w:p>
            <w:pPr>
              <w:spacing w:after="0"/>
              <w:rPr>
                <w:sz w:val="4"/>
                <w:szCs w:val="4"/>
                <w:color w:val="auto"/>
              </w:rPr>
            </w:pPr>
          </w:p>
        </w:tc>
        <w:tc>
          <w:tcPr>
            <w:tcW w:w="640" w:type="dxa"/>
            <w:vAlign w:val="bottom"/>
            <w:tcBorders>
              <w:bottom w:val="single" w:sz="8" w:color="3E3935"/>
            </w:tcBorders>
          </w:tcPr>
          <w:p>
            <w:pPr>
              <w:spacing w:after="0"/>
              <w:rPr>
                <w:sz w:val="4"/>
                <w:szCs w:val="4"/>
                <w:color w:val="auto"/>
              </w:rPr>
            </w:pPr>
          </w:p>
        </w:tc>
        <w:tc>
          <w:tcPr>
            <w:tcW w:w="880" w:type="dxa"/>
            <w:vAlign w:val="bottom"/>
            <w:tcBorders>
              <w:bottom w:val="single" w:sz="8" w:color="3E3935"/>
            </w:tcBorders>
          </w:tcPr>
          <w:p>
            <w:pPr>
              <w:spacing w:after="0"/>
              <w:rPr>
                <w:sz w:val="4"/>
                <w:szCs w:val="4"/>
                <w:color w:val="auto"/>
              </w:rPr>
            </w:pPr>
          </w:p>
        </w:tc>
        <w:tc>
          <w:tcPr>
            <w:tcW w:w="0" w:type="dxa"/>
            <w:vAlign w:val="bottom"/>
          </w:tcPr>
          <w:p>
            <w:pPr>
              <w:spacing w:after="0"/>
              <w:rPr>
                <w:sz w:val="1"/>
                <w:szCs w:val="1"/>
                <w:color w:val="auto"/>
              </w:rPr>
            </w:pPr>
          </w:p>
        </w:tc>
      </w:tr>
      <w:tr>
        <w:trPr>
          <w:trHeight w:val="195"/>
        </w:trPr>
        <w:tc>
          <w:tcPr>
            <w:tcW w:w="1620" w:type="dxa"/>
            <w:vAlign w:val="bottom"/>
          </w:tcPr>
          <w:p>
            <w:pPr>
              <w:spacing w:after="0"/>
              <w:rPr>
                <w:sz w:val="17"/>
                <w:szCs w:val="17"/>
                <w:color w:val="auto"/>
              </w:rPr>
            </w:pPr>
          </w:p>
        </w:tc>
        <w:tc>
          <w:tcPr>
            <w:tcW w:w="640" w:type="dxa"/>
            <w:vAlign w:val="bottom"/>
          </w:tcPr>
          <w:p>
            <w:pPr>
              <w:jc w:val="right"/>
              <w:ind w:right="17"/>
              <w:spacing w:after="0"/>
              <w:rPr>
                <w:sz w:val="20"/>
                <w:szCs w:val="20"/>
                <w:color w:val="auto"/>
              </w:rPr>
            </w:pPr>
            <w:r>
              <w:rPr>
                <w:rFonts w:ascii="Arial" w:cs="Arial" w:eastAsia="Arial" w:hAnsi="Arial"/>
                <w:sz w:val="13"/>
                <w:szCs w:val="13"/>
                <w:color w:val="3E3935"/>
              </w:rPr>
              <w:t>PSU</w:t>
            </w:r>
          </w:p>
        </w:tc>
        <w:tc>
          <w:tcPr>
            <w:tcW w:w="660" w:type="dxa"/>
            <w:vAlign w:val="bottom"/>
          </w:tcPr>
          <w:p>
            <w:pPr>
              <w:jc w:val="right"/>
              <w:ind w:right="17"/>
              <w:spacing w:after="0"/>
              <w:rPr>
                <w:sz w:val="20"/>
                <w:szCs w:val="20"/>
                <w:color w:val="auto"/>
              </w:rPr>
            </w:pPr>
            <w:r>
              <w:rPr>
                <w:rFonts w:ascii="Arial" w:cs="Arial" w:eastAsia="Arial" w:hAnsi="Arial"/>
                <w:sz w:val="13"/>
                <w:szCs w:val="13"/>
                <w:color w:val="3E3935"/>
              </w:rPr>
              <w:t>2/8/2022</w:t>
            </w:r>
          </w:p>
        </w:tc>
        <w:tc>
          <w:tcPr>
            <w:tcW w:w="700" w:type="dxa"/>
            <w:vAlign w:val="bottom"/>
          </w:tcPr>
          <w:p>
            <w:pPr>
              <w:jc w:val="right"/>
              <w:spacing w:after="0"/>
              <w:rPr>
                <w:sz w:val="20"/>
                <w:szCs w:val="20"/>
                <w:color w:val="auto"/>
              </w:rPr>
            </w:pPr>
            <w:r>
              <w:rPr>
                <w:rFonts w:ascii="Arial" w:cs="Arial" w:eastAsia="Arial" w:hAnsi="Arial"/>
                <w:sz w:val="13"/>
                <w:szCs w:val="13"/>
                <w:color w:val="3E3935"/>
              </w:rPr>
              <w:t>12/6/2021</w:t>
            </w:r>
          </w:p>
        </w:tc>
        <w:tc>
          <w:tcPr>
            <w:tcW w:w="7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80" w:type="dxa"/>
            <w:vAlign w:val="bottom"/>
          </w:tcPr>
          <w:p>
            <w:pPr>
              <w:jc w:val="right"/>
              <w:ind w:right="37"/>
              <w:spacing w:after="0"/>
              <w:rPr>
                <w:sz w:val="20"/>
                <w:szCs w:val="20"/>
                <w:color w:val="auto"/>
              </w:rPr>
            </w:pPr>
            <w:r>
              <w:rPr>
                <w:rFonts w:ascii="Arial" w:cs="Arial" w:eastAsia="Arial" w:hAnsi="Arial"/>
                <w:sz w:val="13"/>
                <w:szCs w:val="13"/>
                <w:color w:val="3E3935"/>
              </w:rPr>
              <w:t>28,693</w:t>
            </w:r>
          </w:p>
        </w:tc>
        <w:tc>
          <w:tcPr>
            <w:tcW w:w="660" w:type="dxa"/>
            <w:vAlign w:val="bottom"/>
          </w:tcPr>
          <w:p>
            <w:pPr>
              <w:jc w:val="right"/>
              <w:ind w:right="57"/>
              <w:spacing w:after="0"/>
              <w:rPr>
                <w:sz w:val="20"/>
                <w:szCs w:val="20"/>
                <w:color w:val="auto"/>
              </w:rPr>
            </w:pPr>
            <w:r>
              <w:rPr>
                <w:rFonts w:ascii="Arial" w:cs="Arial" w:eastAsia="Arial" w:hAnsi="Arial"/>
                <w:sz w:val="13"/>
                <w:szCs w:val="13"/>
                <w:color w:val="3E3935"/>
              </w:rPr>
              <w:t>286,926</w:t>
            </w:r>
          </w:p>
        </w:tc>
        <w:tc>
          <w:tcPr>
            <w:tcW w:w="640" w:type="dxa"/>
            <w:vAlign w:val="bottom"/>
          </w:tcPr>
          <w:p>
            <w:pPr>
              <w:jc w:val="right"/>
              <w:spacing w:after="0"/>
              <w:rPr>
                <w:sz w:val="20"/>
                <w:szCs w:val="20"/>
                <w:color w:val="auto"/>
              </w:rPr>
            </w:pPr>
            <w:r>
              <w:rPr>
                <w:rFonts w:ascii="Arial" w:cs="Arial" w:eastAsia="Arial" w:hAnsi="Arial"/>
                <w:sz w:val="13"/>
                <w:szCs w:val="13"/>
                <w:color w:val="3E3935"/>
              </w:rPr>
              <w:t>573,852</w:t>
            </w:r>
          </w:p>
        </w:tc>
        <w:tc>
          <w:tcPr>
            <w:tcW w:w="7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3E3935"/>
              </w:rPr>
              <w:t>14,625,000</w:t>
            </w:r>
          </w:p>
        </w:tc>
        <w:tc>
          <w:tcPr>
            <w:tcW w:w="0" w:type="dxa"/>
            <w:vAlign w:val="bottom"/>
          </w:tcPr>
          <w:p>
            <w:pPr>
              <w:spacing w:after="0"/>
              <w:rPr>
                <w:sz w:val="1"/>
                <w:szCs w:val="1"/>
                <w:color w:val="auto"/>
              </w:rPr>
            </w:pPr>
          </w:p>
        </w:tc>
      </w:tr>
      <w:tr>
        <w:trPr>
          <w:trHeight w:val="55"/>
        </w:trPr>
        <w:tc>
          <w:tcPr>
            <w:tcW w:w="1620" w:type="dxa"/>
            <w:vAlign w:val="bottom"/>
            <w:tcBorders>
              <w:bottom w:val="single" w:sz="8" w:color="3E3935"/>
            </w:tcBorders>
          </w:tcPr>
          <w:p>
            <w:pPr>
              <w:spacing w:after="0"/>
              <w:rPr>
                <w:sz w:val="4"/>
                <w:szCs w:val="4"/>
                <w:color w:val="auto"/>
              </w:rPr>
            </w:pPr>
          </w:p>
        </w:tc>
        <w:tc>
          <w:tcPr>
            <w:tcW w:w="640" w:type="dxa"/>
            <w:vAlign w:val="bottom"/>
            <w:tcBorders>
              <w:bottom w:val="single" w:sz="8" w:color="3E3935"/>
            </w:tcBorders>
          </w:tcPr>
          <w:p>
            <w:pPr>
              <w:spacing w:after="0"/>
              <w:rPr>
                <w:sz w:val="4"/>
                <w:szCs w:val="4"/>
                <w:color w:val="auto"/>
              </w:rPr>
            </w:pPr>
          </w:p>
        </w:tc>
        <w:tc>
          <w:tcPr>
            <w:tcW w:w="660" w:type="dxa"/>
            <w:vAlign w:val="bottom"/>
            <w:tcBorders>
              <w:bottom w:val="single" w:sz="8" w:color="3E3935"/>
            </w:tcBorders>
          </w:tcPr>
          <w:p>
            <w:pPr>
              <w:spacing w:after="0"/>
              <w:rPr>
                <w:sz w:val="4"/>
                <w:szCs w:val="4"/>
                <w:color w:val="auto"/>
              </w:rPr>
            </w:pPr>
          </w:p>
        </w:tc>
        <w:tc>
          <w:tcPr>
            <w:tcW w:w="700" w:type="dxa"/>
            <w:vAlign w:val="bottom"/>
            <w:tcBorders>
              <w:bottom w:val="single" w:sz="8" w:color="3E3935"/>
            </w:tcBorders>
          </w:tcPr>
          <w:p>
            <w:pPr>
              <w:spacing w:after="0"/>
              <w:rPr>
                <w:sz w:val="4"/>
                <w:szCs w:val="4"/>
                <w:color w:val="auto"/>
              </w:rPr>
            </w:pPr>
          </w:p>
        </w:tc>
        <w:tc>
          <w:tcPr>
            <w:tcW w:w="720" w:type="dxa"/>
            <w:vAlign w:val="bottom"/>
            <w:tcBorders>
              <w:bottom w:val="single" w:sz="8" w:color="3E3935"/>
            </w:tcBorders>
          </w:tcPr>
          <w:p>
            <w:pPr>
              <w:spacing w:after="0"/>
              <w:rPr>
                <w:sz w:val="4"/>
                <w:szCs w:val="4"/>
                <w:color w:val="auto"/>
              </w:rPr>
            </w:pPr>
          </w:p>
        </w:tc>
        <w:tc>
          <w:tcPr>
            <w:tcW w:w="820" w:type="dxa"/>
            <w:vAlign w:val="bottom"/>
            <w:tcBorders>
              <w:bottom w:val="single" w:sz="8" w:color="3E3935"/>
            </w:tcBorders>
          </w:tcPr>
          <w:p>
            <w:pPr>
              <w:spacing w:after="0"/>
              <w:rPr>
                <w:sz w:val="4"/>
                <w:szCs w:val="4"/>
                <w:color w:val="auto"/>
              </w:rPr>
            </w:pPr>
          </w:p>
        </w:tc>
        <w:tc>
          <w:tcPr>
            <w:tcW w:w="680" w:type="dxa"/>
            <w:vAlign w:val="bottom"/>
            <w:tcBorders>
              <w:bottom w:val="single" w:sz="8" w:color="3E3935"/>
            </w:tcBorders>
          </w:tcPr>
          <w:p>
            <w:pPr>
              <w:spacing w:after="0"/>
              <w:rPr>
                <w:sz w:val="4"/>
                <w:szCs w:val="4"/>
                <w:color w:val="auto"/>
              </w:rPr>
            </w:pPr>
          </w:p>
        </w:tc>
        <w:tc>
          <w:tcPr>
            <w:tcW w:w="780" w:type="dxa"/>
            <w:vAlign w:val="bottom"/>
            <w:tcBorders>
              <w:bottom w:val="single" w:sz="8" w:color="3E3935"/>
            </w:tcBorders>
          </w:tcPr>
          <w:p>
            <w:pPr>
              <w:spacing w:after="0"/>
              <w:rPr>
                <w:sz w:val="4"/>
                <w:szCs w:val="4"/>
                <w:color w:val="auto"/>
              </w:rPr>
            </w:pPr>
          </w:p>
        </w:tc>
        <w:tc>
          <w:tcPr>
            <w:tcW w:w="660" w:type="dxa"/>
            <w:vAlign w:val="bottom"/>
            <w:tcBorders>
              <w:bottom w:val="single" w:sz="8" w:color="3E3935"/>
            </w:tcBorders>
          </w:tcPr>
          <w:p>
            <w:pPr>
              <w:spacing w:after="0"/>
              <w:rPr>
                <w:sz w:val="4"/>
                <w:szCs w:val="4"/>
                <w:color w:val="auto"/>
              </w:rPr>
            </w:pPr>
          </w:p>
        </w:tc>
        <w:tc>
          <w:tcPr>
            <w:tcW w:w="640" w:type="dxa"/>
            <w:vAlign w:val="bottom"/>
            <w:tcBorders>
              <w:bottom w:val="single" w:sz="8" w:color="3E3935"/>
            </w:tcBorders>
          </w:tcPr>
          <w:p>
            <w:pPr>
              <w:spacing w:after="0"/>
              <w:rPr>
                <w:sz w:val="4"/>
                <w:szCs w:val="4"/>
                <w:color w:val="auto"/>
              </w:rPr>
            </w:pPr>
          </w:p>
        </w:tc>
        <w:tc>
          <w:tcPr>
            <w:tcW w:w="780" w:type="dxa"/>
            <w:vAlign w:val="bottom"/>
            <w:tcBorders>
              <w:bottom w:val="single" w:sz="8" w:color="3E3935"/>
            </w:tcBorders>
          </w:tcPr>
          <w:p>
            <w:pPr>
              <w:spacing w:after="0"/>
              <w:rPr>
                <w:sz w:val="4"/>
                <w:szCs w:val="4"/>
                <w:color w:val="auto"/>
              </w:rPr>
            </w:pPr>
          </w:p>
        </w:tc>
        <w:tc>
          <w:tcPr>
            <w:tcW w:w="800" w:type="dxa"/>
            <w:vAlign w:val="bottom"/>
            <w:tcBorders>
              <w:bottom w:val="single" w:sz="8" w:color="3E3935"/>
            </w:tcBorders>
          </w:tcPr>
          <w:p>
            <w:pPr>
              <w:spacing w:after="0"/>
              <w:rPr>
                <w:sz w:val="4"/>
                <w:szCs w:val="4"/>
                <w:color w:val="auto"/>
              </w:rPr>
            </w:pPr>
          </w:p>
        </w:tc>
        <w:tc>
          <w:tcPr>
            <w:tcW w:w="640" w:type="dxa"/>
            <w:vAlign w:val="bottom"/>
            <w:tcBorders>
              <w:bottom w:val="single" w:sz="8" w:color="3E3935"/>
            </w:tcBorders>
          </w:tcPr>
          <w:p>
            <w:pPr>
              <w:spacing w:after="0"/>
              <w:rPr>
                <w:sz w:val="4"/>
                <w:szCs w:val="4"/>
                <w:color w:val="auto"/>
              </w:rPr>
            </w:pPr>
          </w:p>
        </w:tc>
        <w:tc>
          <w:tcPr>
            <w:tcW w:w="880" w:type="dxa"/>
            <w:vAlign w:val="bottom"/>
            <w:tcBorders>
              <w:bottom w:val="single" w:sz="8" w:color="3E3935"/>
            </w:tcBorders>
          </w:tcPr>
          <w:p>
            <w:pPr>
              <w:spacing w:after="0"/>
              <w:rPr>
                <w:sz w:val="4"/>
                <w:szCs w:val="4"/>
                <w:color w:val="auto"/>
              </w:rPr>
            </w:pPr>
          </w:p>
        </w:tc>
        <w:tc>
          <w:tcPr>
            <w:tcW w:w="0" w:type="dxa"/>
            <w:vAlign w:val="bottom"/>
          </w:tcPr>
          <w:p>
            <w:pPr>
              <w:spacing w:after="0"/>
              <w:rPr>
                <w:sz w:val="1"/>
                <w:szCs w:val="1"/>
                <w:color w:val="auto"/>
              </w:rPr>
            </w:pPr>
          </w:p>
        </w:tc>
      </w:tr>
      <w:tr>
        <w:trPr>
          <w:trHeight w:val="195"/>
        </w:trPr>
        <w:tc>
          <w:tcPr>
            <w:tcW w:w="1620" w:type="dxa"/>
            <w:vAlign w:val="bottom"/>
          </w:tcPr>
          <w:p>
            <w:pPr>
              <w:ind w:left="60"/>
              <w:spacing w:after="0"/>
              <w:rPr>
                <w:sz w:val="20"/>
                <w:szCs w:val="20"/>
                <w:color w:val="auto"/>
              </w:rPr>
            </w:pPr>
            <w:r>
              <w:rPr>
                <w:rFonts w:ascii="Arial" w:cs="Arial" w:eastAsia="Arial" w:hAnsi="Arial"/>
                <w:sz w:val="13"/>
                <w:szCs w:val="13"/>
                <w:color w:val="3E3935"/>
              </w:rPr>
              <w:t>Paul A. Jacobson</w:t>
            </w:r>
          </w:p>
        </w:tc>
        <w:tc>
          <w:tcPr>
            <w:tcW w:w="640" w:type="dxa"/>
            <w:vAlign w:val="bottom"/>
          </w:tcPr>
          <w:p>
            <w:pPr>
              <w:jc w:val="right"/>
              <w:ind w:right="17"/>
              <w:spacing w:after="0"/>
              <w:rPr>
                <w:sz w:val="20"/>
                <w:szCs w:val="20"/>
                <w:color w:val="auto"/>
              </w:rPr>
            </w:pPr>
            <w:r>
              <w:rPr>
                <w:rFonts w:ascii="Arial" w:cs="Arial" w:eastAsia="Arial" w:hAnsi="Arial"/>
                <w:sz w:val="13"/>
                <w:szCs w:val="13"/>
                <w:color w:val="3E3935"/>
              </w:rPr>
              <w:t>STIP</w:t>
            </w:r>
          </w:p>
        </w:tc>
        <w:tc>
          <w:tcPr>
            <w:tcW w:w="660" w:type="dxa"/>
            <w:vAlign w:val="bottom"/>
          </w:tcPr>
          <w:p>
            <w:pPr>
              <w:jc w:val="right"/>
              <w:ind w:right="17"/>
              <w:spacing w:after="0"/>
              <w:rPr>
                <w:sz w:val="20"/>
                <w:szCs w:val="20"/>
                <w:color w:val="auto"/>
              </w:rPr>
            </w:pPr>
            <w:r>
              <w:rPr>
                <w:rFonts w:ascii="Arial" w:cs="Arial" w:eastAsia="Arial" w:hAnsi="Arial"/>
                <w:sz w:val="13"/>
                <w:szCs w:val="13"/>
                <w:color w:val="3E3935"/>
              </w:rPr>
              <w:t>1/1/2022</w:t>
            </w:r>
          </w:p>
        </w:tc>
        <w:tc>
          <w:tcPr>
            <w:tcW w:w="700" w:type="dxa"/>
            <w:vAlign w:val="bottom"/>
          </w:tcPr>
          <w:p>
            <w:pPr>
              <w:jc w:val="right"/>
              <w:spacing w:after="0"/>
              <w:rPr>
                <w:sz w:val="20"/>
                <w:szCs w:val="20"/>
                <w:color w:val="auto"/>
              </w:rPr>
            </w:pPr>
            <w:r>
              <w:rPr>
                <w:rFonts w:ascii="Arial" w:cs="Arial" w:eastAsia="Arial" w:hAnsi="Arial"/>
                <w:sz w:val="13"/>
                <w:szCs w:val="13"/>
                <w:color w:val="3E3935"/>
              </w:rPr>
              <w:t>12/6/2021</w:t>
            </w:r>
          </w:p>
        </w:tc>
        <w:tc>
          <w:tcPr>
            <w:tcW w:w="720" w:type="dxa"/>
            <w:vAlign w:val="bottom"/>
          </w:tcPr>
          <w:p>
            <w:pPr>
              <w:jc w:val="right"/>
              <w:spacing w:after="0"/>
              <w:rPr>
                <w:sz w:val="20"/>
                <w:szCs w:val="20"/>
                <w:color w:val="auto"/>
              </w:rPr>
            </w:pPr>
            <w:r>
              <w:rPr>
                <w:rFonts w:ascii="Arial" w:cs="Arial" w:eastAsia="Arial" w:hAnsi="Arial"/>
                <w:sz w:val="13"/>
                <w:szCs w:val="13"/>
                <w:color w:val="3E3935"/>
              </w:rPr>
              <w:t>78,125</w:t>
            </w:r>
          </w:p>
        </w:tc>
        <w:tc>
          <w:tcPr>
            <w:tcW w:w="820" w:type="dxa"/>
            <w:vAlign w:val="bottom"/>
          </w:tcPr>
          <w:p>
            <w:pPr>
              <w:jc w:val="right"/>
              <w:ind w:right="57"/>
              <w:spacing w:after="0"/>
              <w:rPr>
                <w:sz w:val="20"/>
                <w:szCs w:val="20"/>
                <w:color w:val="auto"/>
              </w:rPr>
            </w:pPr>
            <w:r>
              <w:rPr>
                <w:rFonts w:ascii="Arial" w:cs="Arial" w:eastAsia="Arial" w:hAnsi="Arial"/>
                <w:sz w:val="13"/>
                <w:szCs w:val="13"/>
                <w:color w:val="3E3935"/>
              </w:rPr>
              <w:t>1,250,000</w:t>
            </w:r>
          </w:p>
        </w:tc>
        <w:tc>
          <w:tcPr>
            <w:tcW w:w="680" w:type="dxa"/>
            <w:vAlign w:val="bottom"/>
          </w:tcPr>
          <w:p>
            <w:pPr>
              <w:jc w:val="right"/>
              <w:spacing w:after="0"/>
              <w:rPr>
                <w:sz w:val="20"/>
                <w:szCs w:val="20"/>
                <w:color w:val="auto"/>
              </w:rPr>
            </w:pPr>
            <w:r>
              <w:rPr>
                <w:rFonts w:ascii="Arial" w:cs="Arial" w:eastAsia="Arial" w:hAnsi="Arial"/>
                <w:sz w:val="13"/>
                <w:szCs w:val="13"/>
                <w:color w:val="3E3935"/>
              </w:rPr>
              <w:t>2,500,000</w:t>
            </w:r>
          </w:p>
        </w:tc>
        <w:tc>
          <w:tcPr>
            <w:tcW w:w="7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5"/>
        </w:trPr>
        <w:tc>
          <w:tcPr>
            <w:tcW w:w="1620" w:type="dxa"/>
            <w:vAlign w:val="bottom"/>
          </w:tcPr>
          <w:p>
            <w:pPr>
              <w:spacing w:after="0"/>
              <w:rPr>
                <w:sz w:val="4"/>
                <w:szCs w:val="4"/>
                <w:color w:val="auto"/>
              </w:rPr>
            </w:pPr>
          </w:p>
        </w:tc>
        <w:tc>
          <w:tcPr>
            <w:tcW w:w="640" w:type="dxa"/>
            <w:vAlign w:val="bottom"/>
            <w:tcBorders>
              <w:bottom w:val="single" w:sz="8" w:color="3E3935"/>
            </w:tcBorders>
          </w:tcPr>
          <w:p>
            <w:pPr>
              <w:spacing w:after="0"/>
              <w:rPr>
                <w:sz w:val="4"/>
                <w:szCs w:val="4"/>
                <w:color w:val="auto"/>
              </w:rPr>
            </w:pPr>
          </w:p>
        </w:tc>
        <w:tc>
          <w:tcPr>
            <w:tcW w:w="660" w:type="dxa"/>
            <w:vAlign w:val="bottom"/>
            <w:tcBorders>
              <w:bottom w:val="single" w:sz="8" w:color="3E3935"/>
            </w:tcBorders>
          </w:tcPr>
          <w:p>
            <w:pPr>
              <w:spacing w:after="0"/>
              <w:rPr>
                <w:sz w:val="4"/>
                <w:szCs w:val="4"/>
                <w:color w:val="auto"/>
              </w:rPr>
            </w:pPr>
          </w:p>
        </w:tc>
        <w:tc>
          <w:tcPr>
            <w:tcW w:w="700" w:type="dxa"/>
            <w:vAlign w:val="bottom"/>
            <w:tcBorders>
              <w:bottom w:val="single" w:sz="8" w:color="3E3935"/>
            </w:tcBorders>
          </w:tcPr>
          <w:p>
            <w:pPr>
              <w:spacing w:after="0"/>
              <w:rPr>
                <w:sz w:val="4"/>
                <w:szCs w:val="4"/>
                <w:color w:val="auto"/>
              </w:rPr>
            </w:pPr>
          </w:p>
        </w:tc>
        <w:tc>
          <w:tcPr>
            <w:tcW w:w="720" w:type="dxa"/>
            <w:vAlign w:val="bottom"/>
            <w:tcBorders>
              <w:bottom w:val="single" w:sz="8" w:color="3E3935"/>
            </w:tcBorders>
          </w:tcPr>
          <w:p>
            <w:pPr>
              <w:spacing w:after="0"/>
              <w:rPr>
                <w:sz w:val="4"/>
                <w:szCs w:val="4"/>
                <w:color w:val="auto"/>
              </w:rPr>
            </w:pPr>
          </w:p>
        </w:tc>
        <w:tc>
          <w:tcPr>
            <w:tcW w:w="820" w:type="dxa"/>
            <w:vAlign w:val="bottom"/>
            <w:tcBorders>
              <w:bottom w:val="single" w:sz="8" w:color="3E3935"/>
            </w:tcBorders>
          </w:tcPr>
          <w:p>
            <w:pPr>
              <w:spacing w:after="0"/>
              <w:rPr>
                <w:sz w:val="4"/>
                <w:szCs w:val="4"/>
                <w:color w:val="auto"/>
              </w:rPr>
            </w:pPr>
          </w:p>
        </w:tc>
        <w:tc>
          <w:tcPr>
            <w:tcW w:w="680" w:type="dxa"/>
            <w:vAlign w:val="bottom"/>
            <w:tcBorders>
              <w:bottom w:val="single" w:sz="8" w:color="3E3935"/>
            </w:tcBorders>
          </w:tcPr>
          <w:p>
            <w:pPr>
              <w:spacing w:after="0"/>
              <w:rPr>
                <w:sz w:val="4"/>
                <w:szCs w:val="4"/>
                <w:color w:val="auto"/>
              </w:rPr>
            </w:pPr>
          </w:p>
        </w:tc>
        <w:tc>
          <w:tcPr>
            <w:tcW w:w="780" w:type="dxa"/>
            <w:vAlign w:val="bottom"/>
            <w:tcBorders>
              <w:bottom w:val="single" w:sz="8" w:color="3E3935"/>
            </w:tcBorders>
          </w:tcPr>
          <w:p>
            <w:pPr>
              <w:spacing w:after="0"/>
              <w:rPr>
                <w:sz w:val="4"/>
                <w:szCs w:val="4"/>
                <w:color w:val="auto"/>
              </w:rPr>
            </w:pPr>
          </w:p>
        </w:tc>
        <w:tc>
          <w:tcPr>
            <w:tcW w:w="660" w:type="dxa"/>
            <w:vAlign w:val="bottom"/>
            <w:tcBorders>
              <w:bottom w:val="single" w:sz="8" w:color="3E3935"/>
            </w:tcBorders>
          </w:tcPr>
          <w:p>
            <w:pPr>
              <w:spacing w:after="0"/>
              <w:rPr>
                <w:sz w:val="4"/>
                <w:szCs w:val="4"/>
                <w:color w:val="auto"/>
              </w:rPr>
            </w:pPr>
          </w:p>
        </w:tc>
        <w:tc>
          <w:tcPr>
            <w:tcW w:w="640" w:type="dxa"/>
            <w:vAlign w:val="bottom"/>
            <w:tcBorders>
              <w:bottom w:val="single" w:sz="8" w:color="3E3935"/>
            </w:tcBorders>
          </w:tcPr>
          <w:p>
            <w:pPr>
              <w:spacing w:after="0"/>
              <w:rPr>
                <w:sz w:val="4"/>
                <w:szCs w:val="4"/>
                <w:color w:val="auto"/>
              </w:rPr>
            </w:pPr>
          </w:p>
        </w:tc>
        <w:tc>
          <w:tcPr>
            <w:tcW w:w="780" w:type="dxa"/>
            <w:vAlign w:val="bottom"/>
            <w:tcBorders>
              <w:bottom w:val="single" w:sz="8" w:color="3E3935"/>
            </w:tcBorders>
          </w:tcPr>
          <w:p>
            <w:pPr>
              <w:spacing w:after="0"/>
              <w:rPr>
                <w:sz w:val="4"/>
                <w:szCs w:val="4"/>
                <w:color w:val="auto"/>
              </w:rPr>
            </w:pPr>
          </w:p>
        </w:tc>
        <w:tc>
          <w:tcPr>
            <w:tcW w:w="800" w:type="dxa"/>
            <w:vAlign w:val="bottom"/>
            <w:tcBorders>
              <w:bottom w:val="single" w:sz="8" w:color="3E3935"/>
            </w:tcBorders>
          </w:tcPr>
          <w:p>
            <w:pPr>
              <w:spacing w:after="0"/>
              <w:rPr>
                <w:sz w:val="4"/>
                <w:szCs w:val="4"/>
                <w:color w:val="auto"/>
              </w:rPr>
            </w:pPr>
          </w:p>
        </w:tc>
        <w:tc>
          <w:tcPr>
            <w:tcW w:w="640" w:type="dxa"/>
            <w:vAlign w:val="bottom"/>
            <w:tcBorders>
              <w:bottom w:val="single" w:sz="8" w:color="3E3935"/>
            </w:tcBorders>
          </w:tcPr>
          <w:p>
            <w:pPr>
              <w:spacing w:after="0"/>
              <w:rPr>
                <w:sz w:val="4"/>
                <w:szCs w:val="4"/>
                <w:color w:val="auto"/>
              </w:rPr>
            </w:pPr>
          </w:p>
        </w:tc>
        <w:tc>
          <w:tcPr>
            <w:tcW w:w="880" w:type="dxa"/>
            <w:vAlign w:val="bottom"/>
            <w:tcBorders>
              <w:bottom w:val="single" w:sz="8" w:color="3E3935"/>
            </w:tcBorders>
          </w:tcPr>
          <w:p>
            <w:pPr>
              <w:spacing w:after="0"/>
              <w:rPr>
                <w:sz w:val="4"/>
                <w:szCs w:val="4"/>
                <w:color w:val="auto"/>
              </w:rPr>
            </w:pPr>
          </w:p>
        </w:tc>
        <w:tc>
          <w:tcPr>
            <w:tcW w:w="0" w:type="dxa"/>
            <w:vAlign w:val="bottom"/>
          </w:tcPr>
          <w:p>
            <w:pPr>
              <w:spacing w:after="0"/>
              <w:rPr>
                <w:sz w:val="1"/>
                <w:szCs w:val="1"/>
                <w:color w:val="auto"/>
              </w:rPr>
            </w:pPr>
          </w:p>
        </w:tc>
      </w:tr>
      <w:tr>
        <w:trPr>
          <w:trHeight w:val="195"/>
        </w:trPr>
        <w:tc>
          <w:tcPr>
            <w:tcW w:w="1620" w:type="dxa"/>
            <w:vAlign w:val="bottom"/>
          </w:tcPr>
          <w:p>
            <w:pPr>
              <w:spacing w:after="0"/>
              <w:rPr>
                <w:sz w:val="17"/>
                <w:szCs w:val="17"/>
                <w:color w:val="auto"/>
              </w:rPr>
            </w:pPr>
          </w:p>
        </w:tc>
        <w:tc>
          <w:tcPr>
            <w:tcW w:w="640" w:type="dxa"/>
            <w:vAlign w:val="bottom"/>
          </w:tcPr>
          <w:p>
            <w:pPr>
              <w:jc w:val="right"/>
              <w:ind w:right="17"/>
              <w:spacing w:after="0"/>
              <w:rPr>
                <w:sz w:val="20"/>
                <w:szCs w:val="20"/>
                <w:color w:val="auto"/>
              </w:rPr>
            </w:pPr>
            <w:r>
              <w:rPr>
                <w:rFonts w:ascii="Arial" w:cs="Arial" w:eastAsia="Arial" w:hAnsi="Arial"/>
                <w:sz w:val="13"/>
                <w:szCs w:val="13"/>
                <w:color w:val="3E3935"/>
              </w:rPr>
              <w:t>Options</w:t>
            </w:r>
          </w:p>
        </w:tc>
        <w:tc>
          <w:tcPr>
            <w:tcW w:w="660" w:type="dxa"/>
            <w:vAlign w:val="bottom"/>
          </w:tcPr>
          <w:p>
            <w:pPr>
              <w:jc w:val="right"/>
              <w:ind w:right="17"/>
              <w:spacing w:after="0"/>
              <w:rPr>
                <w:sz w:val="20"/>
                <w:szCs w:val="20"/>
                <w:color w:val="auto"/>
              </w:rPr>
            </w:pPr>
            <w:r>
              <w:rPr>
                <w:rFonts w:ascii="Arial" w:cs="Arial" w:eastAsia="Arial" w:hAnsi="Arial"/>
                <w:sz w:val="13"/>
                <w:szCs w:val="13"/>
                <w:color w:val="3E3935"/>
              </w:rPr>
              <w:t>2/8/2022</w:t>
            </w:r>
          </w:p>
        </w:tc>
        <w:tc>
          <w:tcPr>
            <w:tcW w:w="700" w:type="dxa"/>
            <w:vAlign w:val="bottom"/>
          </w:tcPr>
          <w:p>
            <w:pPr>
              <w:jc w:val="right"/>
              <w:spacing w:after="0"/>
              <w:rPr>
                <w:sz w:val="20"/>
                <w:szCs w:val="20"/>
                <w:color w:val="auto"/>
              </w:rPr>
            </w:pPr>
            <w:r>
              <w:rPr>
                <w:rFonts w:ascii="Arial" w:cs="Arial" w:eastAsia="Arial" w:hAnsi="Arial"/>
                <w:sz w:val="13"/>
                <w:szCs w:val="13"/>
                <w:color w:val="3E3935"/>
              </w:rPr>
              <w:t>12/6/2021</w:t>
            </w:r>
          </w:p>
        </w:tc>
        <w:tc>
          <w:tcPr>
            <w:tcW w:w="7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3E3935"/>
              </w:rPr>
              <w:t>102,027</w:t>
            </w:r>
          </w:p>
        </w:tc>
        <w:tc>
          <w:tcPr>
            <w:tcW w:w="640" w:type="dxa"/>
            <w:vAlign w:val="bottom"/>
          </w:tcPr>
          <w:p>
            <w:pPr>
              <w:jc w:val="right"/>
              <w:spacing w:after="0"/>
              <w:rPr>
                <w:sz w:val="20"/>
                <w:szCs w:val="20"/>
                <w:color w:val="auto"/>
              </w:rPr>
            </w:pPr>
            <w:r>
              <w:rPr>
                <w:rFonts w:ascii="Arial" w:cs="Arial" w:eastAsia="Arial" w:hAnsi="Arial"/>
                <w:sz w:val="13"/>
                <w:szCs w:val="13"/>
                <w:color w:val="3E3935"/>
              </w:rPr>
              <w:t>49.46</w:t>
            </w:r>
          </w:p>
        </w:tc>
        <w:tc>
          <w:tcPr>
            <w:tcW w:w="880" w:type="dxa"/>
            <w:vAlign w:val="bottom"/>
          </w:tcPr>
          <w:p>
            <w:pPr>
              <w:jc w:val="right"/>
              <w:spacing w:after="0"/>
              <w:rPr>
                <w:sz w:val="20"/>
                <w:szCs w:val="20"/>
                <w:color w:val="auto"/>
              </w:rPr>
            </w:pPr>
            <w:r>
              <w:rPr>
                <w:rFonts w:ascii="Arial" w:cs="Arial" w:eastAsia="Arial" w:hAnsi="Arial"/>
                <w:sz w:val="13"/>
                <w:szCs w:val="13"/>
                <w:color w:val="3E3935"/>
              </w:rPr>
              <w:t>1,787,513</w:t>
            </w:r>
          </w:p>
        </w:tc>
        <w:tc>
          <w:tcPr>
            <w:tcW w:w="0" w:type="dxa"/>
            <w:vAlign w:val="bottom"/>
          </w:tcPr>
          <w:p>
            <w:pPr>
              <w:spacing w:after="0"/>
              <w:rPr>
                <w:sz w:val="1"/>
                <w:szCs w:val="1"/>
                <w:color w:val="auto"/>
              </w:rPr>
            </w:pPr>
          </w:p>
        </w:tc>
      </w:tr>
      <w:tr>
        <w:trPr>
          <w:trHeight w:val="55"/>
        </w:trPr>
        <w:tc>
          <w:tcPr>
            <w:tcW w:w="1620" w:type="dxa"/>
            <w:vAlign w:val="bottom"/>
          </w:tcPr>
          <w:p>
            <w:pPr>
              <w:spacing w:after="0"/>
              <w:rPr>
                <w:sz w:val="4"/>
                <w:szCs w:val="4"/>
                <w:color w:val="auto"/>
              </w:rPr>
            </w:pPr>
          </w:p>
        </w:tc>
        <w:tc>
          <w:tcPr>
            <w:tcW w:w="640" w:type="dxa"/>
            <w:vAlign w:val="bottom"/>
            <w:tcBorders>
              <w:bottom w:val="single" w:sz="8" w:color="3E3935"/>
            </w:tcBorders>
          </w:tcPr>
          <w:p>
            <w:pPr>
              <w:spacing w:after="0"/>
              <w:rPr>
                <w:sz w:val="4"/>
                <w:szCs w:val="4"/>
                <w:color w:val="auto"/>
              </w:rPr>
            </w:pPr>
          </w:p>
        </w:tc>
        <w:tc>
          <w:tcPr>
            <w:tcW w:w="660" w:type="dxa"/>
            <w:vAlign w:val="bottom"/>
            <w:tcBorders>
              <w:bottom w:val="single" w:sz="8" w:color="3E3935"/>
            </w:tcBorders>
          </w:tcPr>
          <w:p>
            <w:pPr>
              <w:spacing w:after="0"/>
              <w:rPr>
                <w:sz w:val="4"/>
                <w:szCs w:val="4"/>
                <w:color w:val="auto"/>
              </w:rPr>
            </w:pPr>
          </w:p>
        </w:tc>
        <w:tc>
          <w:tcPr>
            <w:tcW w:w="700" w:type="dxa"/>
            <w:vAlign w:val="bottom"/>
            <w:tcBorders>
              <w:bottom w:val="single" w:sz="8" w:color="3E3935"/>
            </w:tcBorders>
          </w:tcPr>
          <w:p>
            <w:pPr>
              <w:spacing w:after="0"/>
              <w:rPr>
                <w:sz w:val="4"/>
                <w:szCs w:val="4"/>
                <w:color w:val="auto"/>
              </w:rPr>
            </w:pPr>
          </w:p>
        </w:tc>
        <w:tc>
          <w:tcPr>
            <w:tcW w:w="720" w:type="dxa"/>
            <w:vAlign w:val="bottom"/>
            <w:tcBorders>
              <w:bottom w:val="single" w:sz="8" w:color="3E3935"/>
            </w:tcBorders>
          </w:tcPr>
          <w:p>
            <w:pPr>
              <w:spacing w:after="0"/>
              <w:rPr>
                <w:sz w:val="4"/>
                <w:szCs w:val="4"/>
                <w:color w:val="auto"/>
              </w:rPr>
            </w:pPr>
          </w:p>
        </w:tc>
        <w:tc>
          <w:tcPr>
            <w:tcW w:w="820" w:type="dxa"/>
            <w:vAlign w:val="bottom"/>
            <w:tcBorders>
              <w:bottom w:val="single" w:sz="8" w:color="3E3935"/>
            </w:tcBorders>
          </w:tcPr>
          <w:p>
            <w:pPr>
              <w:spacing w:after="0"/>
              <w:rPr>
                <w:sz w:val="4"/>
                <w:szCs w:val="4"/>
                <w:color w:val="auto"/>
              </w:rPr>
            </w:pPr>
          </w:p>
        </w:tc>
        <w:tc>
          <w:tcPr>
            <w:tcW w:w="680" w:type="dxa"/>
            <w:vAlign w:val="bottom"/>
            <w:tcBorders>
              <w:bottom w:val="single" w:sz="8" w:color="3E3935"/>
            </w:tcBorders>
          </w:tcPr>
          <w:p>
            <w:pPr>
              <w:spacing w:after="0"/>
              <w:rPr>
                <w:sz w:val="4"/>
                <w:szCs w:val="4"/>
                <w:color w:val="auto"/>
              </w:rPr>
            </w:pPr>
          </w:p>
        </w:tc>
        <w:tc>
          <w:tcPr>
            <w:tcW w:w="780" w:type="dxa"/>
            <w:vAlign w:val="bottom"/>
            <w:tcBorders>
              <w:bottom w:val="single" w:sz="8" w:color="3E3935"/>
            </w:tcBorders>
          </w:tcPr>
          <w:p>
            <w:pPr>
              <w:spacing w:after="0"/>
              <w:rPr>
                <w:sz w:val="4"/>
                <w:szCs w:val="4"/>
                <w:color w:val="auto"/>
              </w:rPr>
            </w:pPr>
          </w:p>
        </w:tc>
        <w:tc>
          <w:tcPr>
            <w:tcW w:w="660" w:type="dxa"/>
            <w:vAlign w:val="bottom"/>
            <w:tcBorders>
              <w:bottom w:val="single" w:sz="8" w:color="3E3935"/>
            </w:tcBorders>
          </w:tcPr>
          <w:p>
            <w:pPr>
              <w:spacing w:after="0"/>
              <w:rPr>
                <w:sz w:val="4"/>
                <w:szCs w:val="4"/>
                <w:color w:val="auto"/>
              </w:rPr>
            </w:pPr>
          </w:p>
        </w:tc>
        <w:tc>
          <w:tcPr>
            <w:tcW w:w="640" w:type="dxa"/>
            <w:vAlign w:val="bottom"/>
            <w:tcBorders>
              <w:bottom w:val="single" w:sz="8" w:color="3E3935"/>
            </w:tcBorders>
          </w:tcPr>
          <w:p>
            <w:pPr>
              <w:spacing w:after="0"/>
              <w:rPr>
                <w:sz w:val="4"/>
                <w:szCs w:val="4"/>
                <w:color w:val="auto"/>
              </w:rPr>
            </w:pPr>
          </w:p>
        </w:tc>
        <w:tc>
          <w:tcPr>
            <w:tcW w:w="780" w:type="dxa"/>
            <w:vAlign w:val="bottom"/>
            <w:tcBorders>
              <w:bottom w:val="single" w:sz="8" w:color="3E3935"/>
            </w:tcBorders>
          </w:tcPr>
          <w:p>
            <w:pPr>
              <w:spacing w:after="0"/>
              <w:rPr>
                <w:sz w:val="4"/>
                <w:szCs w:val="4"/>
                <w:color w:val="auto"/>
              </w:rPr>
            </w:pPr>
          </w:p>
        </w:tc>
        <w:tc>
          <w:tcPr>
            <w:tcW w:w="800" w:type="dxa"/>
            <w:vAlign w:val="bottom"/>
            <w:tcBorders>
              <w:bottom w:val="single" w:sz="8" w:color="3E3935"/>
            </w:tcBorders>
          </w:tcPr>
          <w:p>
            <w:pPr>
              <w:spacing w:after="0"/>
              <w:rPr>
                <w:sz w:val="4"/>
                <w:szCs w:val="4"/>
                <w:color w:val="auto"/>
              </w:rPr>
            </w:pPr>
          </w:p>
        </w:tc>
        <w:tc>
          <w:tcPr>
            <w:tcW w:w="640" w:type="dxa"/>
            <w:vAlign w:val="bottom"/>
            <w:tcBorders>
              <w:bottom w:val="single" w:sz="8" w:color="3E3935"/>
            </w:tcBorders>
          </w:tcPr>
          <w:p>
            <w:pPr>
              <w:spacing w:after="0"/>
              <w:rPr>
                <w:sz w:val="4"/>
                <w:szCs w:val="4"/>
                <w:color w:val="auto"/>
              </w:rPr>
            </w:pPr>
          </w:p>
        </w:tc>
        <w:tc>
          <w:tcPr>
            <w:tcW w:w="880" w:type="dxa"/>
            <w:vAlign w:val="bottom"/>
            <w:tcBorders>
              <w:bottom w:val="single" w:sz="8" w:color="3E3935"/>
            </w:tcBorders>
          </w:tcPr>
          <w:p>
            <w:pPr>
              <w:spacing w:after="0"/>
              <w:rPr>
                <w:sz w:val="4"/>
                <w:szCs w:val="4"/>
                <w:color w:val="auto"/>
              </w:rPr>
            </w:pPr>
          </w:p>
        </w:tc>
        <w:tc>
          <w:tcPr>
            <w:tcW w:w="0" w:type="dxa"/>
            <w:vAlign w:val="bottom"/>
          </w:tcPr>
          <w:p>
            <w:pPr>
              <w:spacing w:after="0"/>
              <w:rPr>
                <w:sz w:val="1"/>
                <w:szCs w:val="1"/>
                <w:color w:val="auto"/>
              </w:rPr>
            </w:pPr>
          </w:p>
        </w:tc>
      </w:tr>
      <w:tr>
        <w:trPr>
          <w:trHeight w:val="195"/>
        </w:trPr>
        <w:tc>
          <w:tcPr>
            <w:tcW w:w="1620" w:type="dxa"/>
            <w:vAlign w:val="bottom"/>
          </w:tcPr>
          <w:p>
            <w:pPr>
              <w:spacing w:after="0"/>
              <w:rPr>
                <w:sz w:val="17"/>
                <w:szCs w:val="17"/>
                <w:color w:val="auto"/>
              </w:rPr>
            </w:pPr>
          </w:p>
        </w:tc>
        <w:tc>
          <w:tcPr>
            <w:tcW w:w="640" w:type="dxa"/>
            <w:vAlign w:val="bottom"/>
          </w:tcPr>
          <w:p>
            <w:pPr>
              <w:jc w:val="right"/>
              <w:ind w:right="17"/>
              <w:spacing w:after="0"/>
              <w:rPr>
                <w:sz w:val="20"/>
                <w:szCs w:val="20"/>
                <w:color w:val="auto"/>
              </w:rPr>
            </w:pPr>
            <w:r>
              <w:rPr>
                <w:rFonts w:ascii="Arial" w:cs="Arial" w:eastAsia="Arial" w:hAnsi="Arial"/>
                <w:sz w:val="13"/>
                <w:szCs w:val="13"/>
                <w:color w:val="3E3935"/>
              </w:rPr>
              <w:t>PSU</w:t>
            </w:r>
          </w:p>
        </w:tc>
        <w:tc>
          <w:tcPr>
            <w:tcW w:w="660" w:type="dxa"/>
            <w:vAlign w:val="bottom"/>
          </w:tcPr>
          <w:p>
            <w:pPr>
              <w:jc w:val="right"/>
              <w:ind w:right="17"/>
              <w:spacing w:after="0"/>
              <w:rPr>
                <w:sz w:val="20"/>
                <w:szCs w:val="20"/>
                <w:color w:val="auto"/>
              </w:rPr>
            </w:pPr>
            <w:r>
              <w:rPr>
                <w:rFonts w:ascii="Arial" w:cs="Arial" w:eastAsia="Arial" w:hAnsi="Arial"/>
                <w:sz w:val="13"/>
                <w:szCs w:val="13"/>
                <w:color w:val="3E3935"/>
              </w:rPr>
              <w:t>2/8/2022</w:t>
            </w:r>
          </w:p>
        </w:tc>
        <w:tc>
          <w:tcPr>
            <w:tcW w:w="700" w:type="dxa"/>
            <w:vAlign w:val="bottom"/>
          </w:tcPr>
          <w:p>
            <w:pPr>
              <w:jc w:val="right"/>
              <w:spacing w:after="0"/>
              <w:rPr>
                <w:sz w:val="20"/>
                <w:szCs w:val="20"/>
                <w:color w:val="auto"/>
              </w:rPr>
            </w:pPr>
            <w:r>
              <w:rPr>
                <w:rFonts w:ascii="Arial" w:cs="Arial" w:eastAsia="Arial" w:hAnsi="Arial"/>
                <w:sz w:val="13"/>
                <w:szCs w:val="13"/>
                <w:color w:val="3E3935"/>
              </w:rPr>
              <w:t>12/6/2021</w:t>
            </w:r>
          </w:p>
        </w:tc>
        <w:tc>
          <w:tcPr>
            <w:tcW w:w="7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80" w:type="dxa"/>
            <w:vAlign w:val="bottom"/>
          </w:tcPr>
          <w:p>
            <w:pPr>
              <w:jc w:val="right"/>
              <w:ind w:right="37"/>
              <w:spacing w:after="0"/>
              <w:rPr>
                <w:sz w:val="20"/>
                <w:szCs w:val="20"/>
                <w:color w:val="auto"/>
              </w:rPr>
            </w:pPr>
            <w:r>
              <w:rPr>
                <w:rFonts w:ascii="Arial" w:cs="Arial" w:eastAsia="Arial" w:hAnsi="Arial"/>
                <w:sz w:val="13"/>
                <w:szCs w:val="13"/>
                <w:color w:val="3E3935"/>
              </w:rPr>
              <w:t>10,521</w:t>
            </w:r>
          </w:p>
        </w:tc>
        <w:tc>
          <w:tcPr>
            <w:tcW w:w="660" w:type="dxa"/>
            <w:vAlign w:val="bottom"/>
          </w:tcPr>
          <w:p>
            <w:pPr>
              <w:jc w:val="right"/>
              <w:ind w:right="57"/>
              <w:spacing w:after="0"/>
              <w:rPr>
                <w:sz w:val="20"/>
                <w:szCs w:val="20"/>
                <w:color w:val="auto"/>
              </w:rPr>
            </w:pPr>
            <w:r>
              <w:rPr>
                <w:rFonts w:ascii="Arial" w:cs="Arial" w:eastAsia="Arial" w:hAnsi="Arial"/>
                <w:sz w:val="13"/>
                <w:szCs w:val="13"/>
                <w:color w:val="3E3935"/>
              </w:rPr>
              <w:t>105,207</w:t>
            </w:r>
          </w:p>
        </w:tc>
        <w:tc>
          <w:tcPr>
            <w:tcW w:w="640" w:type="dxa"/>
            <w:vAlign w:val="bottom"/>
          </w:tcPr>
          <w:p>
            <w:pPr>
              <w:jc w:val="right"/>
              <w:spacing w:after="0"/>
              <w:rPr>
                <w:sz w:val="20"/>
                <w:szCs w:val="20"/>
                <w:color w:val="auto"/>
              </w:rPr>
            </w:pPr>
            <w:r>
              <w:rPr>
                <w:rFonts w:ascii="Arial" w:cs="Arial" w:eastAsia="Arial" w:hAnsi="Arial"/>
                <w:sz w:val="13"/>
                <w:szCs w:val="13"/>
                <w:color w:val="3E3935"/>
              </w:rPr>
              <w:t>210,414</w:t>
            </w:r>
          </w:p>
        </w:tc>
        <w:tc>
          <w:tcPr>
            <w:tcW w:w="7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3E3935"/>
              </w:rPr>
              <w:t>5,362,500</w:t>
            </w:r>
          </w:p>
        </w:tc>
        <w:tc>
          <w:tcPr>
            <w:tcW w:w="0" w:type="dxa"/>
            <w:vAlign w:val="bottom"/>
          </w:tcPr>
          <w:p>
            <w:pPr>
              <w:spacing w:after="0"/>
              <w:rPr>
                <w:sz w:val="1"/>
                <w:szCs w:val="1"/>
                <w:color w:val="auto"/>
              </w:rPr>
            </w:pPr>
          </w:p>
        </w:tc>
      </w:tr>
      <w:tr>
        <w:trPr>
          <w:trHeight w:val="55"/>
        </w:trPr>
        <w:tc>
          <w:tcPr>
            <w:tcW w:w="1620" w:type="dxa"/>
            <w:vAlign w:val="bottom"/>
            <w:tcBorders>
              <w:bottom w:val="single" w:sz="8" w:color="3E3935"/>
            </w:tcBorders>
          </w:tcPr>
          <w:p>
            <w:pPr>
              <w:spacing w:after="0"/>
              <w:rPr>
                <w:sz w:val="4"/>
                <w:szCs w:val="4"/>
                <w:color w:val="auto"/>
              </w:rPr>
            </w:pPr>
          </w:p>
        </w:tc>
        <w:tc>
          <w:tcPr>
            <w:tcW w:w="640" w:type="dxa"/>
            <w:vAlign w:val="bottom"/>
            <w:tcBorders>
              <w:bottom w:val="single" w:sz="8" w:color="3E3935"/>
            </w:tcBorders>
          </w:tcPr>
          <w:p>
            <w:pPr>
              <w:spacing w:after="0"/>
              <w:rPr>
                <w:sz w:val="4"/>
                <w:szCs w:val="4"/>
                <w:color w:val="auto"/>
              </w:rPr>
            </w:pPr>
          </w:p>
        </w:tc>
        <w:tc>
          <w:tcPr>
            <w:tcW w:w="660" w:type="dxa"/>
            <w:vAlign w:val="bottom"/>
            <w:tcBorders>
              <w:bottom w:val="single" w:sz="8" w:color="3E3935"/>
            </w:tcBorders>
          </w:tcPr>
          <w:p>
            <w:pPr>
              <w:spacing w:after="0"/>
              <w:rPr>
                <w:sz w:val="4"/>
                <w:szCs w:val="4"/>
                <w:color w:val="auto"/>
              </w:rPr>
            </w:pPr>
          </w:p>
        </w:tc>
        <w:tc>
          <w:tcPr>
            <w:tcW w:w="700" w:type="dxa"/>
            <w:vAlign w:val="bottom"/>
            <w:tcBorders>
              <w:bottom w:val="single" w:sz="8" w:color="3E3935"/>
            </w:tcBorders>
          </w:tcPr>
          <w:p>
            <w:pPr>
              <w:spacing w:after="0"/>
              <w:rPr>
                <w:sz w:val="4"/>
                <w:szCs w:val="4"/>
                <w:color w:val="auto"/>
              </w:rPr>
            </w:pPr>
          </w:p>
        </w:tc>
        <w:tc>
          <w:tcPr>
            <w:tcW w:w="720" w:type="dxa"/>
            <w:vAlign w:val="bottom"/>
            <w:tcBorders>
              <w:bottom w:val="single" w:sz="8" w:color="3E3935"/>
            </w:tcBorders>
          </w:tcPr>
          <w:p>
            <w:pPr>
              <w:spacing w:after="0"/>
              <w:rPr>
                <w:sz w:val="4"/>
                <w:szCs w:val="4"/>
                <w:color w:val="auto"/>
              </w:rPr>
            </w:pPr>
          </w:p>
        </w:tc>
        <w:tc>
          <w:tcPr>
            <w:tcW w:w="820" w:type="dxa"/>
            <w:vAlign w:val="bottom"/>
            <w:tcBorders>
              <w:bottom w:val="single" w:sz="8" w:color="3E3935"/>
            </w:tcBorders>
          </w:tcPr>
          <w:p>
            <w:pPr>
              <w:spacing w:after="0"/>
              <w:rPr>
                <w:sz w:val="4"/>
                <w:szCs w:val="4"/>
                <w:color w:val="auto"/>
              </w:rPr>
            </w:pPr>
          </w:p>
        </w:tc>
        <w:tc>
          <w:tcPr>
            <w:tcW w:w="680" w:type="dxa"/>
            <w:vAlign w:val="bottom"/>
            <w:tcBorders>
              <w:bottom w:val="single" w:sz="8" w:color="3E3935"/>
            </w:tcBorders>
          </w:tcPr>
          <w:p>
            <w:pPr>
              <w:spacing w:after="0"/>
              <w:rPr>
                <w:sz w:val="4"/>
                <w:szCs w:val="4"/>
                <w:color w:val="auto"/>
              </w:rPr>
            </w:pPr>
          </w:p>
        </w:tc>
        <w:tc>
          <w:tcPr>
            <w:tcW w:w="780" w:type="dxa"/>
            <w:vAlign w:val="bottom"/>
            <w:tcBorders>
              <w:bottom w:val="single" w:sz="8" w:color="3E3935"/>
            </w:tcBorders>
          </w:tcPr>
          <w:p>
            <w:pPr>
              <w:spacing w:after="0"/>
              <w:rPr>
                <w:sz w:val="4"/>
                <w:szCs w:val="4"/>
                <w:color w:val="auto"/>
              </w:rPr>
            </w:pPr>
          </w:p>
        </w:tc>
        <w:tc>
          <w:tcPr>
            <w:tcW w:w="660" w:type="dxa"/>
            <w:vAlign w:val="bottom"/>
            <w:tcBorders>
              <w:bottom w:val="single" w:sz="8" w:color="3E3935"/>
            </w:tcBorders>
          </w:tcPr>
          <w:p>
            <w:pPr>
              <w:spacing w:after="0"/>
              <w:rPr>
                <w:sz w:val="4"/>
                <w:szCs w:val="4"/>
                <w:color w:val="auto"/>
              </w:rPr>
            </w:pPr>
          </w:p>
        </w:tc>
        <w:tc>
          <w:tcPr>
            <w:tcW w:w="640" w:type="dxa"/>
            <w:vAlign w:val="bottom"/>
            <w:tcBorders>
              <w:bottom w:val="single" w:sz="8" w:color="3E3935"/>
            </w:tcBorders>
          </w:tcPr>
          <w:p>
            <w:pPr>
              <w:spacing w:after="0"/>
              <w:rPr>
                <w:sz w:val="4"/>
                <w:szCs w:val="4"/>
                <w:color w:val="auto"/>
              </w:rPr>
            </w:pPr>
          </w:p>
        </w:tc>
        <w:tc>
          <w:tcPr>
            <w:tcW w:w="780" w:type="dxa"/>
            <w:vAlign w:val="bottom"/>
            <w:tcBorders>
              <w:bottom w:val="single" w:sz="8" w:color="3E3935"/>
            </w:tcBorders>
          </w:tcPr>
          <w:p>
            <w:pPr>
              <w:spacing w:after="0"/>
              <w:rPr>
                <w:sz w:val="4"/>
                <w:szCs w:val="4"/>
                <w:color w:val="auto"/>
              </w:rPr>
            </w:pPr>
          </w:p>
        </w:tc>
        <w:tc>
          <w:tcPr>
            <w:tcW w:w="800" w:type="dxa"/>
            <w:vAlign w:val="bottom"/>
            <w:tcBorders>
              <w:bottom w:val="single" w:sz="8" w:color="3E3935"/>
            </w:tcBorders>
          </w:tcPr>
          <w:p>
            <w:pPr>
              <w:spacing w:after="0"/>
              <w:rPr>
                <w:sz w:val="4"/>
                <w:szCs w:val="4"/>
                <w:color w:val="auto"/>
              </w:rPr>
            </w:pPr>
          </w:p>
        </w:tc>
        <w:tc>
          <w:tcPr>
            <w:tcW w:w="640" w:type="dxa"/>
            <w:vAlign w:val="bottom"/>
            <w:tcBorders>
              <w:bottom w:val="single" w:sz="8" w:color="3E3935"/>
            </w:tcBorders>
          </w:tcPr>
          <w:p>
            <w:pPr>
              <w:spacing w:after="0"/>
              <w:rPr>
                <w:sz w:val="4"/>
                <w:szCs w:val="4"/>
                <w:color w:val="auto"/>
              </w:rPr>
            </w:pPr>
          </w:p>
        </w:tc>
        <w:tc>
          <w:tcPr>
            <w:tcW w:w="880" w:type="dxa"/>
            <w:vAlign w:val="bottom"/>
            <w:tcBorders>
              <w:bottom w:val="single" w:sz="8" w:color="3E3935"/>
            </w:tcBorders>
          </w:tcPr>
          <w:p>
            <w:pPr>
              <w:spacing w:after="0"/>
              <w:rPr>
                <w:sz w:val="4"/>
                <w:szCs w:val="4"/>
                <w:color w:val="auto"/>
              </w:rPr>
            </w:pPr>
          </w:p>
        </w:tc>
        <w:tc>
          <w:tcPr>
            <w:tcW w:w="0" w:type="dxa"/>
            <w:vAlign w:val="bottom"/>
          </w:tcPr>
          <w:p>
            <w:pPr>
              <w:spacing w:after="0"/>
              <w:rPr>
                <w:sz w:val="1"/>
                <w:szCs w:val="1"/>
                <w:color w:val="auto"/>
              </w:rPr>
            </w:pPr>
          </w:p>
        </w:tc>
      </w:tr>
      <w:tr>
        <w:trPr>
          <w:trHeight w:val="195"/>
        </w:trPr>
        <w:tc>
          <w:tcPr>
            <w:tcW w:w="1620" w:type="dxa"/>
            <w:vAlign w:val="bottom"/>
          </w:tcPr>
          <w:p>
            <w:pPr>
              <w:ind w:left="60"/>
              <w:spacing w:after="0"/>
              <w:rPr>
                <w:sz w:val="20"/>
                <w:szCs w:val="20"/>
                <w:color w:val="auto"/>
              </w:rPr>
            </w:pPr>
            <w:r>
              <w:rPr>
                <w:rFonts w:ascii="Arial" w:cs="Arial" w:eastAsia="Arial" w:hAnsi="Arial"/>
                <w:sz w:val="13"/>
                <w:szCs w:val="13"/>
                <w:color w:val="3E3935"/>
              </w:rPr>
              <w:t>Mark L. Reuss</w:t>
            </w:r>
          </w:p>
        </w:tc>
        <w:tc>
          <w:tcPr>
            <w:tcW w:w="640" w:type="dxa"/>
            <w:vAlign w:val="bottom"/>
          </w:tcPr>
          <w:p>
            <w:pPr>
              <w:jc w:val="right"/>
              <w:ind w:right="17"/>
              <w:spacing w:after="0"/>
              <w:rPr>
                <w:sz w:val="20"/>
                <w:szCs w:val="20"/>
                <w:color w:val="auto"/>
              </w:rPr>
            </w:pPr>
            <w:r>
              <w:rPr>
                <w:rFonts w:ascii="Arial" w:cs="Arial" w:eastAsia="Arial" w:hAnsi="Arial"/>
                <w:sz w:val="13"/>
                <w:szCs w:val="13"/>
                <w:color w:val="3E3935"/>
              </w:rPr>
              <w:t>STIP</w:t>
            </w:r>
          </w:p>
        </w:tc>
        <w:tc>
          <w:tcPr>
            <w:tcW w:w="660" w:type="dxa"/>
            <w:vAlign w:val="bottom"/>
          </w:tcPr>
          <w:p>
            <w:pPr>
              <w:jc w:val="right"/>
              <w:ind w:right="17"/>
              <w:spacing w:after="0"/>
              <w:rPr>
                <w:sz w:val="20"/>
                <w:szCs w:val="20"/>
                <w:color w:val="auto"/>
              </w:rPr>
            </w:pPr>
            <w:r>
              <w:rPr>
                <w:rFonts w:ascii="Arial" w:cs="Arial" w:eastAsia="Arial" w:hAnsi="Arial"/>
                <w:sz w:val="13"/>
                <w:szCs w:val="13"/>
                <w:color w:val="3E3935"/>
              </w:rPr>
              <w:t>1/1/2022</w:t>
            </w:r>
          </w:p>
        </w:tc>
        <w:tc>
          <w:tcPr>
            <w:tcW w:w="700" w:type="dxa"/>
            <w:vAlign w:val="bottom"/>
          </w:tcPr>
          <w:p>
            <w:pPr>
              <w:jc w:val="right"/>
              <w:spacing w:after="0"/>
              <w:rPr>
                <w:sz w:val="20"/>
                <w:szCs w:val="20"/>
                <w:color w:val="auto"/>
              </w:rPr>
            </w:pPr>
            <w:r>
              <w:rPr>
                <w:rFonts w:ascii="Arial" w:cs="Arial" w:eastAsia="Arial" w:hAnsi="Arial"/>
                <w:sz w:val="13"/>
                <w:szCs w:val="13"/>
                <w:color w:val="3E3935"/>
              </w:rPr>
              <w:t>12/6/2021</w:t>
            </w:r>
          </w:p>
        </w:tc>
        <w:tc>
          <w:tcPr>
            <w:tcW w:w="720" w:type="dxa"/>
            <w:vAlign w:val="bottom"/>
          </w:tcPr>
          <w:p>
            <w:pPr>
              <w:jc w:val="right"/>
              <w:spacing w:after="0"/>
              <w:rPr>
                <w:sz w:val="20"/>
                <w:szCs w:val="20"/>
                <w:color w:val="auto"/>
              </w:rPr>
            </w:pPr>
            <w:r>
              <w:rPr>
                <w:rFonts w:ascii="Arial" w:cs="Arial" w:eastAsia="Arial" w:hAnsi="Arial"/>
                <w:sz w:val="13"/>
                <w:szCs w:val="13"/>
                <w:color w:val="3E3935"/>
              </w:rPr>
              <w:t>105,469</w:t>
            </w:r>
          </w:p>
        </w:tc>
        <w:tc>
          <w:tcPr>
            <w:tcW w:w="820" w:type="dxa"/>
            <w:vAlign w:val="bottom"/>
          </w:tcPr>
          <w:p>
            <w:pPr>
              <w:jc w:val="right"/>
              <w:ind w:right="57"/>
              <w:spacing w:after="0"/>
              <w:rPr>
                <w:sz w:val="20"/>
                <w:szCs w:val="20"/>
                <w:color w:val="auto"/>
              </w:rPr>
            </w:pPr>
            <w:r>
              <w:rPr>
                <w:rFonts w:ascii="Arial" w:cs="Arial" w:eastAsia="Arial" w:hAnsi="Arial"/>
                <w:sz w:val="13"/>
                <w:szCs w:val="13"/>
                <w:color w:val="3E3935"/>
              </w:rPr>
              <w:t>1,687,500</w:t>
            </w:r>
          </w:p>
        </w:tc>
        <w:tc>
          <w:tcPr>
            <w:tcW w:w="680" w:type="dxa"/>
            <w:vAlign w:val="bottom"/>
          </w:tcPr>
          <w:p>
            <w:pPr>
              <w:jc w:val="right"/>
              <w:spacing w:after="0"/>
              <w:rPr>
                <w:sz w:val="20"/>
                <w:szCs w:val="20"/>
                <w:color w:val="auto"/>
              </w:rPr>
            </w:pPr>
            <w:r>
              <w:rPr>
                <w:rFonts w:ascii="Arial" w:cs="Arial" w:eastAsia="Arial" w:hAnsi="Arial"/>
                <w:sz w:val="13"/>
                <w:szCs w:val="13"/>
                <w:color w:val="3E3935"/>
              </w:rPr>
              <w:t>3,375,000</w:t>
            </w:r>
          </w:p>
        </w:tc>
        <w:tc>
          <w:tcPr>
            <w:tcW w:w="7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5"/>
        </w:trPr>
        <w:tc>
          <w:tcPr>
            <w:tcW w:w="1620" w:type="dxa"/>
            <w:vAlign w:val="bottom"/>
          </w:tcPr>
          <w:p>
            <w:pPr>
              <w:spacing w:after="0"/>
              <w:rPr>
                <w:sz w:val="4"/>
                <w:szCs w:val="4"/>
                <w:color w:val="auto"/>
              </w:rPr>
            </w:pPr>
          </w:p>
        </w:tc>
        <w:tc>
          <w:tcPr>
            <w:tcW w:w="640" w:type="dxa"/>
            <w:vAlign w:val="bottom"/>
            <w:tcBorders>
              <w:bottom w:val="single" w:sz="8" w:color="3E3935"/>
            </w:tcBorders>
          </w:tcPr>
          <w:p>
            <w:pPr>
              <w:spacing w:after="0"/>
              <w:rPr>
                <w:sz w:val="4"/>
                <w:szCs w:val="4"/>
                <w:color w:val="auto"/>
              </w:rPr>
            </w:pPr>
          </w:p>
        </w:tc>
        <w:tc>
          <w:tcPr>
            <w:tcW w:w="660" w:type="dxa"/>
            <w:vAlign w:val="bottom"/>
            <w:tcBorders>
              <w:bottom w:val="single" w:sz="8" w:color="3E3935"/>
            </w:tcBorders>
          </w:tcPr>
          <w:p>
            <w:pPr>
              <w:spacing w:after="0"/>
              <w:rPr>
                <w:sz w:val="4"/>
                <w:szCs w:val="4"/>
                <w:color w:val="auto"/>
              </w:rPr>
            </w:pPr>
          </w:p>
        </w:tc>
        <w:tc>
          <w:tcPr>
            <w:tcW w:w="700" w:type="dxa"/>
            <w:vAlign w:val="bottom"/>
            <w:tcBorders>
              <w:bottom w:val="single" w:sz="8" w:color="3E3935"/>
            </w:tcBorders>
          </w:tcPr>
          <w:p>
            <w:pPr>
              <w:spacing w:after="0"/>
              <w:rPr>
                <w:sz w:val="4"/>
                <w:szCs w:val="4"/>
                <w:color w:val="auto"/>
              </w:rPr>
            </w:pPr>
          </w:p>
        </w:tc>
        <w:tc>
          <w:tcPr>
            <w:tcW w:w="720" w:type="dxa"/>
            <w:vAlign w:val="bottom"/>
            <w:tcBorders>
              <w:bottom w:val="single" w:sz="8" w:color="3E3935"/>
            </w:tcBorders>
          </w:tcPr>
          <w:p>
            <w:pPr>
              <w:spacing w:after="0"/>
              <w:rPr>
                <w:sz w:val="4"/>
                <w:szCs w:val="4"/>
                <w:color w:val="auto"/>
              </w:rPr>
            </w:pPr>
          </w:p>
        </w:tc>
        <w:tc>
          <w:tcPr>
            <w:tcW w:w="820" w:type="dxa"/>
            <w:vAlign w:val="bottom"/>
            <w:tcBorders>
              <w:bottom w:val="single" w:sz="8" w:color="3E3935"/>
            </w:tcBorders>
          </w:tcPr>
          <w:p>
            <w:pPr>
              <w:spacing w:after="0"/>
              <w:rPr>
                <w:sz w:val="4"/>
                <w:szCs w:val="4"/>
                <w:color w:val="auto"/>
              </w:rPr>
            </w:pPr>
          </w:p>
        </w:tc>
        <w:tc>
          <w:tcPr>
            <w:tcW w:w="680" w:type="dxa"/>
            <w:vAlign w:val="bottom"/>
            <w:tcBorders>
              <w:bottom w:val="single" w:sz="8" w:color="3E3935"/>
            </w:tcBorders>
          </w:tcPr>
          <w:p>
            <w:pPr>
              <w:spacing w:after="0"/>
              <w:rPr>
                <w:sz w:val="4"/>
                <w:szCs w:val="4"/>
                <w:color w:val="auto"/>
              </w:rPr>
            </w:pPr>
          </w:p>
        </w:tc>
        <w:tc>
          <w:tcPr>
            <w:tcW w:w="780" w:type="dxa"/>
            <w:vAlign w:val="bottom"/>
            <w:tcBorders>
              <w:bottom w:val="single" w:sz="8" w:color="3E3935"/>
            </w:tcBorders>
          </w:tcPr>
          <w:p>
            <w:pPr>
              <w:spacing w:after="0"/>
              <w:rPr>
                <w:sz w:val="4"/>
                <w:szCs w:val="4"/>
                <w:color w:val="auto"/>
              </w:rPr>
            </w:pPr>
          </w:p>
        </w:tc>
        <w:tc>
          <w:tcPr>
            <w:tcW w:w="660" w:type="dxa"/>
            <w:vAlign w:val="bottom"/>
            <w:tcBorders>
              <w:bottom w:val="single" w:sz="8" w:color="3E3935"/>
            </w:tcBorders>
          </w:tcPr>
          <w:p>
            <w:pPr>
              <w:spacing w:after="0"/>
              <w:rPr>
                <w:sz w:val="4"/>
                <w:szCs w:val="4"/>
                <w:color w:val="auto"/>
              </w:rPr>
            </w:pPr>
          </w:p>
        </w:tc>
        <w:tc>
          <w:tcPr>
            <w:tcW w:w="640" w:type="dxa"/>
            <w:vAlign w:val="bottom"/>
            <w:tcBorders>
              <w:bottom w:val="single" w:sz="8" w:color="3E3935"/>
            </w:tcBorders>
          </w:tcPr>
          <w:p>
            <w:pPr>
              <w:spacing w:after="0"/>
              <w:rPr>
                <w:sz w:val="4"/>
                <w:szCs w:val="4"/>
                <w:color w:val="auto"/>
              </w:rPr>
            </w:pPr>
          </w:p>
        </w:tc>
        <w:tc>
          <w:tcPr>
            <w:tcW w:w="780" w:type="dxa"/>
            <w:vAlign w:val="bottom"/>
            <w:tcBorders>
              <w:bottom w:val="single" w:sz="8" w:color="3E3935"/>
            </w:tcBorders>
          </w:tcPr>
          <w:p>
            <w:pPr>
              <w:spacing w:after="0"/>
              <w:rPr>
                <w:sz w:val="4"/>
                <w:szCs w:val="4"/>
                <w:color w:val="auto"/>
              </w:rPr>
            </w:pPr>
          </w:p>
        </w:tc>
        <w:tc>
          <w:tcPr>
            <w:tcW w:w="800" w:type="dxa"/>
            <w:vAlign w:val="bottom"/>
            <w:tcBorders>
              <w:bottom w:val="single" w:sz="8" w:color="3E3935"/>
            </w:tcBorders>
          </w:tcPr>
          <w:p>
            <w:pPr>
              <w:spacing w:after="0"/>
              <w:rPr>
                <w:sz w:val="4"/>
                <w:szCs w:val="4"/>
                <w:color w:val="auto"/>
              </w:rPr>
            </w:pPr>
          </w:p>
        </w:tc>
        <w:tc>
          <w:tcPr>
            <w:tcW w:w="640" w:type="dxa"/>
            <w:vAlign w:val="bottom"/>
            <w:tcBorders>
              <w:bottom w:val="single" w:sz="8" w:color="3E3935"/>
            </w:tcBorders>
          </w:tcPr>
          <w:p>
            <w:pPr>
              <w:spacing w:after="0"/>
              <w:rPr>
                <w:sz w:val="4"/>
                <w:szCs w:val="4"/>
                <w:color w:val="auto"/>
              </w:rPr>
            </w:pPr>
          </w:p>
        </w:tc>
        <w:tc>
          <w:tcPr>
            <w:tcW w:w="880" w:type="dxa"/>
            <w:vAlign w:val="bottom"/>
            <w:tcBorders>
              <w:bottom w:val="single" w:sz="8" w:color="3E3935"/>
            </w:tcBorders>
          </w:tcPr>
          <w:p>
            <w:pPr>
              <w:spacing w:after="0"/>
              <w:rPr>
                <w:sz w:val="4"/>
                <w:szCs w:val="4"/>
                <w:color w:val="auto"/>
              </w:rPr>
            </w:pPr>
          </w:p>
        </w:tc>
        <w:tc>
          <w:tcPr>
            <w:tcW w:w="0" w:type="dxa"/>
            <w:vAlign w:val="bottom"/>
          </w:tcPr>
          <w:p>
            <w:pPr>
              <w:spacing w:after="0"/>
              <w:rPr>
                <w:sz w:val="1"/>
                <w:szCs w:val="1"/>
                <w:color w:val="auto"/>
              </w:rPr>
            </w:pPr>
          </w:p>
        </w:tc>
      </w:tr>
      <w:tr>
        <w:trPr>
          <w:trHeight w:val="195"/>
        </w:trPr>
        <w:tc>
          <w:tcPr>
            <w:tcW w:w="1620" w:type="dxa"/>
            <w:vAlign w:val="bottom"/>
          </w:tcPr>
          <w:p>
            <w:pPr>
              <w:spacing w:after="0"/>
              <w:rPr>
                <w:sz w:val="17"/>
                <w:szCs w:val="17"/>
                <w:color w:val="auto"/>
              </w:rPr>
            </w:pPr>
          </w:p>
        </w:tc>
        <w:tc>
          <w:tcPr>
            <w:tcW w:w="640" w:type="dxa"/>
            <w:vAlign w:val="bottom"/>
          </w:tcPr>
          <w:p>
            <w:pPr>
              <w:jc w:val="right"/>
              <w:ind w:right="17"/>
              <w:spacing w:after="0"/>
              <w:rPr>
                <w:sz w:val="20"/>
                <w:szCs w:val="20"/>
                <w:color w:val="auto"/>
              </w:rPr>
            </w:pPr>
            <w:r>
              <w:rPr>
                <w:rFonts w:ascii="Arial" w:cs="Arial" w:eastAsia="Arial" w:hAnsi="Arial"/>
                <w:sz w:val="13"/>
                <w:szCs w:val="13"/>
                <w:color w:val="3E3935"/>
              </w:rPr>
              <w:t>Options</w:t>
            </w:r>
          </w:p>
        </w:tc>
        <w:tc>
          <w:tcPr>
            <w:tcW w:w="660" w:type="dxa"/>
            <w:vAlign w:val="bottom"/>
          </w:tcPr>
          <w:p>
            <w:pPr>
              <w:jc w:val="right"/>
              <w:ind w:right="17"/>
              <w:spacing w:after="0"/>
              <w:rPr>
                <w:sz w:val="20"/>
                <w:szCs w:val="20"/>
                <w:color w:val="auto"/>
              </w:rPr>
            </w:pPr>
            <w:r>
              <w:rPr>
                <w:rFonts w:ascii="Arial" w:cs="Arial" w:eastAsia="Arial" w:hAnsi="Arial"/>
                <w:sz w:val="13"/>
                <w:szCs w:val="13"/>
                <w:color w:val="3E3935"/>
              </w:rPr>
              <w:t>2/8/2022</w:t>
            </w:r>
          </w:p>
        </w:tc>
        <w:tc>
          <w:tcPr>
            <w:tcW w:w="700" w:type="dxa"/>
            <w:vAlign w:val="bottom"/>
          </w:tcPr>
          <w:p>
            <w:pPr>
              <w:jc w:val="right"/>
              <w:spacing w:after="0"/>
              <w:rPr>
                <w:sz w:val="20"/>
                <w:szCs w:val="20"/>
                <w:color w:val="auto"/>
              </w:rPr>
            </w:pPr>
            <w:r>
              <w:rPr>
                <w:rFonts w:ascii="Arial" w:cs="Arial" w:eastAsia="Arial" w:hAnsi="Arial"/>
                <w:sz w:val="13"/>
                <w:szCs w:val="13"/>
                <w:color w:val="3E3935"/>
              </w:rPr>
              <w:t>12/6/2021</w:t>
            </w:r>
          </w:p>
        </w:tc>
        <w:tc>
          <w:tcPr>
            <w:tcW w:w="7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3E3935"/>
              </w:rPr>
              <w:t>142,159</w:t>
            </w:r>
          </w:p>
        </w:tc>
        <w:tc>
          <w:tcPr>
            <w:tcW w:w="640" w:type="dxa"/>
            <w:vAlign w:val="bottom"/>
          </w:tcPr>
          <w:p>
            <w:pPr>
              <w:jc w:val="right"/>
              <w:spacing w:after="0"/>
              <w:rPr>
                <w:sz w:val="20"/>
                <w:szCs w:val="20"/>
                <w:color w:val="auto"/>
              </w:rPr>
            </w:pPr>
            <w:r>
              <w:rPr>
                <w:rFonts w:ascii="Arial" w:cs="Arial" w:eastAsia="Arial" w:hAnsi="Arial"/>
                <w:sz w:val="13"/>
                <w:szCs w:val="13"/>
                <w:color w:val="3E3935"/>
              </w:rPr>
              <w:t>49.46</w:t>
            </w:r>
          </w:p>
        </w:tc>
        <w:tc>
          <w:tcPr>
            <w:tcW w:w="880" w:type="dxa"/>
            <w:vAlign w:val="bottom"/>
          </w:tcPr>
          <w:p>
            <w:pPr>
              <w:jc w:val="right"/>
              <w:spacing w:after="0"/>
              <w:rPr>
                <w:sz w:val="20"/>
                <w:szCs w:val="20"/>
                <w:color w:val="auto"/>
              </w:rPr>
            </w:pPr>
            <w:r>
              <w:rPr>
                <w:rFonts w:ascii="Arial" w:cs="Arial" w:eastAsia="Arial" w:hAnsi="Arial"/>
                <w:sz w:val="13"/>
                <w:szCs w:val="13"/>
                <w:color w:val="3E3935"/>
              </w:rPr>
              <w:t>2,490,626</w:t>
            </w:r>
          </w:p>
        </w:tc>
        <w:tc>
          <w:tcPr>
            <w:tcW w:w="0" w:type="dxa"/>
            <w:vAlign w:val="bottom"/>
          </w:tcPr>
          <w:p>
            <w:pPr>
              <w:spacing w:after="0"/>
              <w:rPr>
                <w:sz w:val="1"/>
                <w:szCs w:val="1"/>
                <w:color w:val="auto"/>
              </w:rPr>
            </w:pPr>
          </w:p>
        </w:tc>
      </w:tr>
      <w:tr>
        <w:trPr>
          <w:trHeight w:val="55"/>
        </w:trPr>
        <w:tc>
          <w:tcPr>
            <w:tcW w:w="1620" w:type="dxa"/>
            <w:vAlign w:val="bottom"/>
          </w:tcPr>
          <w:p>
            <w:pPr>
              <w:spacing w:after="0"/>
              <w:rPr>
                <w:sz w:val="4"/>
                <w:szCs w:val="4"/>
                <w:color w:val="auto"/>
              </w:rPr>
            </w:pPr>
          </w:p>
        </w:tc>
        <w:tc>
          <w:tcPr>
            <w:tcW w:w="640" w:type="dxa"/>
            <w:vAlign w:val="bottom"/>
            <w:tcBorders>
              <w:bottom w:val="single" w:sz="8" w:color="3E3935"/>
            </w:tcBorders>
          </w:tcPr>
          <w:p>
            <w:pPr>
              <w:spacing w:after="0"/>
              <w:rPr>
                <w:sz w:val="4"/>
                <w:szCs w:val="4"/>
                <w:color w:val="auto"/>
              </w:rPr>
            </w:pPr>
          </w:p>
        </w:tc>
        <w:tc>
          <w:tcPr>
            <w:tcW w:w="660" w:type="dxa"/>
            <w:vAlign w:val="bottom"/>
            <w:tcBorders>
              <w:bottom w:val="single" w:sz="8" w:color="3E3935"/>
            </w:tcBorders>
          </w:tcPr>
          <w:p>
            <w:pPr>
              <w:spacing w:after="0"/>
              <w:rPr>
                <w:sz w:val="4"/>
                <w:szCs w:val="4"/>
                <w:color w:val="auto"/>
              </w:rPr>
            </w:pPr>
          </w:p>
        </w:tc>
        <w:tc>
          <w:tcPr>
            <w:tcW w:w="700" w:type="dxa"/>
            <w:vAlign w:val="bottom"/>
            <w:tcBorders>
              <w:bottom w:val="single" w:sz="8" w:color="3E3935"/>
            </w:tcBorders>
          </w:tcPr>
          <w:p>
            <w:pPr>
              <w:spacing w:after="0"/>
              <w:rPr>
                <w:sz w:val="4"/>
                <w:szCs w:val="4"/>
                <w:color w:val="auto"/>
              </w:rPr>
            </w:pPr>
          </w:p>
        </w:tc>
        <w:tc>
          <w:tcPr>
            <w:tcW w:w="720" w:type="dxa"/>
            <w:vAlign w:val="bottom"/>
            <w:tcBorders>
              <w:bottom w:val="single" w:sz="8" w:color="3E3935"/>
            </w:tcBorders>
          </w:tcPr>
          <w:p>
            <w:pPr>
              <w:spacing w:after="0"/>
              <w:rPr>
                <w:sz w:val="4"/>
                <w:szCs w:val="4"/>
                <w:color w:val="auto"/>
              </w:rPr>
            </w:pPr>
          </w:p>
        </w:tc>
        <w:tc>
          <w:tcPr>
            <w:tcW w:w="820" w:type="dxa"/>
            <w:vAlign w:val="bottom"/>
            <w:tcBorders>
              <w:bottom w:val="single" w:sz="8" w:color="3E3935"/>
            </w:tcBorders>
          </w:tcPr>
          <w:p>
            <w:pPr>
              <w:spacing w:after="0"/>
              <w:rPr>
                <w:sz w:val="4"/>
                <w:szCs w:val="4"/>
                <w:color w:val="auto"/>
              </w:rPr>
            </w:pPr>
          </w:p>
        </w:tc>
        <w:tc>
          <w:tcPr>
            <w:tcW w:w="680" w:type="dxa"/>
            <w:vAlign w:val="bottom"/>
            <w:tcBorders>
              <w:bottom w:val="single" w:sz="8" w:color="3E3935"/>
            </w:tcBorders>
          </w:tcPr>
          <w:p>
            <w:pPr>
              <w:spacing w:after="0"/>
              <w:rPr>
                <w:sz w:val="4"/>
                <w:szCs w:val="4"/>
                <w:color w:val="auto"/>
              </w:rPr>
            </w:pPr>
          </w:p>
        </w:tc>
        <w:tc>
          <w:tcPr>
            <w:tcW w:w="780" w:type="dxa"/>
            <w:vAlign w:val="bottom"/>
            <w:tcBorders>
              <w:bottom w:val="single" w:sz="8" w:color="3E3935"/>
            </w:tcBorders>
          </w:tcPr>
          <w:p>
            <w:pPr>
              <w:spacing w:after="0"/>
              <w:rPr>
                <w:sz w:val="4"/>
                <w:szCs w:val="4"/>
                <w:color w:val="auto"/>
              </w:rPr>
            </w:pPr>
          </w:p>
        </w:tc>
        <w:tc>
          <w:tcPr>
            <w:tcW w:w="660" w:type="dxa"/>
            <w:vAlign w:val="bottom"/>
            <w:tcBorders>
              <w:bottom w:val="single" w:sz="8" w:color="3E3935"/>
            </w:tcBorders>
          </w:tcPr>
          <w:p>
            <w:pPr>
              <w:spacing w:after="0"/>
              <w:rPr>
                <w:sz w:val="4"/>
                <w:szCs w:val="4"/>
                <w:color w:val="auto"/>
              </w:rPr>
            </w:pPr>
          </w:p>
        </w:tc>
        <w:tc>
          <w:tcPr>
            <w:tcW w:w="640" w:type="dxa"/>
            <w:vAlign w:val="bottom"/>
            <w:tcBorders>
              <w:bottom w:val="single" w:sz="8" w:color="3E3935"/>
            </w:tcBorders>
          </w:tcPr>
          <w:p>
            <w:pPr>
              <w:spacing w:after="0"/>
              <w:rPr>
                <w:sz w:val="4"/>
                <w:szCs w:val="4"/>
                <w:color w:val="auto"/>
              </w:rPr>
            </w:pPr>
          </w:p>
        </w:tc>
        <w:tc>
          <w:tcPr>
            <w:tcW w:w="780" w:type="dxa"/>
            <w:vAlign w:val="bottom"/>
            <w:tcBorders>
              <w:bottom w:val="single" w:sz="8" w:color="3E3935"/>
            </w:tcBorders>
          </w:tcPr>
          <w:p>
            <w:pPr>
              <w:spacing w:after="0"/>
              <w:rPr>
                <w:sz w:val="4"/>
                <w:szCs w:val="4"/>
                <w:color w:val="auto"/>
              </w:rPr>
            </w:pPr>
          </w:p>
        </w:tc>
        <w:tc>
          <w:tcPr>
            <w:tcW w:w="800" w:type="dxa"/>
            <w:vAlign w:val="bottom"/>
            <w:tcBorders>
              <w:bottom w:val="single" w:sz="8" w:color="3E3935"/>
            </w:tcBorders>
          </w:tcPr>
          <w:p>
            <w:pPr>
              <w:spacing w:after="0"/>
              <w:rPr>
                <w:sz w:val="4"/>
                <w:szCs w:val="4"/>
                <w:color w:val="auto"/>
              </w:rPr>
            </w:pPr>
          </w:p>
        </w:tc>
        <w:tc>
          <w:tcPr>
            <w:tcW w:w="640" w:type="dxa"/>
            <w:vAlign w:val="bottom"/>
            <w:tcBorders>
              <w:bottom w:val="single" w:sz="8" w:color="3E3935"/>
            </w:tcBorders>
          </w:tcPr>
          <w:p>
            <w:pPr>
              <w:spacing w:after="0"/>
              <w:rPr>
                <w:sz w:val="4"/>
                <w:szCs w:val="4"/>
                <w:color w:val="auto"/>
              </w:rPr>
            </w:pPr>
          </w:p>
        </w:tc>
        <w:tc>
          <w:tcPr>
            <w:tcW w:w="880" w:type="dxa"/>
            <w:vAlign w:val="bottom"/>
            <w:tcBorders>
              <w:bottom w:val="single" w:sz="8" w:color="3E3935"/>
            </w:tcBorders>
          </w:tcPr>
          <w:p>
            <w:pPr>
              <w:spacing w:after="0"/>
              <w:rPr>
                <w:sz w:val="4"/>
                <w:szCs w:val="4"/>
                <w:color w:val="auto"/>
              </w:rPr>
            </w:pPr>
          </w:p>
        </w:tc>
        <w:tc>
          <w:tcPr>
            <w:tcW w:w="0" w:type="dxa"/>
            <w:vAlign w:val="bottom"/>
          </w:tcPr>
          <w:p>
            <w:pPr>
              <w:spacing w:after="0"/>
              <w:rPr>
                <w:sz w:val="1"/>
                <w:szCs w:val="1"/>
                <w:color w:val="auto"/>
              </w:rPr>
            </w:pPr>
          </w:p>
        </w:tc>
      </w:tr>
      <w:tr>
        <w:trPr>
          <w:trHeight w:val="195"/>
        </w:trPr>
        <w:tc>
          <w:tcPr>
            <w:tcW w:w="1620" w:type="dxa"/>
            <w:vAlign w:val="bottom"/>
          </w:tcPr>
          <w:p>
            <w:pPr>
              <w:spacing w:after="0"/>
              <w:rPr>
                <w:sz w:val="17"/>
                <w:szCs w:val="17"/>
                <w:color w:val="auto"/>
              </w:rPr>
            </w:pPr>
          </w:p>
        </w:tc>
        <w:tc>
          <w:tcPr>
            <w:tcW w:w="640" w:type="dxa"/>
            <w:vAlign w:val="bottom"/>
          </w:tcPr>
          <w:p>
            <w:pPr>
              <w:jc w:val="right"/>
              <w:ind w:right="17"/>
              <w:spacing w:after="0"/>
              <w:rPr>
                <w:sz w:val="20"/>
                <w:szCs w:val="20"/>
                <w:color w:val="auto"/>
              </w:rPr>
            </w:pPr>
            <w:r>
              <w:rPr>
                <w:rFonts w:ascii="Arial" w:cs="Arial" w:eastAsia="Arial" w:hAnsi="Arial"/>
                <w:sz w:val="13"/>
                <w:szCs w:val="13"/>
                <w:color w:val="3E3935"/>
              </w:rPr>
              <w:t>PSU</w:t>
            </w:r>
          </w:p>
        </w:tc>
        <w:tc>
          <w:tcPr>
            <w:tcW w:w="660" w:type="dxa"/>
            <w:vAlign w:val="bottom"/>
          </w:tcPr>
          <w:p>
            <w:pPr>
              <w:jc w:val="right"/>
              <w:ind w:right="17"/>
              <w:spacing w:after="0"/>
              <w:rPr>
                <w:sz w:val="20"/>
                <w:szCs w:val="20"/>
                <w:color w:val="auto"/>
              </w:rPr>
            </w:pPr>
            <w:r>
              <w:rPr>
                <w:rFonts w:ascii="Arial" w:cs="Arial" w:eastAsia="Arial" w:hAnsi="Arial"/>
                <w:sz w:val="13"/>
                <w:szCs w:val="13"/>
                <w:color w:val="3E3935"/>
              </w:rPr>
              <w:t>2/8/2022</w:t>
            </w:r>
          </w:p>
        </w:tc>
        <w:tc>
          <w:tcPr>
            <w:tcW w:w="700" w:type="dxa"/>
            <w:vAlign w:val="bottom"/>
          </w:tcPr>
          <w:p>
            <w:pPr>
              <w:jc w:val="right"/>
              <w:spacing w:after="0"/>
              <w:rPr>
                <w:sz w:val="20"/>
                <w:szCs w:val="20"/>
                <w:color w:val="auto"/>
              </w:rPr>
            </w:pPr>
            <w:r>
              <w:rPr>
                <w:rFonts w:ascii="Arial" w:cs="Arial" w:eastAsia="Arial" w:hAnsi="Arial"/>
                <w:sz w:val="13"/>
                <w:szCs w:val="13"/>
                <w:color w:val="3E3935"/>
              </w:rPr>
              <w:t>12/6/2021</w:t>
            </w:r>
          </w:p>
        </w:tc>
        <w:tc>
          <w:tcPr>
            <w:tcW w:w="7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80" w:type="dxa"/>
            <w:vAlign w:val="bottom"/>
          </w:tcPr>
          <w:p>
            <w:pPr>
              <w:jc w:val="right"/>
              <w:ind w:right="37"/>
              <w:spacing w:after="0"/>
              <w:rPr>
                <w:sz w:val="20"/>
                <w:szCs w:val="20"/>
                <w:color w:val="auto"/>
              </w:rPr>
            </w:pPr>
            <w:r>
              <w:rPr>
                <w:rFonts w:ascii="Arial" w:cs="Arial" w:eastAsia="Arial" w:hAnsi="Arial"/>
                <w:sz w:val="13"/>
                <w:szCs w:val="13"/>
                <w:color w:val="3E3935"/>
              </w:rPr>
              <w:t>14,659</w:t>
            </w:r>
          </w:p>
        </w:tc>
        <w:tc>
          <w:tcPr>
            <w:tcW w:w="660" w:type="dxa"/>
            <w:vAlign w:val="bottom"/>
          </w:tcPr>
          <w:p>
            <w:pPr>
              <w:jc w:val="right"/>
              <w:ind w:right="57"/>
              <w:spacing w:after="0"/>
              <w:rPr>
                <w:sz w:val="20"/>
                <w:szCs w:val="20"/>
                <w:color w:val="auto"/>
              </w:rPr>
            </w:pPr>
            <w:r>
              <w:rPr>
                <w:rFonts w:ascii="Arial" w:cs="Arial" w:eastAsia="Arial" w:hAnsi="Arial"/>
                <w:sz w:val="13"/>
                <w:szCs w:val="13"/>
                <w:color w:val="3E3935"/>
              </w:rPr>
              <w:t>146,590</w:t>
            </w:r>
          </w:p>
        </w:tc>
        <w:tc>
          <w:tcPr>
            <w:tcW w:w="640" w:type="dxa"/>
            <w:vAlign w:val="bottom"/>
          </w:tcPr>
          <w:p>
            <w:pPr>
              <w:jc w:val="right"/>
              <w:spacing w:after="0"/>
              <w:rPr>
                <w:sz w:val="20"/>
                <w:szCs w:val="20"/>
                <w:color w:val="auto"/>
              </w:rPr>
            </w:pPr>
            <w:r>
              <w:rPr>
                <w:rFonts w:ascii="Arial" w:cs="Arial" w:eastAsia="Arial" w:hAnsi="Arial"/>
                <w:sz w:val="13"/>
                <w:szCs w:val="13"/>
                <w:color w:val="3E3935"/>
              </w:rPr>
              <w:t>293,180</w:t>
            </w:r>
          </w:p>
        </w:tc>
        <w:tc>
          <w:tcPr>
            <w:tcW w:w="7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3E3935"/>
              </w:rPr>
              <w:t>7,471,875</w:t>
            </w:r>
          </w:p>
        </w:tc>
        <w:tc>
          <w:tcPr>
            <w:tcW w:w="0" w:type="dxa"/>
            <w:vAlign w:val="bottom"/>
          </w:tcPr>
          <w:p>
            <w:pPr>
              <w:spacing w:after="0"/>
              <w:rPr>
                <w:sz w:val="1"/>
                <w:szCs w:val="1"/>
                <w:color w:val="auto"/>
              </w:rPr>
            </w:pPr>
          </w:p>
        </w:tc>
      </w:tr>
      <w:tr>
        <w:trPr>
          <w:trHeight w:val="55"/>
        </w:trPr>
        <w:tc>
          <w:tcPr>
            <w:tcW w:w="1620" w:type="dxa"/>
            <w:vAlign w:val="bottom"/>
            <w:tcBorders>
              <w:bottom w:val="single" w:sz="8" w:color="3E3935"/>
            </w:tcBorders>
          </w:tcPr>
          <w:p>
            <w:pPr>
              <w:spacing w:after="0"/>
              <w:rPr>
                <w:sz w:val="4"/>
                <w:szCs w:val="4"/>
                <w:color w:val="auto"/>
              </w:rPr>
            </w:pPr>
          </w:p>
        </w:tc>
        <w:tc>
          <w:tcPr>
            <w:tcW w:w="640" w:type="dxa"/>
            <w:vAlign w:val="bottom"/>
            <w:tcBorders>
              <w:bottom w:val="single" w:sz="8" w:color="3E3935"/>
            </w:tcBorders>
          </w:tcPr>
          <w:p>
            <w:pPr>
              <w:spacing w:after="0"/>
              <w:rPr>
                <w:sz w:val="4"/>
                <w:szCs w:val="4"/>
                <w:color w:val="auto"/>
              </w:rPr>
            </w:pPr>
          </w:p>
        </w:tc>
        <w:tc>
          <w:tcPr>
            <w:tcW w:w="660" w:type="dxa"/>
            <w:vAlign w:val="bottom"/>
            <w:tcBorders>
              <w:bottom w:val="single" w:sz="8" w:color="3E3935"/>
            </w:tcBorders>
          </w:tcPr>
          <w:p>
            <w:pPr>
              <w:spacing w:after="0"/>
              <w:rPr>
                <w:sz w:val="4"/>
                <w:szCs w:val="4"/>
                <w:color w:val="auto"/>
              </w:rPr>
            </w:pPr>
          </w:p>
        </w:tc>
        <w:tc>
          <w:tcPr>
            <w:tcW w:w="700" w:type="dxa"/>
            <w:vAlign w:val="bottom"/>
            <w:tcBorders>
              <w:bottom w:val="single" w:sz="8" w:color="3E3935"/>
            </w:tcBorders>
          </w:tcPr>
          <w:p>
            <w:pPr>
              <w:spacing w:after="0"/>
              <w:rPr>
                <w:sz w:val="4"/>
                <w:szCs w:val="4"/>
                <w:color w:val="auto"/>
              </w:rPr>
            </w:pPr>
          </w:p>
        </w:tc>
        <w:tc>
          <w:tcPr>
            <w:tcW w:w="720" w:type="dxa"/>
            <w:vAlign w:val="bottom"/>
            <w:tcBorders>
              <w:bottom w:val="single" w:sz="8" w:color="3E3935"/>
            </w:tcBorders>
          </w:tcPr>
          <w:p>
            <w:pPr>
              <w:spacing w:after="0"/>
              <w:rPr>
                <w:sz w:val="4"/>
                <w:szCs w:val="4"/>
                <w:color w:val="auto"/>
              </w:rPr>
            </w:pPr>
          </w:p>
        </w:tc>
        <w:tc>
          <w:tcPr>
            <w:tcW w:w="820" w:type="dxa"/>
            <w:vAlign w:val="bottom"/>
            <w:tcBorders>
              <w:bottom w:val="single" w:sz="8" w:color="3E3935"/>
            </w:tcBorders>
          </w:tcPr>
          <w:p>
            <w:pPr>
              <w:spacing w:after="0"/>
              <w:rPr>
                <w:sz w:val="4"/>
                <w:szCs w:val="4"/>
                <w:color w:val="auto"/>
              </w:rPr>
            </w:pPr>
          </w:p>
        </w:tc>
        <w:tc>
          <w:tcPr>
            <w:tcW w:w="680" w:type="dxa"/>
            <w:vAlign w:val="bottom"/>
            <w:tcBorders>
              <w:bottom w:val="single" w:sz="8" w:color="3E3935"/>
            </w:tcBorders>
          </w:tcPr>
          <w:p>
            <w:pPr>
              <w:spacing w:after="0"/>
              <w:rPr>
                <w:sz w:val="4"/>
                <w:szCs w:val="4"/>
                <w:color w:val="auto"/>
              </w:rPr>
            </w:pPr>
          </w:p>
        </w:tc>
        <w:tc>
          <w:tcPr>
            <w:tcW w:w="780" w:type="dxa"/>
            <w:vAlign w:val="bottom"/>
            <w:tcBorders>
              <w:bottom w:val="single" w:sz="8" w:color="3E3935"/>
            </w:tcBorders>
          </w:tcPr>
          <w:p>
            <w:pPr>
              <w:spacing w:after="0"/>
              <w:rPr>
                <w:sz w:val="4"/>
                <w:szCs w:val="4"/>
                <w:color w:val="auto"/>
              </w:rPr>
            </w:pPr>
          </w:p>
        </w:tc>
        <w:tc>
          <w:tcPr>
            <w:tcW w:w="660" w:type="dxa"/>
            <w:vAlign w:val="bottom"/>
            <w:tcBorders>
              <w:bottom w:val="single" w:sz="8" w:color="3E3935"/>
            </w:tcBorders>
          </w:tcPr>
          <w:p>
            <w:pPr>
              <w:spacing w:after="0"/>
              <w:rPr>
                <w:sz w:val="4"/>
                <w:szCs w:val="4"/>
                <w:color w:val="auto"/>
              </w:rPr>
            </w:pPr>
          </w:p>
        </w:tc>
        <w:tc>
          <w:tcPr>
            <w:tcW w:w="640" w:type="dxa"/>
            <w:vAlign w:val="bottom"/>
            <w:tcBorders>
              <w:bottom w:val="single" w:sz="8" w:color="3E3935"/>
            </w:tcBorders>
          </w:tcPr>
          <w:p>
            <w:pPr>
              <w:spacing w:after="0"/>
              <w:rPr>
                <w:sz w:val="4"/>
                <w:szCs w:val="4"/>
                <w:color w:val="auto"/>
              </w:rPr>
            </w:pPr>
          </w:p>
        </w:tc>
        <w:tc>
          <w:tcPr>
            <w:tcW w:w="780" w:type="dxa"/>
            <w:vAlign w:val="bottom"/>
            <w:tcBorders>
              <w:bottom w:val="single" w:sz="8" w:color="3E3935"/>
            </w:tcBorders>
          </w:tcPr>
          <w:p>
            <w:pPr>
              <w:spacing w:after="0"/>
              <w:rPr>
                <w:sz w:val="4"/>
                <w:szCs w:val="4"/>
                <w:color w:val="auto"/>
              </w:rPr>
            </w:pPr>
          </w:p>
        </w:tc>
        <w:tc>
          <w:tcPr>
            <w:tcW w:w="800" w:type="dxa"/>
            <w:vAlign w:val="bottom"/>
            <w:tcBorders>
              <w:bottom w:val="single" w:sz="8" w:color="3E3935"/>
            </w:tcBorders>
          </w:tcPr>
          <w:p>
            <w:pPr>
              <w:spacing w:after="0"/>
              <w:rPr>
                <w:sz w:val="4"/>
                <w:szCs w:val="4"/>
                <w:color w:val="auto"/>
              </w:rPr>
            </w:pPr>
          </w:p>
        </w:tc>
        <w:tc>
          <w:tcPr>
            <w:tcW w:w="640" w:type="dxa"/>
            <w:vAlign w:val="bottom"/>
            <w:tcBorders>
              <w:bottom w:val="single" w:sz="8" w:color="3E3935"/>
            </w:tcBorders>
          </w:tcPr>
          <w:p>
            <w:pPr>
              <w:spacing w:after="0"/>
              <w:rPr>
                <w:sz w:val="4"/>
                <w:szCs w:val="4"/>
                <w:color w:val="auto"/>
              </w:rPr>
            </w:pPr>
          </w:p>
        </w:tc>
        <w:tc>
          <w:tcPr>
            <w:tcW w:w="880" w:type="dxa"/>
            <w:vAlign w:val="bottom"/>
            <w:tcBorders>
              <w:bottom w:val="single" w:sz="8" w:color="3E3935"/>
            </w:tcBorders>
          </w:tcPr>
          <w:p>
            <w:pPr>
              <w:spacing w:after="0"/>
              <w:rPr>
                <w:sz w:val="4"/>
                <w:szCs w:val="4"/>
                <w:color w:val="auto"/>
              </w:rPr>
            </w:pPr>
          </w:p>
        </w:tc>
        <w:tc>
          <w:tcPr>
            <w:tcW w:w="0" w:type="dxa"/>
            <w:vAlign w:val="bottom"/>
          </w:tcPr>
          <w:p>
            <w:pPr>
              <w:spacing w:after="0"/>
              <w:rPr>
                <w:sz w:val="1"/>
                <w:szCs w:val="1"/>
                <w:color w:val="auto"/>
              </w:rPr>
            </w:pPr>
          </w:p>
        </w:tc>
      </w:tr>
      <w:tr>
        <w:trPr>
          <w:trHeight w:val="195"/>
        </w:trPr>
        <w:tc>
          <w:tcPr>
            <w:tcW w:w="1620" w:type="dxa"/>
            <w:vAlign w:val="bottom"/>
          </w:tcPr>
          <w:p>
            <w:pPr>
              <w:ind w:left="60"/>
              <w:spacing w:after="0"/>
              <w:rPr>
                <w:sz w:val="20"/>
                <w:szCs w:val="20"/>
                <w:color w:val="auto"/>
              </w:rPr>
            </w:pPr>
            <w:r>
              <w:rPr>
                <w:rFonts w:ascii="Arial" w:cs="Arial" w:eastAsia="Arial" w:hAnsi="Arial"/>
                <w:sz w:val="13"/>
                <w:szCs w:val="13"/>
                <w:color w:val="3E3935"/>
              </w:rPr>
              <w:t>Douglas L. Parks</w:t>
            </w:r>
          </w:p>
        </w:tc>
        <w:tc>
          <w:tcPr>
            <w:tcW w:w="640" w:type="dxa"/>
            <w:vAlign w:val="bottom"/>
          </w:tcPr>
          <w:p>
            <w:pPr>
              <w:jc w:val="right"/>
              <w:ind w:right="17"/>
              <w:spacing w:after="0"/>
              <w:rPr>
                <w:sz w:val="20"/>
                <w:szCs w:val="20"/>
                <w:color w:val="auto"/>
              </w:rPr>
            </w:pPr>
            <w:r>
              <w:rPr>
                <w:rFonts w:ascii="Arial" w:cs="Arial" w:eastAsia="Arial" w:hAnsi="Arial"/>
                <w:sz w:val="13"/>
                <w:szCs w:val="13"/>
                <w:color w:val="3E3935"/>
              </w:rPr>
              <w:t>STIP</w:t>
            </w:r>
          </w:p>
        </w:tc>
        <w:tc>
          <w:tcPr>
            <w:tcW w:w="660" w:type="dxa"/>
            <w:vAlign w:val="bottom"/>
          </w:tcPr>
          <w:p>
            <w:pPr>
              <w:jc w:val="right"/>
              <w:ind w:right="17"/>
              <w:spacing w:after="0"/>
              <w:rPr>
                <w:sz w:val="20"/>
                <w:szCs w:val="20"/>
                <w:color w:val="auto"/>
              </w:rPr>
            </w:pPr>
            <w:r>
              <w:rPr>
                <w:rFonts w:ascii="Arial" w:cs="Arial" w:eastAsia="Arial" w:hAnsi="Arial"/>
                <w:sz w:val="13"/>
                <w:szCs w:val="13"/>
                <w:color w:val="3E3935"/>
              </w:rPr>
              <w:t>1/1/2022</w:t>
            </w:r>
          </w:p>
        </w:tc>
        <w:tc>
          <w:tcPr>
            <w:tcW w:w="700" w:type="dxa"/>
            <w:vAlign w:val="bottom"/>
          </w:tcPr>
          <w:p>
            <w:pPr>
              <w:jc w:val="right"/>
              <w:spacing w:after="0"/>
              <w:rPr>
                <w:sz w:val="20"/>
                <w:szCs w:val="20"/>
                <w:color w:val="auto"/>
              </w:rPr>
            </w:pPr>
            <w:r>
              <w:rPr>
                <w:rFonts w:ascii="Arial" w:cs="Arial" w:eastAsia="Arial" w:hAnsi="Arial"/>
                <w:sz w:val="13"/>
                <w:szCs w:val="13"/>
                <w:color w:val="3E3935"/>
              </w:rPr>
              <w:t>12/6/2021</w:t>
            </w:r>
          </w:p>
        </w:tc>
        <w:tc>
          <w:tcPr>
            <w:tcW w:w="720" w:type="dxa"/>
            <w:vAlign w:val="bottom"/>
          </w:tcPr>
          <w:p>
            <w:pPr>
              <w:jc w:val="right"/>
              <w:spacing w:after="0"/>
              <w:rPr>
                <w:sz w:val="20"/>
                <w:szCs w:val="20"/>
                <w:color w:val="auto"/>
              </w:rPr>
            </w:pPr>
            <w:r>
              <w:rPr>
                <w:rFonts w:ascii="Arial" w:cs="Arial" w:eastAsia="Arial" w:hAnsi="Arial"/>
                <w:sz w:val="13"/>
                <w:szCs w:val="13"/>
                <w:color w:val="3E3935"/>
              </w:rPr>
              <w:t>68,363</w:t>
            </w:r>
          </w:p>
        </w:tc>
        <w:tc>
          <w:tcPr>
            <w:tcW w:w="820" w:type="dxa"/>
            <w:vAlign w:val="bottom"/>
          </w:tcPr>
          <w:p>
            <w:pPr>
              <w:jc w:val="right"/>
              <w:ind w:right="57"/>
              <w:spacing w:after="0"/>
              <w:rPr>
                <w:sz w:val="20"/>
                <w:szCs w:val="20"/>
                <w:color w:val="auto"/>
              </w:rPr>
            </w:pPr>
            <w:r>
              <w:rPr>
                <w:rFonts w:ascii="Arial" w:cs="Arial" w:eastAsia="Arial" w:hAnsi="Arial"/>
                <w:sz w:val="13"/>
                <w:szCs w:val="13"/>
                <w:color w:val="3E3935"/>
              </w:rPr>
              <w:t>1,093,800</w:t>
            </w:r>
          </w:p>
        </w:tc>
        <w:tc>
          <w:tcPr>
            <w:tcW w:w="680" w:type="dxa"/>
            <w:vAlign w:val="bottom"/>
          </w:tcPr>
          <w:p>
            <w:pPr>
              <w:jc w:val="right"/>
              <w:spacing w:after="0"/>
              <w:rPr>
                <w:sz w:val="20"/>
                <w:szCs w:val="20"/>
                <w:color w:val="auto"/>
              </w:rPr>
            </w:pPr>
            <w:r>
              <w:rPr>
                <w:rFonts w:ascii="Arial" w:cs="Arial" w:eastAsia="Arial" w:hAnsi="Arial"/>
                <w:sz w:val="13"/>
                <w:szCs w:val="13"/>
                <w:color w:val="3E3935"/>
              </w:rPr>
              <w:t>2,187,600</w:t>
            </w:r>
          </w:p>
        </w:tc>
        <w:tc>
          <w:tcPr>
            <w:tcW w:w="7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1620" w:type="dxa"/>
            <w:vAlign w:val="bottom"/>
          </w:tcPr>
          <w:p>
            <w:pPr>
              <w:spacing w:after="0"/>
              <w:rPr>
                <w:sz w:val="4"/>
                <w:szCs w:val="4"/>
                <w:color w:val="auto"/>
              </w:rPr>
            </w:pPr>
          </w:p>
        </w:tc>
        <w:tc>
          <w:tcPr>
            <w:tcW w:w="640" w:type="dxa"/>
            <w:vAlign w:val="bottom"/>
            <w:tcBorders>
              <w:bottom w:val="single" w:sz="8" w:color="3E3935"/>
            </w:tcBorders>
          </w:tcPr>
          <w:p>
            <w:pPr>
              <w:spacing w:after="0"/>
              <w:rPr>
                <w:sz w:val="4"/>
                <w:szCs w:val="4"/>
                <w:color w:val="auto"/>
              </w:rPr>
            </w:pPr>
          </w:p>
        </w:tc>
        <w:tc>
          <w:tcPr>
            <w:tcW w:w="660" w:type="dxa"/>
            <w:vAlign w:val="bottom"/>
            <w:tcBorders>
              <w:bottom w:val="single" w:sz="8" w:color="3E3935"/>
            </w:tcBorders>
          </w:tcPr>
          <w:p>
            <w:pPr>
              <w:spacing w:after="0"/>
              <w:rPr>
                <w:sz w:val="4"/>
                <w:szCs w:val="4"/>
                <w:color w:val="auto"/>
              </w:rPr>
            </w:pPr>
          </w:p>
        </w:tc>
        <w:tc>
          <w:tcPr>
            <w:tcW w:w="700" w:type="dxa"/>
            <w:vAlign w:val="bottom"/>
            <w:tcBorders>
              <w:bottom w:val="single" w:sz="8" w:color="3E3935"/>
            </w:tcBorders>
          </w:tcPr>
          <w:p>
            <w:pPr>
              <w:spacing w:after="0"/>
              <w:rPr>
                <w:sz w:val="4"/>
                <w:szCs w:val="4"/>
                <w:color w:val="auto"/>
              </w:rPr>
            </w:pPr>
          </w:p>
        </w:tc>
        <w:tc>
          <w:tcPr>
            <w:tcW w:w="720" w:type="dxa"/>
            <w:vAlign w:val="bottom"/>
            <w:tcBorders>
              <w:bottom w:val="single" w:sz="8" w:color="3E3935"/>
            </w:tcBorders>
          </w:tcPr>
          <w:p>
            <w:pPr>
              <w:spacing w:after="0"/>
              <w:rPr>
                <w:sz w:val="4"/>
                <w:szCs w:val="4"/>
                <w:color w:val="auto"/>
              </w:rPr>
            </w:pPr>
          </w:p>
        </w:tc>
        <w:tc>
          <w:tcPr>
            <w:tcW w:w="820" w:type="dxa"/>
            <w:vAlign w:val="bottom"/>
            <w:tcBorders>
              <w:bottom w:val="single" w:sz="8" w:color="3E3935"/>
            </w:tcBorders>
          </w:tcPr>
          <w:p>
            <w:pPr>
              <w:spacing w:after="0"/>
              <w:rPr>
                <w:sz w:val="4"/>
                <w:szCs w:val="4"/>
                <w:color w:val="auto"/>
              </w:rPr>
            </w:pPr>
          </w:p>
        </w:tc>
        <w:tc>
          <w:tcPr>
            <w:tcW w:w="680" w:type="dxa"/>
            <w:vAlign w:val="bottom"/>
            <w:tcBorders>
              <w:bottom w:val="single" w:sz="8" w:color="3E3935"/>
            </w:tcBorders>
          </w:tcPr>
          <w:p>
            <w:pPr>
              <w:spacing w:after="0"/>
              <w:rPr>
                <w:sz w:val="4"/>
                <w:szCs w:val="4"/>
                <w:color w:val="auto"/>
              </w:rPr>
            </w:pPr>
          </w:p>
        </w:tc>
        <w:tc>
          <w:tcPr>
            <w:tcW w:w="780" w:type="dxa"/>
            <w:vAlign w:val="bottom"/>
            <w:tcBorders>
              <w:bottom w:val="single" w:sz="8" w:color="3E3935"/>
            </w:tcBorders>
          </w:tcPr>
          <w:p>
            <w:pPr>
              <w:spacing w:after="0"/>
              <w:rPr>
                <w:sz w:val="4"/>
                <w:szCs w:val="4"/>
                <w:color w:val="auto"/>
              </w:rPr>
            </w:pPr>
          </w:p>
        </w:tc>
        <w:tc>
          <w:tcPr>
            <w:tcW w:w="660" w:type="dxa"/>
            <w:vAlign w:val="bottom"/>
            <w:tcBorders>
              <w:bottom w:val="single" w:sz="8" w:color="3E3935"/>
            </w:tcBorders>
          </w:tcPr>
          <w:p>
            <w:pPr>
              <w:spacing w:after="0"/>
              <w:rPr>
                <w:sz w:val="4"/>
                <w:szCs w:val="4"/>
                <w:color w:val="auto"/>
              </w:rPr>
            </w:pPr>
          </w:p>
        </w:tc>
        <w:tc>
          <w:tcPr>
            <w:tcW w:w="640" w:type="dxa"/>
            <w:vAlign w:val="bottom"/>
            <w:tcBorders>
              <w:bottom w:val="single" w:sz="8" w:color="3E3935"/>
            </w:tcBorders>
          </w:tcPr>
          <w:p>
            <w:pPr>
              <w:spacing w:after="0"/>
              <w:rPr>
                <w:sz w:val="4"/>
                <w:szCs w:val="4"/>
                <w:color w:val="auto"/>
              </w:rPr>
            </w:pPr>
          </w:p>
        </w:tc>
        <w:tc>
          <w:tcPr>
            <w:tcW w:w="780" w:type="dxa"/>
            <w:vAlign w:val="bottom"/>
            <w:tcBorders>
              <w:bottom w:val="single" w:sz="8" w:color="3E3935"/>
            </w:tcBorders>
          </w:tcPr>
          <w:p>
            <w:pPr>
              <w:spacing w:after="0"/>
              <w:rPr>
                <w:sz w:val="4"/>
                <w:szCs w:val="4"/>
                <w:color w:val="auto"/>
              </w:rPr>
            </w:pPr>
          </w:p>
        </w:tc>
        <w:tc>
          <w:tcPr>
            <w:tcW w:w="800" w:type="dxa"/>
            <w:vAlign w:val="bottom"/>
            <w:tcBorders>
              <w:bottom w:val="single" w:sz="8" w:color="3E3935"/>
            </w:tcBorders>
          </w:tcPr>
          <w:p>
            <w:pPr>
              <w:spacing w:after="0"/>
              <w:rPr>
                <w:sz w:val="4"/>
                <w:szCs w:val="4"/>
                <w:color w:val="auto"/>
              </w:rPr>
            </w:pPr>
          </w:p>
        </w:tc>
        <w:tc>
          <w:tcPr>
            <w:tcW w:w="640" w:type="dxa"/>
            <w:vAlign w:val="bottom"/>
            <w:tcBorders>
              <w:bottom w:val="single" w:sz="8" w:color="3E3935"/>
            </w:tcBorders>
          </w:tcPr>
          <w:p>
            <w:pPr>
              <w:spacing w:after="0"/>
              <w:rPr>
                <w:sz w:val="4"/>
                <w:szCs w:val="4"/>
                <w:color w:val="auto"/>
              </w:rPr>
            </w:pPr>
          </w:p>
        </w:tc>
        <w:tc>
          <w:tcPr>
            <w:tcW w:w="880" w:type="dxa"/>
            <w:vAlign w:val="bottom"/>
            <w:tcBorders>
              <w:bottom w:val="single" w:sz="8" w:color="3E3935"/>
            </w:tcBorders>
          </w:tcPr>
          <w:p>
            <w:pPr>
              <w:spacing w:after="0"/>
              <w:rPr>
                <w:sz w:val="4"/>
                <w:szCs w:val="4"/>
                <w:color w:val="auto"/>
              </w:rPr>
            </w:pPr>
          </w:p>
        </w:tc>
        <w:tc>
          <w:tcPr>
            <w:tcW w:w="0" w:type="dxa"/>
            <w:vAlign w:val="bottom"/>
          </w:tcPr>
          <w:p>
            <w:pPr>
              <w:spacing w:after="0"/>
              <w:rPr>
                <w:sz w:val="1"/>
                <w:szCs w:val="1"/>
                <w:color w:val="auto"/>
              </w:rPr>
            </w:pPr>
          </w:p>
        </w:tc>
      </w:tr>
      <w:tr>
        <w:trPr>
          <w:trHeight w:val="196"/>
        </w:trPr>
        <w:tc>
          <w:tcPr>
            <w:tcW w:w="1620" w:type="dxa"/>
            <w:vAlign w:val="bottom"/>
          </w:tcPr>
          <w:p>
            <w:pPr>
              <w:spacing w:after="0"/>
              <w:rPr>
                <w:sz w:val="17"/>
                <w:szCs w:val="17"/>
                <w:color w:val="auto"/>
              </w:rPr>
            </w:pPr>
          </w:p>
        </w:tc>
        <w:tc>
          <w:tcPr>
            <w:tcW w:w="640" w:type="dxa"/>
            <w:vAlign w:val="bottom"/>
          </w:tcPr>
          <w:p>
            <w:pPr>
              <w:jc w:val="right"/>
              <w:ind w:right="17"/>
              <w:spacing w:after="0"/>
              <w:rPr>
                <w:sz w:val="20"/>
                <w:szCs w:val="20"/>
                <w:color w:val="auto"/>
              </w:rPr>
            </w:pPr>
            <w:r>
              <w:rPr>
                <w:rFonts w:ascii="Arial" w:cs="Arial" w:eastAsia="Arial" w:hAnsi="Arial"/>
                <w:sz w:val="13"/>
                <w:szCs w:val="13"/>
                <w:color w:val="3E3935"/>
              </w:rPr>
              <w:t>Options</w:t>
            </w:r>
          </w:p>
        </w:tc>
        <w:tc>
          <w:tcPr>
            <w:tcW w:w="660" w:type="dxa"/>
            <w:vAlign w:val="bottom"/>
          </w:tcPr>
          <w:p>
            <w:pPr>
              <w:jc w:val="right"/>
              <w:ind w:right="17"/>
              <w:spacing w:after="0"/>
              <w:rPr>
                <w:sz w:val="20"/>
                <w:szCs w:val="20"/>
                <w:color w:val="auto"/>
              </w:rPr>
            </w:pPr>
            <w:r>
              <w:rPr>
                <w:rFonts w:ascii="Arial" w:cs="Arial" w:eastAsia="Arial" w:hAnsi="Arial"/>
                <w:sz w:val="13"/>
                <w:szCs w:val="13"/>
                <w:color w:val="3E3935"/>
              </w:rPr>
              <w:t>2/8/2022</w:t>
            </w:r>
          </w:p>
        </w:tc>
        <w:tc>
          <w:tcPr>
            <w:tcW w:w="700" w:type="dxa"/>
            <w:vAlign w:val="bottom"/>
          </w:tcPr>
          <w:p>
            <w:pPr>
              <w:jc w:val="right"/>
              <w:spacing w:after="0"/>
              <w:rPr>
                <w:sz w:val="20"/>
                <w:szCs w:val="20"/>
                <w:color w:val="auto"/>
              </w:rPr>
            </w:pPr>
            <w:r>
              <w:rPr>
                <w:rFonts w:ascii="Arial" w:cs="Arial" w:eastAsia="Arial" w:hAnsi="Arial"/>
                <w:sz w:val="13"/>
                <w:szCs w:val="13"/>
                <w:color w:val="3E3935"/>
              </w:rPr>
              <w:t>12/6/2021</w:t>
            </w:r>
          </w:p>
        </w:tc>
        <w:tc>
          <w:tcPr>
            <w:tcW w:w="7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3E3935"/>
              </w:rPr>
              <w:t>86,062</w:t>
            </w:r>
          </w:p>
        </w:tc>
        <w:tc>
          <w:tcPr>
            <w:tcW w:w="640" w:type="dxa"/>
            <w:vAlign w:val="bottom"/>
          </w:tcPr>
          <w:p>
            <w:pPr>
              <w:jc w:val="right"/>
              <w:spacing w:after="0"/>
              <w:rPr>
                <w:sz w:val="20"/>
                <w:szCs w:val="20"/>
                <w:color w:val="auto"/>
              </w:rPr>
            </w:pPr>
            <w:r>
              <w:rPr>
                <w:rFonts w:ascii="Arial" w:cs="Arial" w:eastAsia="Arial" w:hAnsi="Arial"/>
                <w:sz w:val="13"/>
                <w:szCs w:val="13"/>
                <w:color w:val="3E3935"/>
              </w:rPr>
              <w:t>49.46</w:t>
            </w:r>
          </w:p>
        </w:tc>
        <w:tc>
          <w:tcPr>
            <w:tcW w:w="880" w:type="dxa"/>
            <w:vAlign w:val="bottom"/>
          </w:tcPr>
          <w:p>
            <w:pPr>
              <w:jc w:val="right"/>
              <w:spacing w:after="0"/>
              <w:rPr>
                <w:sz w:val="20"/>
                <w:szCs w:val="20"/>
                <w:color w:val="auto"/>
              </w:rPr>
            </w:pPr>
            <w:r>
              <w:rPr>
                <w:rFonts w:ascii="Arial" w:cs="Arial" w:eastAsia="Arial" w:hAnsi="Arial"/>
                <w:sz w:val="13"/>
                <w:szCs w:val="13"/>
                <w:color w:val="3E3935"/>
              </w:rPr>
              <w:t>1,507,806</w:t>
            </w:r>
          </w:p>
        </w:tc>
        <w:tc>
          <w:tcPr>
            <w:tcW w:w="0" w:type="dxa"/>
            <w:vAlign w:val="bottom"/>
          </w:tcPr>
          <w:p>
            <w:pPr>
              <w:spacing w:after="0"/>
              <w:rPr>
                <w:sz w:val="1"/>
                <w:szCs w:val="1"/>
                <w:color w:val="auto"/>
              </w:rPr>
            </w:pPr>
          </w:p>
        </w:tc>
      </w:tr>
      <w:tr>
        <w:trPr>
          <w:trHeight w:val="54"/>
        </w:trPr>
        <w:tc>
          <w:tcPr>
            <w:tcW w:w="1620" w:type="dxa"/>
            <w:vAlign w:val="bottom"/>
          </w:tcPr>
          <w:p>
            <w:pPr>
              <w:spacing w:after="0"/>
              <w:rPr>
                <w:sz w:val="4"/>
                <w:szCs w:val="4"/>
                <w:color w:val="auto"/>
              </w:rPr>
            </w:pPr>
          </w:p>
        </w:tc>
        <w:tc>
          <w:tcPr>
            <w:tcW w:w="640" w:type="dxa"/>
            <w:vAlign w:val="bottom"/>
            <w:tcBorders>
              <w:bottom w:val="single" w:sz="8" w:color="3E3935"/>
            </w:tcBorders>
          </w:tcPr>
          <w:p>
            <w:pPr>
              <w:spacing w:after="0"/>
              <w:rPr>
                <w:sz w:val="4"/>
                <w:szCs w:val="4"/>
                <w:color w:val="auto"/>
              </w:rPr>
            </w:pPr>
          </w:p>
        </w:tc>
        <w:tc>
          <w:tcPr>
            <w:tcW w:w="660" w:type="dxa"/>
            <w:vAlign w:val="bottom"/>
            <w:tcBorders>
              <w:bottom w:val="single" w:sz="8" w:color="3E3935"/>
            </w:tcBorders>
          </w:tcPr>
          <w:p>
            <w:pPr>
              <w:spacing w:after="0"/>
              <w:rPr>
                <w:sz w:val="4"/>
                <w:szCs w:val="4"/>
                <w:color w:val="auto"/>
              </w:rPr>
            </w:pPr>
          </w:p>
        </w:tc>
        <w:tc>
          <w:tcPr>
            <w:tcW w:w="700" w:type="dxa"/>
            <w:vAlign w:val="bottom"/>
            <w:tcBorders>
              <w:bottom w:val="single" w:sz="8" w:color="3E3935"/>
            </w:tcBorders>
          </w:tcPr>
          <w:p>
            <w:pPr>
              <w:spacing w:after="0"/>
              <w:rPr>
                <w:sz w:val="4"/>
                <w:szCs w:val="4"/>
                <w:color w:val="auto"/>
              </w:rPr>
            </w:pPr>
          </w:p>
        </w:tc>
        <w:tc>
          <w:tcPr>
            <w:tcW w:w="720" w:type="dxa"/>
            <w:vAlign w:val="bottom"/>
            <w:tcBorders>
              <w:bottom w:val="single" w:sz="8" w:color="3E3935"/>
            </w:tcBorders>
          </w:tcPr>
          <w:p>
            <w:pPr>
              <w:spacing w:after="0"/>
              <w:rPr>
                <w:sz w:val="4"/>
                <w:szCs w:val="4"/>
                <w:color w:val="auto"/>
              </w:rPr>
            </w:pPr>
          </w:p>
        </w:tc>
        <w:tc>
          <w:tcPr>
            <w:tcW w:w="820" w:type="dxa"/>
            <w:vAlign w:val="bottom"/>
            <w:tcBorders>
              <w:bottom w:val="single" w:sz="8" w:color="3E3935"/>
            </w:tcBorders>
          </w:tcPr>
          <w:p>
            <w:pPr>
              <w:spacing w:after="0"/>
              <w:rPr>
                <w:sz w:val="4"/>
                <w:szCs w:val="4"/>
                <w:color w:val="auto"/>
              </w:rPr>
            </w:pPr>
          </w:p>
        </w:tc>
        <w:tc>
          <w:tcPr>
            <w:tcW w:w="680" w:type="dxa"/>
            <w:vAlign w:val="bottom"/>
            <w:tcBorders>
              <w:bottom w:val="single" w:sz="8" w:color="3E3935"/>
            </w:tcBorders>
          </w:tcPr>
          <w:p>
            <w:pPr>
              <w:spacing w:after="0"/>
              <w:rPr>
                <w:sz w:val="4"/>
                <w:szCs w:val="4"/>
                <w:color w:val="auto"/>
              </w:rPr>
            </w:pPr>
          </w:p>
        </w:tc>
        <w:tc>
          <w:tcPr>
            <w:tcW w:w="780" w:type="dxa"/>
            <w:vAlign w:val="bottom"/>
            <w:tcBorders>
              <w:bottom w:val="single" w:sz="8" w:color="3E3935"/>
            </w:tcBorders>
          </w:tcPr>
          <w:p>
            <w:pPr>
              <w:spacing w:after="0"/>
              <w:rPr>
                <w:sz w:val="4"/>
                <w:szCs w:val="4"/>
                <w:color w:val="auto"/>
              </w:rPr>
            </w:pPr>
          </w:p>
        </w:tc>
        <w:tc>
          <w:tcPr>
            <w:tcW w:w="660" w:type="dxa"/>
            <w:vAlign w:val="bottom"/>
            <w:tcBorders>
              <w:bottom w:val="single" w:sz="8" w:color="3E3935"/>
            </w:tcBorders>
          </w:tcPr>
          <w:p>
            <w:pPr>
              <w:spacing w:after="0"/>
              <w:rPr>
                <w:sz w:val="4"/>
                <w:szCs w:val="4"/>
                <w:color w:val="auto"/>
              </w:rPr>
            </w:pPr>
          </w:p>
        </w:tc>
        <w:tc>
          <w:tcPr>
            <w:tcW w:w="640" w:type="dxa"/>
            <w:vAlign w:val="bottom"/>
            <w:tcBorders>
              <w:bottom w:val="single" w:sz="8" w:color="3E3935"/>
            </w:tcBorders>
          </w:tcPr>
          <w:p>
            <w:pPr>
              <w:spacing w:after="0"/>
              <w:rPr>
                <w:sz w:val="4"/>
                <w:szCs w:val="4"/>
                <w:color w:val="auto"/>
              </w:rPr>
            </w:pPr>
          </w:p>
        </w:tc>
        <w:tc>
          <w:tcPr>
            <w:tcW w:w="780" w:type="dxa"/>
            <w:vAlign w:val="bottom"/>
            <w:tcBorders>
              <w:bottom w:val="single" w:sz="8" w:color="3E3935"/>
            </w:tcBorders>
          </w:tcPr>
          <w:p>
            <w:pPr>
              <w:spacing w:after="0"/>
              <w:rPr>
                <w:sz w:val="4"/>
                <w:szCs w:val="4"/>
                <w:color w:val="auto"/>
              </w:rPr>
            </w:pPr>
          </w:p>
        </w:tc>
        <w:tc>
          <w:tcPr>
            <w:tcW w:w="800" w:type="dxa"/>
            <w:vAlign w:val="bottom"/>
            <w:tcBorders>
              <w:bottom w:val="single" w:sz="8" w:color="3E3935"/>
            </w:tcBorders>
          </w:tcPr>
          <w:p>
            <w:pPr>
              <w:spacing w:after="0"/>
              <w:rPr>
                <w:sz w:val="4"/>
                <w:szCs w:val="4"/>
                <w:color w:val="auto"/>
              </w:rPr>
            </w:pPr>
          </w:p>
        </w:tc>
        <w:tc>
          <w:tcPr>
            <w:tcW w:w="640" w:type="dxa"/>
            <w:vAlign w:val="bottom"/>
            <w:tcBorders>
              <w:bottom w:val="single" w:sz="8" w:color="3E3935"/>
            </w:tcBorders>
          </w:tcPr>
          <w:p>
            <w:pPr>
              <w:spacing w:after="0"/>
              <w:rPr>
                <w:sz w:val="4"/>
                <w:szCs w:val="4"/>
                <w:color w:val="auto"/>
              </w:rPr>
            </w:pPr>
          </w:p>
        </w:tc>
        <w:tc>
          <w:tcPr>
            <w:tcW w:w="880" w:type="dxa"/>
            <w:vAlign w:val="bottom"/>
            <w:tcBorders>
              <w:bottom w:val="single" w:sz="8" w:color="3E3935"/>
            </w:tcBorders>
          </w:tcPr>
          <w:p>
            <w:pPr>
              <w:spacing w:after="0"/>
              <w:rPr>
                <w:sz w:val="4"/>
                <w:szCs w:val="4"/>
                <w:color w:val="auto"/>
              </w:rPr>
            </w:pPr>
          </w:p>
        </w:tc>
        <w:tc>
          <w:tcPr>
            <w:tcW w:w="0" w:type="dxa"/>
            <w:vAlign w:val="bottom"/>
          </w:tcPr>
          <w:p>
            <w:pPr>
              <w:spacing w:after="0"/>
              <w:rPr>
                <w:sz w:val="1"/>
                <w:szCs w:val="1"/>
                <w:color w:val="auto"/>
              </w:rPr>
            </w:pPr>
          </w:p>
        </w:tc>
      </w:tr>
      <w:tr>
        <w:trPr>
          <w:trHeight w:val="196"/>
        </w:trPr>
        <w:tc>
          <w:tcPr>
            <w:tcW w:w="1620" w:type="dxa"/>
            <w:vAlign w:val="bottom"/>
          </w:tcPr>
          <w:p>
            <w:pPr>
              <w:spacing w:after="0"/>
              <w:rPr>
                <w:sz w:val="17"/>
                <w:szCs w:val="17"/>
                <w:color w:val="auto"/>
              </w:rPr>
            </w:pPr>
          </w:p>
        </w:tc>
        <w:tc>
          <w:tcPr>
            <w:tcW w:w="640" w:type="dxa"/>
            <w:vAlign w:val="bottom"/>
          </w:tcPr>
          <w:p>
            <w:pPr>
              <w:jc w:val="right"/>
              <w:ind w:right="17"/>
              <w:spacing w:after="0"/>
              <w:rPr>
                <w:sz w:val="20"/>
                <w:szCs w:val="20"/>
                <w:color w:val="auto"/>
              </w:rPr>
            </w:pPr>
            <w:r>
              <w:rPr>
                <w:rFonts w:ascii="Arial" w:cs="Arial" w:eastAsia="Arial" w:hAnsi="Arial"/>
                <w:sz w:val="13"/>
                <w:szCs w:val="13"/>
                <w:color w:val="3E3935"/>
              </w:rPr>
              <w:t>PSU</w:t>
            </w:r>
          </w:p>
        </w:tc>
        <w:tc>
          <w:tcPr>
            <w:tcW w:w="660" w:type="dxa"/>
            <w:vAlign w:val="bottom"/>
          </w:tcPr>
          <w:p>
            <w:pPr>
              <w:jc w:val="right"/>
              <w:ind w:right="17"/>
              <w:spacing w:after="0"/>
              <w:rPr>
                <w:sz w:val="20"/>
                <w:szCs w:val="20"/>
                <w:color w:val="auto"/>
              </w:rPr>
            </w:pPr>
            <w:r>
              <w:rPr>
                <w:rFonts w:ascii="Arial" w:cs="Arial" w:eastAsia="Arial" w:hAnsi="Arial"/>
                <w:sz w:val="13"/>
                <w:szCs w:val="13"/>
                <w:color w:val="3E3935"/>
              </w:rPr>
              <w:t>2/8/2022</w:t>
            </w:r>
          </w:p>
        </w:tc>
        <w:tc>
          <w:tcPr>
            <w:tcW w:w="700" w:type="dxa"/>
            <w:vAlign w:val="bottom"/>
          </w:tcPr>
          <w:p>
            <w:pPr>
              <w:jc w:val="right"/>
              <w:spacing w:after="0"/>
              <w:rPr>
                <w:sz w:val="20"/>
                <w:szCs w:val="20"/>
                <w:color w:val="auto"/>
              </w:rPr>
            </w:pPr>
            <w:r>
              <w:rPr>
                <w:rFonts w:ascii="Arial" w:cs="Arial" w:eastAsia="Arial" w:hAnsi="Arial"/>
                <w:sz w:val="13"/>
                <w:szCs w:val="13"/>
                <w:color w:val="3E3935"/>
              </w:rPr>
              <w:t>12/6/2021</w:t>
            </w:r>
          </w:p>
        </w:tc>
        <w:tc>
          <w:tcPr>
            <w:tcW w:w="7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80" w:type="dxa"/>
            <w:vAlign w:val="bottom"/>
          </w:tcPr>
          <w:p>
            <w:pPr>
              <w:jc w:val="right"/>
              <w:ind w:right="37"/>
              <w:spacing w:after="0"/>
              <w:rPr>
                <w:sz w:val="20"/>
                <w:szCs w:val="20"/>
                <w:color w:val="auto"/>
              </w:rPr>
            </w:pPr>
            <w:r>
              <w:rPr>
                <w:rFonts w:ascii="Arial" w:cs="Arial" w:eastAsia="Arial" w:hAnsi="Arial"/>
                <w:sz w:val="13"/>
                <w:szCs w:val="13"/>
                <w:color w:val="3E3935"/>
              </w:rPr>
              <w:t>8,874</w:t>
            </w:r>
          </w:p>
        </w:tc>
        <w:tc>
          <w:tcPr>
            <w:tcW w:w="660" w:type="dxa"/>
            <w:vAlign w:val="bottom"/>
          </w:tcPr>
          <w:p>
            <w:pPr>
              <w:jc w:val="right"/>
              <w:ind w:right="57"/>
              <w:spacing w:after="0"/>
              <w:rPr>
                <w:sz w:val="20"/>
                <w:szCs w:val="20"/>
                <w:color w:val="auto"/>
              </w:rPr>
            </w:pPr>
            <w:r>
              <w:rPr>
                <w:rFonts w:ascii="Arial" w:cs="Arial" w:eastAsia="Arial" w:hAnsi="Arial"/>
                <w:sz w:val="13"/>
                <w:szCs w:val="13"/>
                <w:color w:val="3E3935"/>
              </w:rPr>
              <w:t>88,744</w:t>
            </w:r>
          </w:p>
        </w:tc>
        <w:tc>
          <w:tcPr>
            <w:tcW w:w="640" w:type="dxa"/>
            <w:vAlign w:val="bottom"/>
          </w:tcPr>
          <w:p>
            <w:pPr>
              <w:jc w:val="right"/>
              <w:spacing w:after="0"/>
              <w:rPr>
                <w:sz w:val="20"/>
                <w:szCs w:val="20"/>
                <w:color w:val="auto"/>
              </w:rPr>
            </w:pPr>
            <w:r>
              <w:rPr>
                <w:rFonts w:ascii="Arial" w:cs="Arial" w:eastAsia="Arial" w:hAnsi="Arial"/>
                <w:sz w:val="13"/>
                <w:szCs w:val="13"/>
                <w:color w:val="3E3935"/>
              </w:rPr>
              <w:t>177,488</w:t>
            </w:r>
          </w:p>
        </w:tc>
        <w:tc>
          <w:tcPr>
            <w:tcW w:w="7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3E3935"/>
              </w:rPr>
              <w:t>4,523,400</w:t>
            </w:r>
          </w:p>
        </w:tc>
        <w:tc>
          <w:tcPr>
            <w:tcW w:w="0" w:type="dxa"/>
            <w:vAlign w:val="bottom"/>
          </w:tcPr>
          <w:p>
            <w:pPr>
              <w:spacing w:after="0"/>
              <w:rPr>
                <w:sz w:val="1"/>
                <w:szCs w:val="1"/>
                <w:color w:val="auto"/>
              </w:rPr>
            </w:pPr>
          </w:p>
        </w:tc>
      </w:tr>
      <w:tr>
        <w:trPr>
          <w:trHeight w:val="54"/>
        </w:trPr>
        <w:tc>
          <w:tcPr>
            <w:tcW w:w="1620" w:type="dxa"/>
            <w:vAlign w:val="bottom"/>
            <w:tcBorders>
              <w:bottom w:val="single" w:sz="8" w:color="3E3935"/>
            </w:tcBorders>
          </w:tcPr>
          <w:p>
            <w:pPr>
              <w:spacing w:after="0"/>
              <w:rPr>
                <w:sz w:val="4"/>
                <w:szCs w:val="4"/>
                <w:color w:val="auto"/>
              </w:rPr>
            </w:pPr>
          </w:p>
        </w:tc>
        <w:tc>
          <w:tcPr>
            <w:tcW w:w="640" w:type="dxa"/>
            <w:vAlign w:val="bottom"/>
            <w:tcBorders>
              <w:bottom w:val="single" w:sz="8" w:color="3E3935"/>
            </w:tcBorders>
          </w:tcPr>
          <w:p>
            <w:pPr>
              <w:spacing w:after="0"/>
              <w:rPr>
                <w:sz w:val="4"/>
                <w:szCs w:val="4"/>
                <w:color w:val="auto"/>
              </w:rPr>
            </w:pPr>
          </w:p>
        </w:tc>
        <w:tc>
          <w:tcPr>
            <w:tcW w:w="660" w:type="dxa"/>
            <w:vAlign w:val="bottom"/>
            <w:tcBorders>
              <w:bottom w:val="single" w:sz="8" w:color="3E3935"/>
            </w:tcBorders>
          </w:tcPr>
          <w:p>
            <w:pPr>
              <w:spacing w:after="0"/>
              <w:rPr>
                <w:sz w:val="4"/>
                <w:szCs w:val="4"/>
                <w:color w:val="auto"/>
              </w:rPr>
            </w:pPr>
          </w:p>
        </w:tc>
        <w:tc>
          <w:tcPr>
            <w:tcW w:w="700" w:type="dxa"/>
            <w:vAlign w:val="bottom"/>
            <w:tcBorders>
              <w:bottom w:val="single" w:sz="8" w:color="3E3935"/>
            </w:tcBorders>
          </w:tcPr>
          <w:p>
            <w:pPr>
              <w:spacing w:after="0"/>
              <w:rPr>
                <w:sz w:val="4"/>
                <w:szCs w:val="4"/>
                <w:color w:val="auto"/>
              </w:rPr>
            </w:pPr>
          </w:p>
        </w:tc>
        <w:tc>
          <w:tcPr>
            <w:tcW w:w="720" w:type="dxa"/>
            <w:vAlign w:val="bottom"/>
            <w:tcBorders>
              <w:bottom w:val="single" w:sz="8" w:color="3E3935"/>
            </w:tcBorders>
          </w:tcPr>
          <w:p>
            <w:pPr>
              <w:spacing w:after="0"/>
              <w:rPr>
                <w:sz w:val="4"/>
                <w:szCs w:val="4"/>
                <w:color w:val="auto"/>
              </w:rPr>
            </w:pPr>
          </w:p>
        </w:tc>
        <w:tc>
          <w:tcPr>
            <w:tcW w:w="820" w:type="dxa"/>
            <w:vAlign w:val="bottom"/>
            <w:tcBorders>
              <w:bottom w:val="single" w:sz="8" w:color="3E3935"/>
            </w:tcBorders>
          </w:tcPr>
          <w:p>
            <w:pPr>
              <w:spacing w:after="0"/>
              <w:rPr>
                <w:sz w:val="4"/>
                <w:szCs w:val="4"/>
                <w:color w:val="auto"/>
              </w:rPr>
            </w:pPr>
          </w:p>
        </w:tc>
        <w:tc>
          <w:tcPr>
            <w:tcW w:w="680" w:type="dxa"/>
            <w:vAlign w:val="bottom"/>
            <w:tcBorders>
              <w:bottom w:val="single" w:sz="8" w:color="3E3935"/>
            </w:tcBorders>
          </w:tcPr>
          <w:p>
            <w:pPr>
              <w:spacing w:after="0"/>
              <w:rPr>
                <w:sz w:val="4"/>
                <w:szCs w:val="4"/>
                <w:color w:val="auto"/>
              </w:rPr>
            </w:pPr>
          </w:p>
        </w:tc>
        <w:tc>
          <w:tcPr>
            <w:tcW w:w="780" w:type="dxa"/>
            <w:vAlign w:val="bottom"/>
            <w:tcBorders>
              <w:bottom w:val="single" w:sz="8" w:color="3E3935"/>
            </w:tcBorders>
          </w:tcPr>
          <w:p>
            <w:pPr>
              <w:spacing w:after="0"/>
              <w:rPr>
                <w:sz w:val="4"/>
                <w:szCs w:val="4"/>
                <w:color w:val="auto"/>
              </w:rPr>
            </w:pPr>
          </w:p>
        </w:tc>
        <w:tc>
          <w:tcPr>
            <w:tcW w:w="660" w:type="dxa"/>
            <w:vAlign w:val="bottom"/>
            <w:tcBorders>
              <w:bottom w:val="single" w:sz="8" w:color="3E3935"/>
            </w:tcBorders>
          </w:tcPr>
          <w:p>
            <w:pPr>
              <w:spacing w:after="0"/>
              <w:rPr>
                <w:sz w:val="4"/>
                <w:szCs w:val="4"/>
                <w:color w:val="auto"/>
              </w:rPr>
            </w:pPr>
          </w:p>
        </w:tc>
        <w:tc>
          <w:tcPr>
            <w:tcW w:w="640" w:type="dxa"/>
            <w:vAlign w:val="bottom"/>
            <w:tcBorders>
              <w:bottom w:val="single" w:sz="8" w:color="3E3935"/>
            </w:tcBorders>
          </w:tcPr>
          <w:p>
            <w:pPr>
              <w:spacing w:after="0"/>
              <w:rPr>
                <w:sz w:val="4"/>
                <w:szCs w:val="4"/>
                <w:color w:val="auto"/>
              </w:rPr>
            </w:pPr>
          </w:p>
        </w:tc>
        <w:tc>
          <w:tcPr>
            <w:tcW w:w="780" w:type="dxa"/>
            <w:vAlign w:val="bottom"/>
            <w:tcBorders>
              <w:bottom w:val="single" w:sz="8" w:color="3E3935"/>
            </w:tcBorders>
          </w:tcPr>
          <w:p>
            <w:pPr>
              <w:spacing w:after="0"/>
              <w:rPr>
                <w:sz w:val="4"/>
                <w:szCs w:val="4"/>
                <w:color w:val="auto"/>
              </w:rPr>
            </w:pPr>
          </w:p>
        </w:tc>
        <w:tc>
          <w:tcPr>
            <w:tcW w:w="800" w:type="dxa"/>
            <w:vAlign w:val="bottom"/>
            <w:tcBorders>
              <w:bottom w:val="single" w:sz="8" w:color="3E3935"/>
            </w:tcBorders>
          </w:tcPr>
          <w:p>
            <w:pPr>
              <w:spacing w:after="0"/>
              <w:rPr>
                <w:sz w:val="4"/>
                <w:szCs w:val="4"/>
                <w:color w:val="auto"/>
              </w:rPr>
            </w:pPr>
          </w:p>
        </w:tc>
        <w:tc>
          <w:tcPr>
            <w:tcW w:w="640" w:type="dxa"/>
            <w:vAlign w:val="bottom"/>
            <w:tcBorders>
              <w:bottom w:val="single" w:sz="8" w:color="3E3935"/>
            </w:tcBorders>
          </w:tcPr>
          <w:p>
            <w:pPr>
              <w:spacing w:after="0"/>
              <w:rPr>
                <w:sz w:val="4"/>
                <w:szCs w:val="4"/>
                <w:color w:val="auto"/>
              </w:rPr>
            </w:pPr>
          </w:p>
        </w:tc>
        <w:tc>
          <w:tcPr>
            <w:tcW w:w="880" w:type="dxa"/>
            <w:vAlign w:val="bottom"/>
            <w:tcBorders>
              <w:bottom w:val="single" w:sz="8" w:color="3E3935"/>
            </w:tcBorders>
          </w:tcPr>
          <w:p>
            <w:pPr>
              <w:spacing w:after="0"/>
              <w:rPr>
                <w:sz w:val="4"/>
                <w:szCs w:val="4"/>
                <w:color w:val="auto"/>
              </w:rPr>
            </w:pPr>
          </w:p>
        </w:tc>
        <w:tc>
          <w:tcPr>
            <w:tcW w:w="0" w:type="dxa"/>
            <w:vAlign w:val="bottom"/>
          </w:tcPr>
          <w:p>
            <w:pPr>
              <w:spacing w:after="0"/>
              <w:rPr>
                <w:sz w:val="1"/>
                <w:szCs w:val="1"/>
                <w:color w:val="auto"/>
              </w:rPr>
            </w:pPr>
          </w:p>
        </w:tc>
      </w:tr>
      <w:tr>
        <w:trPr>
          <w:trHeight w:val="196"/>
        </w:trPr>
        <w:tc>
          <w:tcPr>
            <w:tcW w:w="1620" w:type="dxa"/>
            <w:vAlign w:val="bottom"/>
          </w:tcPr>
          <w:p>
            <w:pPr>
              <w:ind w:left="60"/>
              <w:spacing w:after="0"/>
              <w:rPr>
                <w:sz w:val="20"/>
                <w:szCs w:val="20"/>
                <w:color w:val="auto"/>
              </w:rPr>
            </w:pPr>
            <w:r>
              <w:rPr>
                <w:rFonts w:ascii="Arial" w:cs="Arial" w:eastAsia="Arial" w:hAnsi="Arial"/>
                <w:sz w:val="13"/>
                <w:szCs w:val="13"/>
                <w:color w:val="3E3935"/>
              </w:rPr>
              <w:t>Stephen K. Carlisle</w:t>
            </w:r>
          </w:p>
        </w:tc>
        <w:tc>
          <w:tcPr>
            <w:tcW w:w="640" w:type="dxa"/>
            <w:vAlign w:val="bottom"/>
          </w:tcPr>
          <w:p>
            <w:pPr>
              <w:jc w:val="right"/>
              <w:ind w:right="17"/>
              <w:spacing w:after="0"/>
              <w:rPr>
                <w:sz w:val="20"/>
                <w:szCs w:val="20"/>
                <w:color w:val="auto"/>
              </w:rPr>
            </w:pPr>
            <w:r>
              <w:rPr>
                <w:rFonts w:ascii="Arial" w:cs="Arial" w:eastAsia="Arial" w:hAnsi="Arial"/>
                <w:sz w:val="13"/>
                <w:szCs w:val="13"/>
                <w:color w:val="3E3935"/>
              </w:rPr>
              <w:t>STIP</w:t>
            </w:r>
          </w:p>
        </w:tc>
        <w:tc>
          <w:tcPr>
            <w:tcW w:w="660" w:type="dxa"/>
            <w:vAlign w:val="bottom"/>
          </w:tcPr>
          <w:p>
            <w:pPr>
              <w:jc w:val="right"/>
              <w:ind w:right="17"/>
              <w:spacing w:after="0"/>
              <w:rPr>
                <w:sz w:val="20"/>
                <w:szCs w:val="20"/>
                <w:color w:val="auto"/>
              </w:rPr>
            </w:pPr>
            <w:r>
              <w:rPr>
                <w:rFonts w:ascii="Arial" w:cs="Arial" w:eastAsia="Arial" w:hAnsi="Arial"/>
                <w:sz w:val="13"/>
                <w:szCs w:val="13"/>
                <w:color w:val="3E3935"/>
              </w:rPr>
              <w:t>1/1/2022</w:t>
            </w:r>
          </w:p>
        </w:tc>
        <w:tc>
          <w:tcPr>
            <w:tcW w:w="700" w:type="dxa"/>
            <w:vAlign w:val="bottom"/>
          </w:tcPr>
          <w:p>
            <w:pPr>
              <w:jc w:val="right"/>
              <w:spacing w:after="0"/>
              <w:rPr>
                <w:sz w:val="20"/>
                <w:szCs w:val="20"/>
                <w:color w:val="auto"/>
              </w:rPr>
            </w:pPr>
            <w:r>
              <w:rPr>
                <w:rFonts w:ascii="Arial" w:cs="Arial" w:eastAsia="Arial" w:hAnsi="Arial"/>
                <w:sz w:val="13"/>
                <w:szCs w:val="13"/>
                <w:color w:val="3E3935"/>
              </w:rPr>
              <w:t>12/6/2021</w:t>
            </w:r>
          </w:p>
        </w:tc>
        <w:tc>
          <w:tcPr>
            <w:tcW w:w="720" w:type="dxa"/>
            <w:vAlign w:val="bottom"/>
          </w:tcPr>
          <w:p>
            <w:pPr>
              <w:jc w:val="right"/>
              <w:spacing w:after="0"/>
              <w:rPr>
                <w:sz w:val="20"/>
                <w:szCs w:val="20"/>
                <w:color w:val="auto"/>
              </w:rPr>
            </w:pPr>
            <w:r>
              <w:rPr>
                <w:rFonts w:ascii="Arial" w:cs="Arial" w:eastAsia="Arial" w:hAnsi="Arial"/>
                <w:sz w:val="13"/>
                <w:szCs w:val="13"/>
                <w:color w:val="3E3935"/>
              </w:rPr>
              <w:t>68,363</w:t>
            </w:r>
          </w:p>
        </w:tc>
        <w:tc>
          <w:tcPr>
            <w:tcW w:w="820" w:type="dxa"/>
            <w:vAlign w:val="bottom"/>
          </w:tcPr>
          <w:p>
            <w:pPr>
              <w:jc w:val="right"/>
              <w:ind w:right="57"/>
              <w:spacing w:after="0"/>
              <w:rPr>
                <w:sz w:val="20"/>
                <w:szCs w:val="20"/>
                <w:color w:val="auto"/>
              </w:rPr>
            </w:pPr>
            <w:r>
              <w:rPr>
                <w:rFonts w:ascii="Arial" w:cs="Arial" w:eastAsia="Arial" w:hAnsi="Arial"/>
                <w:sz w:val="13"/>
                <w:szCs w:val="13"/>
                <w:color w:val="3E3935"/>
              </w:rPr>
              <w:t>1,093,800</w:t>
            </w:r>
          </w:p>
        </w:tc>
        <w:tc>
          <w:tcPr>
            <w:tcW w:w="680" w:type="dxa"/>
            <w:vAlign w:val="bottom"/>
          </w:tcPr>
          <w:p>
            <w:pPr>
              <w:jc w:val="right"/>
              <w:spacing w:after="0"/>
              <w:rPr>
                <w:sz w:val="20"/>
                <w:szCs w:val="20"/>
                <w:color w:val="auto"/>
              </w:rPr>
            </w:pPr>
            <w:r>
              <w:rPr>
                <w:rFonts w:ascii="Arial" w:cs="Arial" w:eastAsia="Arial" w:hAnsi="Arial"/>
                <w:sz w:val="13"/>
                <w:szCs w:val="13"/>
                <w:color w:val="3E3935"/>
              </w:rPr>
              <w:t>2,187,600</w:t>
            </w:r>
          </w:p>
        </w:tc>
        <w:tc>
          <w:tcPr>
            <w:tcW w:w="7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1620" w:type="dxa"/>
            <w:vAlign w:val="bottom"/>
          </w:tcPr>
          <w:p>
            <w:pPr>
              <w:spacing w:after="0"/>
              <w:rPr>
                <w:sz w:val="4"/>
                <w:szCs w:val="4"/>
                <w:color w:val="auto"/>
              </w:rPr>
            </w:pPr>
          </w:p>
        </w:tc>
        <w:tc>
          <w:tcPr>
            <w:tcW w:w="640" w:type="dxa"/>
            <w:vAlign w:val="bottom"/>
            <w:tcBorders>
              <w:bottom w:val="single" w:sz="8" w:color="3E3935"/>
            </w:tcBorders>
          </w:tcPr>
          <w:p>
            <w:pPr>
              <w:spacing w:after="0"/>
              <w:rPr>
                <w:sz w:val="4"/>
                <w:szCs w:val="4"/>
                <w:color w:val="auto"/>
              </w:rPr>
            </w:pPr>
          </w:p>
        </w:tc>
        <w:tc>
          <w:tcPr>
            <w:tcW w:w="660" w:type="dxa"/>
            <w:vAlign w:val="bottom"/>
            <w:tcBorders>
              <w:bottom w:val="single" w:sz="8" w:color="3E3935"/>
            </w:tcBorders>
          </w:tcPr>
          <w:p>
            <w:pPr>
              <w:spacing w:after="0"/>
              <w:rPr>
                <w:sz w:val="4"/>
                <w:szCs w:val="4"/>
                <w:color w:val="auto"/>
              </w:rPr>
            </w:pPr>
          </w:p>
        </w:tc>
        <w:tc>
          <w:tcPr>
            <w:tcW w:w="700" w:type="dxa"/>
            <w:vAlign w:val="bottom"/>
            <w:tcBorders>
              <w:bottom w:val="single" w:sz="8" w:color="3E3935"/>
            </w:tcBorders>
          </w:tcPr>
          <w:p>
            <w:pPr>
              <w:spacing w:after="0"/>
              <w:rPr>
                <w:sz w:val="4"/>
                <w:szCs w:val="4"/>
                <w:color w:val="auto"/>
              </w:rPr>
            </w:pPr>
          </w:p>
        </w:tc>
        <w:tc>
          <w:tcPr>
            <w:tcW w:w="720" w:type="dxa"/>
            <w:vAlign w:val="bottom"/>
            <w:tcBorders>
              <w:bottom w:val="single" w:sz="8" w:color="3E3935"/>
            </w:tcBorders>
          </w:tcPr>
          <w:p>
            <w:pPr>
              <w:spacing w:after="0"/>
              <w:rPr>
                <w:sz w:val="4"/>
                <w:szCs w:val="4"/>
                <w:color w:val="auto"/>
              </w:rPr>
            </w:pPr>
          </w:p>
        </w:tc>
        <w:tc>
          <w:tcPr>
            <w:tcW w:w="820" w:type="dxa"/>
            <w:vAlign w:val="bottom"/>
            <w:tcBorders>
              <w:bottom w:val="single" w:sz="8" w:color="3E3935"/>
            </w:tcBorders>
          </w:tcPr>
          <w:p>
            <w:pPr>
              <w:spacing w:after="0"/>
              <w:rPr>
                <w:sz w:val="4"/>
                <w:szCs w:val="4"/>
                <w:color w:val="auto"/>
              </w:rPr>
            </w:pPr>
          </w:p>
        </w:tc>
        <w:tc>
          <w:tcPr>
            <w:tcW w:w="680" w:type="dxa"/>
            <w:vAlign w:val="bottom"/>
            <w:tcBorders>
              <w:bottom w:val="single" w:sz="8" w:color="3E3935"/>
            </w:tcBorders>
          </w:tcPr>
          <w:p>
            <w:pPr>
              <w:spacing w:after="0"/>
              <w:rPr>
                <w:sz w:val="4"/>
                <w:szCs w:val="4"/>
                <w:color w:val="auto"/>
              </w:rPr>
            </w:pPr>
          </w:p>
        </w:tc>
        <w:tc>
          <w:tcPr>
            <w:tcW w:w="780" w:type="dxa"/>
            <w:vAlign w:val="bottom"/>
            <w:tcBorders>
              <w:bottom w:val="single" w:sz="8" w:color="3E3935"/>
            </w:tcBorders>
          </w:tcPr>
          <w:p>
            <w:pPr>
              <w:spacing w:after="0"/>
              <w:rPr>
                <w:sz w:val="4"/>
                <w:szCs w:val="4"/>
                <w:color w:val="auto"/>
              </w:rPr>
            </w:pPr>
          </w:p>
        </w:tc>
        <w:tc>
          <w:tcPr>
            <w:tcW w:w="660" w:type="dxa"/>
            <w:vAlign w:val="bottom"/>
            <w:tcBorders>
              <w:bottom w:val="single" w:sz="8" w:color="3E3935"/>
            </w:tcBorders>
          </w:tcPr>
          <w:p>
            <w:pPr>
              <w:spacing w:after="0"/>
              <w:rPr>
                <w:sz w:val="4"/>
                <w:szCs w:val="4"/>
                <w:color w:val="auto"/>
              </w:rPr>
            </w:pPr>
          </w:p>
        </w:tc>
        <w:tc>
          <w:tcPr>
            <w:tcW w:w="640" w:type="dxa"/>
            <w:vAlign w:val="bottom"/>
            <w:tcBorders>
              <w:bottom w:val="single" w:sz="8" w:color="3E3935"/>
            </w:tcBorders>
          </w:tcPr>
          <w:p>
            <w:pPr>
              <w:spacing w:after="0"/>
              <w:rPr>
                <w:sz w:val="4"/>
                <w:szCs w:val="4"/>
                <w:color w:val="auto"/>
              </w:rPr>
            </w:pPr>
          </w:p>
        </w:tc>
        <w:tc>
          <w:tcPr>
            <w:tcW w:w="780" w:type="dxa"/>
            <w:vAlign w:val="bottom"/>
            <w:tcBorders>
              <w:bottom w:val="single" w:sz="8" w:color="3E3935"/>
            </w:tcBorders>
          </w:tcPr>
          <w:p>
            <w:pPr>
              <w:spacing w:after="0"/>
              <w:rPr>
                <w:sz w:val="4"/>
                <w:szCs w:val="4"/>
                <w:color w:val="auto"/>
              </w:rPr>
            </w:pPr>
          </w:p>
        </w:tc>
        <w:tc>
          <w:tcPr>
            <w:tcW w:w="800" w:type="dxa"/>
            <w:vAlign w:val="bottom"/>
            <w:tcBorders>
              <w:bottom w:val="single" w:sz="8" w:color="3E3935"/>
            </w:tcBorders>
          </w:tcPr>
          <w:p>
            <w:pPr>
              <w:spacing w:after="0"/>
              <w:rPr>
                <w:sz w:val="4"/>
                <w:szCs w:val="4"/>
                <w:color w:val="auto"/>
              </w:rPr>
            </w:pPr>
          </w:p>
        </w:tc>
        <w:tc>
          <w:tcPr>
            <w:tcW w:w="640" w:type="dxa"/>
            <w:vAlign w:val="bottom"/>
            <w:tcBorders>
              <w:bottom w:val="single" w:sz="8" w:color="3E3935"/>
            </w:tcBorders>
          </w:tcPr>
          <w:p>
            <w:pPr>
              <w:spacing w:after="0"/>
              <w:rPr>
                <w:sz w:val="4"/>
                <w:szCs w:val="4"/>
                <w:color w:val="auto"/>
              </w:rPr>
            </w:pPr>
          </w:p>
        </w:tc>
        <w:tc>
          <w:tcPr>
            <w:tcW w:w="880" w:type="dxa"/>
            <w:vAlign w:val="bottom"/>
            <w:tcBorders>
              <w:bottom w:val="single" w:sz="8" w:color="3E3935"/>
            </w:tcBorders>
          </w:tcPr>
          <w:p>
            <w:pPr>
              <w:spacing w:after="0"/>
              <w:rPr>
                <w:sz w:val="4"/>
                <w:szCs w:val="4"/>
                <w:color w:val="auto"/>
              </w:rPr>
            </w:pPr>
          </w:p>
        </w:tc>
        <w:tc>
          <w:tcPr>
            <w:tcW w:w="0" w:type="dxa"/>
            <w:vAlign w:val="bottom"/>
          </w:tcPr>
          <w:p>
            <w:pPr>
              <w:spacing w:after="0"/>
              <w:rPr>
                <w:sz w:val="1"/>
                <w:szCs w:val="1"/>
                <w:color w:val="auto"/>
              </w:rPr>
            </w:pPr>
          </w:p>
        </w:tc>
      </w:tr>
      <w:tr>
        <w:trPr>
          <w:trHeight w:val="196"/>
        </w:trPr>
        <w:tc>
          <w:tcPr>
            <w:tcW w:w="1620" w:type="dxa"/>
            <w:vAlign w:val="bottom"/>
          </w:tcPr>
          <w:p>
            <w:pPr>
              <w:spacing w:after="0"/>
              <w:rPr>
                <w:sz w:val="17"/>
                <w:szCs w:val="17"/>
                <w:color w:val="auto"/>
              </w:rPr>
            </w:pPr>
          </w:p>
        </w:tc>
        <w:tc>
          <w:tcPr>
            <w:tcW w:w="640" w:type="dxa"/>
            <w:vAlign w:val="bottom"/>
          </w:tcPr>
          <w:p>
            <w:pPr>
              <w:jc w:val="right"/>
              <w:ind w:right="17"/>
              <w:spacing w:after="0"/>
              <w:rPr>
                <w:sz w:val="20"/>
                <w:szCs w:val="20"/>
                <w:color w:val="auto"/>
              </w:rPr>
            </w:pPr>
            <w:r>
              <w:rPr>
                <w:rFonts w:ascii="Arial" w:cs="Arial" w:eastAsia="Arial" w:hAnsi="Arial"/>
                <w:sz w:val="13"/>
                <w:szCs w:val="13"/>
                <w:color w:val="3E3935"/>
              </w:rPr>
              <w:t>Options</w:t>
            </w:r>
          </w:p>
        </w:tc>
        <w:tc>
          <w:tcPr>
            <w:tcW w:w="660" w:type="dxa"/>
            <w:vAlign w:val="bottom"/>
          </w:tcPr>
          <w:p>
            <w:pPr>
              <w:jc w:val="right"/>
              <w:ind w:right="17"/>
              <w:spacing w:after="0"/>
              <w:rPr>
                <w:sz w:val="20"/>
                <w:szCs w:val="20"/>
                <w:color w:val="auto"/>
              </w:rPr>
            </w:pPr>
            <w:r>
              <w:rPr>
                <w:rFonts w:ascii="Arial" w:cs="Arial" w:eastAsia="Arial" w:hAnsi="Arial"/>
                <w:sz w:val="13"/>
                <w:szCs w:val="13"/>
                <w:color w:val="3E3935"/>
              </w:rPr>
              <w:t>2/8/2022</w:t>
            </w:r>
          </w:p>
        </w:tc>
        <w:tc>
          <w:tcPr>
            <w:tcW w:w="700" w:type="dxa"/>
            <w:vAlign w:val="bottom"/>
          </w:tcPr>
          <w:p>
            <w:pPr>
              <w:jc w:val="right"/>
              <w:spacing w:after="0"/>
              <w:rPr>
                <w:sz w:val="20"/>
                <w:szCs w:val="20"/>
                <w:color w:val="auto"/>
              </w:rPr>
            </w:pPr>
            <w:r>
              <w:rPr>
                <w:rFonts w:ascii="Arial" w:cs="Arial" w:eastAsia="Arial" w:hAnsi="Arial"/>
                <w:sz w:val="13"/>
                <w:szCs w:val="13"/>
                <w:color w:val="3E3935"/>
              </w:rPr>
              <w:t>12/6/2021</w:t>
            </w:r>
          </w:p>
        </w:tc>
        <w:tc>
          <w:tcPr>
            <w:tcW w:w="7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3E3935"/>
              </w:rPr>
              <w:t>86,062</w:t>
            </w:r>
          </w:p>
        </w:tc>
        <w:tc>
          <w:tcPr>
            <w:tcW w:w="640" w:type="dxa"/>
            <w:vAlign w:val="bottom"/>
          </w:tcPr>
          <w:p>
            <w:pPr>
              <w:jc w:val="right"/>
              <w:spacing w:after="0"/>
              <w:rPr>
                <w:sz w:val="20"/>
                <w:szCs w:val="20"/>
                <w:color w:val="auto"/>
              </w:rPr>
            </w:pPr>
            <w:r>
              <w:rPr>
                <w:rFonts w:ascii="Arial" w:cs="Arial" w:eastAsia="Arial" w:hAnsi="Arial"/>
                <w:sz w:val="13"/>
                <w:szCs w:val="13"/>
                <w:color w:val="3E3935"/>
              </w:rPr>
              <w:t>49.46</w:t>
            </w:r>
          </w:p>
        </w:tc>
        <w:tc>
          <w:tcPr>
            <w:tcW w:w="880" w:type="dxa"/>
            <w:vAlign w:val="bottom"/>
          </w:tcPr>
          <w:p>
            <w:pPr>
              <w:jc w:val="right"/>
              <w:spacing w:after="0"/>
              <w:rPr>
                <w:sz w:val="20"/>
                <w:szCs w:val="20"/>
                <w:color w:val="auto"/>
              </w:rPr>
            </w:pPr>
            <w:r>
              <w:rPr>
                <w:rFonts w:ascii="Arial" w:cs="Arial" w:eastAsia="Arial" w:hAnsi="Arial"/>
                <w:sz w:val="13"/>
                <w:szCs w:val="13"/>
                <w:color w:val="3E3935"/>
              </w:rPr>
              <w:t>1,507,806</w:t>
            </w:r>
          </w:p>
        </w:tc>
        <w:tc>
          <w:tcPr>
            <w:tcW w:w="0" w:type="dxa"/>
            <w:vAlign w:val="bottom"/>
          </w:tcPr>
          <w:p>
            <w:pPr>
              <w:spacing w:after="0"/>
              <w:rPr>
                <w:sz w:val="1"/>
                <w:szCs w:val="1"/>
                <w:color w:val="auto"/>
              </w:rPr>
            </w:pPr>
          </w:p>
        </w:tc>
      </w:tr>
      <w:tr>
        <w:trPr>
          <w:trHeight w:val="54"/>
        </w:trPr>
        <w:tc>
          <w:tcPr>
            <w:tcW w:w="1620" w:type="dxa"/>
            <w:vAlign w:val="bottom"/>
          </w:tcPr>
          <w:p>
            <w:pPr>
              <w:spacing w:after="0"/>
              <w:rPr>
                <w:sz w:val="4"/>
                <w:szCs w:val="4"/>
                <w:color w:val="auto"/>
              </w:rPr>
            </w:pPr>
          </w:p>
        </w:tc>
        <w:tc>
          <w:tcPr>
            <w:tcW w:w="640" w:type="dxa"/>
            <w:vAlign w:val="bottom"/>
            <w:tcBorders>
              <w:bottom w:val="single" w:sz="8" w:color="3E3935"/>
            </w:tcBorders>
          </w:tcPr>
          <w:p>
            <w:pPr>
              <w:spacing w:after="0"/>
              <w:rPr>
                <w:sz w:val="4"/>
                <w:szCs w:val="4"/>
                <w:color w:val="auto"/>
              </w:rPr>
            </w:pPr>
          </w:p>
        </w:tc>
        <w:tc>
          <w:tcPr>
            <w:tcW w:w="660" w:type="dxa"/>
            <w:vAlign w:val="bottom"/>
            <w:tcBorders>
              <w:bottom w:val="single" w:sz="8" w:color="3E3935"/>
            </w:tcBorders>
          </w:tcPr>
          <w:p>
            <w:pPr>
              <w:spacing w:after="0"/>
              <w:rPr>
                <w:sz w:val="4"/>
                <w:szCs w:val="4"/>
                <w:color w:val="auto"/>
              </w:rPr>
            </w:pPr>
          </w:p>
        </w:tc>
        <w:tc>
          <w:tcPr>
            <w:tcW w:w="700" w:type="dxa"/>
            <w:vAlign w:val="bottom"/>
            <w:tcBorders>
              <w:bottom w:val="single" w:sz="8" w:color="3E3935"/>
            </w:tcBorders>
          </w:tcPr>
          <w:p>
            <w:pPr>
              <w:spacing w:after="0"/>
              <w:rPr>
                <w:sz w:val="4"/>
                <w:szCs w:val="4"/>
                <w:color w:val="auto"/>
              </w:rPr>
            </w:pPr>
          </w:p>
        </w:tc>
        <w:tc>
          <w:tcPr>
            <w:tcW w:w="720" w:type="dxa"/>
            <w:vAlign w:val="bottom"/>
            <w:tcBorders>
              <w:bottom w:val="single" w:sz="8" w:color="3E3935"/>
            </w:tcBorders>
          </w:tcPr>
          <w:p>
            <w:pPr>
              <w:spacing w:after="0"/>
              <w:rPr>
                <w:sz w:val="4"/>
                <w:szCs w:val="4"/>
                <w:color w:val="auto"/>
              </w:rPr>
            </w:pPr>
          </w:p>
        </w:tc>
        <w:tc>
          <w:tcPr>
            <w:tcW w:w="820" w:type="dxa"/>
            <w:vAlign w:val="bottom"/>
            <w:tcBorders>
              <w:bottom w:val="single" w:sz="8" w:color="3E3935"/>
            </w:tcBorders>
          </w:tcPr>
          <w:p>
            <w:pPr>
              <w:spacing w:after="0"/>
              <w:rPr>
                <w:sz w:val="4"/>
                <w:szCs w:val="4"/>
                <w:color w:val="auto"/>
              </w:rPr>
            </w:pPr>
          </w:p>
        </w:tc>
        <w:tc>
          <w:tcPr>
            <w:tcW w:w="680" w:type="dxa"/>
            <w:vAlign w:val="bottom"/>
            <w:tcBorders>
              <w:bottom w:val="single" w:sz="8" w:color="3E3935"/>
            </w:tcBorders>
          </w:tcPr>
          <w:p>
            <w:pPr>
              <w:spacing w:after="0"/>
              <w:rPr>
                <w:sz w:val="4"/>
                <w:szCs w:val="4"/>
                <w:color w:val="auto"/>
              </w:rPr>
            </w:pPr>
          </w:p>
        </w:tc>
        <w:tc>
          <w:tcPr>
            <w:tcW w:w="780" w:type="dxa"/>
            <w:vAlign w:val="bottom"/>
            <w:tcBorders>
              <w:bottom w:val="single" w:sz="8" w:color="3E3935"/>
            </w:tcBorders>
          </w:tcPr>
          <w:p>
            <w:pPr>
              <w:spacing w:after="0"/>
              <w:rPr>
                <w:sz w:val="4"/>
                <w:szCs w:val="4"/>
                <w:color w:val="auto"/>
              </w:rPr>
            </w:pPr>
          </w:p>
        </w:tc>
        <w:tc>
          <w:tcPr>
            <w:tcW w:w="660" w:type="dxa"/>
            <w:vAlign w:val="bottom"/>
            <w:tcBorders>
              <w:bottom w:val="single" w:sz="8" w:color="3E3935"/>
            </w:tcBorders>
          </w:tcPr>
          <w:p>
            <w:pPr>
              <w:spacing w:after="0"/>
              <w:rPr>
                <w:sz w:val="4"/>
                <w:szCs w:val="4"/>
                <w:color w:val="auto"/>
              </w:rPr>
            </w:pPr>
          </w:p>
        </w:tc>
        <w:tc>
          <w:tcPr>
            <w:tcW w:w="640" w:type="dxa"/>
            <w:vAlign w:val="bottom"/>
            <w:tcBorders>
              <w:bottom w:val="single" w:sz="8" w:color="3E3935"/>
            </w:tcBorders>
          </w:tcPr>
          <w:p>
            <w:pPr>
              <w:spacing w:after="0"/>
              <w:rPr>
                <w:sz w:val="4"/>
                <w:szCs w:val="4"/>
                <w:color w:val="auto"/>
              </w:rPr>
            </w:pPr>
          </w:p>
        </w:tc>
        <w:tc>
          <w:tcPr>
            <w:tcW w:w="780" w:type="dxa"/>
            <w:vAlign w:val="bottom"/>
            <w:tcBorders>
              <w:bottom w:val="single" w:sz="8" w:color="3E3935"/>
            </w:tcBorders>
          </w:tcPr>
          <w:p>
            <w:pPr>
              <w:spacing w:after="0"/>
              <w:rPr>
                <w:sz w:val="4"/>
                <w:szCs w:val="4"/>
                <w:color w:val="auto"/>
              </w:rPr>
            </w:pPr>
          </w:p>
        </w:tc>
        <w:tc>
          <w:tcPr>
            <w:tcW w:w="800" w:type="dxa"/>
            <w:vAlign w:val="bottom"/>
            <w:tcBorders>
              <w:bottom w:val="single" w:sz="8" w:color="3E3935"/>
            </w:tcBorders>
          </w:tcPr>
          <w:p>
            <w:pPr>
              <w:spacing w:after="0"/>
              <w:rPr>
                <w:sz w:val="4"/>
                <w:szCs w:val="4"/>
                <w:color w:val="auto"/>
              </w:rPr>
            </w:pPr>
          </w:p>
        </w:tc>
        <w:tc>
          <w:tcPr>
            <w:tcW w:w="640" w:type="dxa"/>
            <w:vAlign w:val="bottom"/>
            <w:tcBorders>
              <w:bottom w:val="single" w:sz="8" w:color="3E3935"/>
            </w:tcBorders>
          </w:tcPr>
          <w:p>
            <w:pPr>
              <w:spacing w:after="0"/>
              <w:rPr>
                <w:sz w:val="4"/>
                <w:szCs w:val="4"/>
                <w:color w:val="auto"/>
              </w:rPr>
            </w:pPr>
          </w:p>
        </w:tc>
        <w:tc>
          <w:tcPr>
            <w:tcW w:w="880" w:type="dxa"/>
            <w:vAlign w:val="bottom"/>
            <w:tcBorders>
              <w:bottom w:val="single" w:sz="8" w:color="3E3935"/>
            </w:tcBorders>
          </w:tcPr>
          <w:p>
            <w:pPr>
              <w:spacing w:after="0"/>
              <w:rPr>
                <w:sz w:val="4"/>
                <w:szCs w:val="4"/>
                <w:color w:val="auto"/>
              </w:rPr>
            </w:pPr>
          </w:p>
        </w:tc>
        <w:tc>
          <w:tcPr>
            <w:tcW w:w="0" w:type="dxa"/>
            <w:vAlign w:val="bottom"/>
          </w:tcPr>
          <w:p>
            <w:pPr>
              <w:spacing w:after="0"/>
              <w:rPr>
                <w:sz w:val="1"/>
                <w:szCs w:val="1"/>
                <w:color w:val="auto"/>
              </w:rPr>
            </w:pPr>
          </w:p>
        </w:tc>
      </w:tr>
      <w:tr>
        <w:trPr>
          <w:trHeight w:val="195"/>
        </w:trPr>
        <w:tc>
          <w:tcPr>
            <w:tcW w:w="1620" w:type="dxa"/>
            <w:vAlign w:val="bottom"/>
          </w:tcPr>
          <w:p>
            <w:pPr>
              <w:spacing w:after="0"/>
              <w:rPr>
                <w:sz w:val="17"/>
                <w:szCs w:val="17"/>
                <w:color w:val="auto"/>
              </w:rPr>
            </w:pPr>
          </w:p>
        </w:tc>
        <w:tc>
          <w:tcPr>
            <w:tcW w:w="640" w:type="dxa"/>
            <w:vAlign w:val="bottom"/>
          </w:tcPr>
          <w:p>
            <w:pPr>
              <w:jc w:val="right"/>
              <w:ind w:right="17"/>
              <w:spacing w:after="0"/>
              <w:rPr>
                <w:sz w:val="20"/>
                <w:szCs w:val="20"/>
                <w:color w:val="auto"/>
              </w:rPr>
            </w:pPr>
            <w:r>
              <w:rPr>
                <w:rFonts w:ascii="Arial" w:cs="Arial" w:eastAsia="Arial" w:hAnsi="Arial"/>
                <w:sz w:val="13"/>
                <w:szCs w:val="13"/>
                <w:color w:val="3E3935"/>
              </w:rPr>
              <w:t>PSU</w:t>
            </w:r>
          </w:p>
        </w:tc>
        <w:tc>
          <w:tcPr>
            <w:tcW w:w="660" w:type="dxa"/>
            <w:vAlign w:val="bottom"/>
          </w:tcPr>
          <w:p>
            <w:pPr>
              <w:jc w:val="right"/>
              <w:ind w:right="17"/>
              <w:spacing w:after="0"/>
              <w:rPr>
                <w:sz w:val="20"/>
                <w:szCs w:val="20"/>
                <w:color w:val="auto"/>
              </w:rPr>
            </w:pPr>
            <w:r>
              <w:rPr>
                <w:rFonts w:ascii="Arial" w:cs="Arial" w:eastAsia="Arial" w:hAnsi="Arial"/>
                <w:sz w:val="13"/>
                <w:szCs w:val="13"/>
                <w:color w:val="3E3935"/>
              </w:rPr>
              <w:t>2/8/2022</w:t>
            </w:r>
          </w:p>
        </w:tc>
        <w:tc>
          <w:tcPr>
            <w:tcW w:w="700" w:type="dxa"/>
            <w:vAlign w:val="bottom"/>
          </w:tcPr>
          <w:p>
            <w:pPr>
              <w:jc w:val="right"/>
              <w:spacing w:after="0"/>
              <w:rPr>
                <w:sz w:val="20"/>
                <w:szCs w:val="20"/>
                <w:color w:val="auto"/>
              </w:rPr>
            </w:pPr>
            <w:r>
              <w:rPr>
                <w:rFonts w:ascii="Arial" w:cs="Arial" w:eastAsia="Arial" w:hAnsi="Arial"/>
                <w:sz w:val="13"/>
                <w:szCs w:val="13"/>
                <w:color w:val="3E3935"/>
              </w:rPr>
              <w:t>12/6/2021</w:t>
            </w:r>
          </w:p>
        </w:tc>
        <w:tc>
          <w:tcPr>
            <w:tcW w:w="7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80" w:type="dxa"/>
            <w:vAlign w:val="bottom"/>
          </w:tcPr>
          <w:p>
            <w:pPr>
              <w:jc w:val="right"/>
              <w:ind w:right="37"/>
              <w:spacing w:after="0"/>
              <w:rPr>
                <w:sz w:val="20"/>
                <w:szCs w:val="20"/>
                <w:color w:val="auto"/>
              </w:rPr>
            </w:pPr>
            <w:r>
              <w:rPr>
                <w:rFonts w:ascii="Arial" w:cs="Arial" w:eastAsia="Arial" w:hAnsi="Arial"/>
                <w:sz w:val="13"/>
                <w:szCs w:val="13"/>
                <w:color w:val="3E3935"/>
              </w:rPr>
              <w:t>8,874</w:t>
            </w:r>
          </w:p>
        </w:tc>
        <w:tc>
          <w:tcPr>
            <w:tcW w:w="660" w:type="dxa"/>
            <w:vAlign w:val="bottom"/>
          </w:tcPr>
          <w:p>
            <w:pPr>
              <w:jc w:val="right"/>
              <w:ind w:right="57"/>
              <w:spacing w:after="0"/>
              <w:rPr>
                <w:sz w:val="20"/>
                <w:szCs w:val="20"/>
                <w:color w:val="auto"/>
              </w:rPr>
            </w:pPr>
            <w:r>
              <w:rPr>
                <w:rFonts w:ascii="Arial" w:cs="Arial" w:eastAsia="Arial" w:hAnsi="Arial"/>
                <w:sz w:val="13"/>
                <w:szCs w:val="13"/>
                <w:color w:val="3E3935"/>
              </w:rPr>
              <w:t>88,744</w:t>
            </w:r>
          </w:p>
        </w:tc>
        <w:tc>
          <w:tcPr>
            <w:tcW w:w="640" w:type="dxa"/>
            <w:vAlign w:val="bottom"/>
          </w:tcPr>
          <w:p>
            <w:pPr>
              <w:jc w:val="right"/>
              <w:spacing w:after="0"/>
              <w:rPr>
                <w:sz w:val="20"/>
                <w:szCs w:val="20"/>
                <w:color w:val="auto"/>
              </w:rPr>
            </w:pPr>
            <w:r>
              <w:rPr>
                <w:rFonts w:ascii="Arial" w:cs="Arial" w:eastAsia="Arial" w:hAnsi="Arial"/>
                <w:sz w:val="13"/>
                <w:szCs w:val="13"/>
                <w:color w:val="3E3935"/>
              </w:rPr>
              <w:t>177,488</w:t>
            </w:r>
          </w:p>
        </w:tc>
        <w:tc>
          <w:tcPr>
            <w:tcW w:w="7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3E3935"/>
              </w:rPr>
              <w:t>4,523,400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34925</wp:posOffset>
            </wp:positionV>
            <wp:extent cx="6995160" cy="889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12" w:lineRule="exact"/>
        <w:rPr>
          <w:sz w:val="20"/>
          <w:szCs w:val="20"/>
          <w:color w:val="auto"/>
        </w:rPr>
      </w:pPr>
    </w:p>
    <w:p>
      <w:pPr>
        <w:jc w:val="both"/>
        <w:ind w:left="540" w:right="20" w:hanging="424"/>
        <w:spacing w:after="0" w:line="252" w:lineRule="auto"/>
        <w:tabs>
          <w:tab w:leader="none" w:pos="540" w:val="left"/>
        </w:tabs>
        <w:numPr>
          <w:ilvl w:val="0"/>
          <w:numId w:val="126"/>
        </w:numPr>
        <w:rPr>
          <w:rFonts w:ascii="Arial" w:cs="Arial" w:eastAsia="Arial" w:hAnsi="Arial"/>
          <w:sz w:val="18"/>
          <w:szCs w:val="18"/>
          <w:i w:val="1"/>
          <w:iCs w:val="1"/>
          <w:color w:val="3E3935"/>
        </w:rPr>
      </w:pPr>
      <w:r>
        <w:rPr>
          <w:rFonts w:ascii="Arial" w:cs="Arial" w:eastAsia="Arial" w:hAnsi="Arial"/>
          <w:sz w:val="18"/>
          <w:szCs w:val="18"/>
          <w:i w:val="1"/>
          <w:iCs w:val="1"/>
          <w:color w:val="3E3935"/>
        </w:rPr>
        <w:t>This column shows the aggregate grant date fair value of equity awards granted to the NEOs in 2022. The aggregate grant date fair value is the amount that the Company expects to expense in its financial statements over the vesting schedule. All grant date fair values have been computed in accordance with FASB ASC Topic 718.</w:t>
      </w:r>
    </w:p>
    <w:p>
      <w:pPr>
        <w:spacing w:after="0" w:line="112" w:lineRule="exact"/>
        <w:rPr>
          <w:sz w:val="20"/>
          <w:szCs w:val="20"/>
          <w:color w:val="auto"/>
        </w:rPr>
      </w:pPr>
    </w:p>
    <w:p>
      <w:pPr>
        <w:ind w:left="120"/>
        <w:spacing w:after="0"/>
        <w:rPr>
          <w:sz w:val="20"/>
          <w:szCs w:val="20"/>
          <w:color w:val="auto"/>
        </w:rPr>
      </w:pPr>
      <w:r>
        <w:rPr>
          <w:rFonts w:ascii="Arial" w:cs="Arial" w:eastAsia="Arial" w:hAnsi="Arial"/>
          <w:sz w:val="14"/>
          <w:szCs w:val="14"/>
          <w:color w:val="0071CE"/>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wp:posOffset>
            </wp:positionH>
            <wp:positionV relativeFrom="paragraph">
              <wp:posOffset>-95885</wp:posOffset>
            </wp:positionV>
            <wp:extent cx="5983605" cy="10287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5983605" cy="102870"/>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31"/>
          <w:szCs w:val="31"/>
          <w:color w:val="3E3935"/>
        </w:rPr>
        <w:t>Outstanding Equity Awards at Fiscal Year-End</w:t>
      </w:r>
    </w:p>
    <w:p>
      <w:pPr>
        <w:spacing w:after="0" w:line="263"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2000" w:type="dxa"/>
            <w:vAlign w:val="bottom"/>
            <w:tcBorders>
              <w:top w:val="single" w:sz="8" w:color="00C1DE"/>
            </w:tcBorders>
          </w:tcPr>
          <w:p>
            <w:pPr>
              <w:spacing w:after="0"/>
              <w:rPr>
                <w:sz w:val="14"/>
                <w:szCs w:val="14"/>
                <w:color w:val="auto"/>
              </w:rPr>
            </w:pPr>
          </w:p>
        </w:tc>
        <w:tc>
          <w:tcPr>
            <w:tcW w:w="180" w:type="dxa"/>
            <w:vAlign w:val="bottom"/>
            <w:tcBorders>
              <w:top w:val="single" w:sz="8" w:color="00C1DE"/>
            </w:tcBorders>
          </w:tcPr>
          <w:p>
            <w:pPr>
              <w:spacing w:after="0"/>
              <w:rPr>
                <w:sz w:val="14"/>
                <w:szCs w:val="14"/>
                <w:color w:val="auto"/>
              </w:rPr>
            </w:pPr>
          </w:p>
        </w:tc>
        <w:tc>
          <w:tcPr>
            <w:tcW w:w="720" w:type="dxa"/>
            <w:vAlign w:val="bottom"/>
            <w:tcBorders>
              <w:top w:val="single" w:sz="8" w:color="00C1DE"/>
              <w:bottom w:val="single" w:sz="8" w:color="00C1DE"/>
            </w:tcBorders>
          </w:tcPr>
          <w:p>
            <w:pPr>
              <w:spacing w:after="0"/>
              <w:rPr>
                <w:sz w:val="14"/>
                <w:szCs w:val="14"/>
                <w:color w:val="auto"/>
              </w:rPr>
            </w:pPr>
          </w:p>
        </w:tc>
        <w:tc>
          <w:tcPr>
            <w:tcW w:w="940" w:type="dxa"/>
            <w:vAlign w:val="bottom"/>
            <w:tcBorders>
              <w:top w:val="single" w:sz="8" w:color="00C1DE"/>
              <w:bottom w:val="single" w:sz="8" w:color="00C1DE"/>
            </w:tcBorders>
          </w:tcPr>
          <w:p>
            <w:pPr>
              <w:spacing w:after="0"/>
              <w:rPr>
                <w:sz w:val="14"/>
                <w:szCs w:val="14"/>
                <w:color w:val="auto"/>
              </w:rPr>
            </w:pPr>
          </w:p>
        </w:tc>
        <w:tc>
          <w:tcPr>
            <w:tcW w:w="1240" w:type="dxa"/>
            <w:vAlign w:val="bottom"/>
            <w:tcBorders>
              <w:top w:val="single" w:sz="8" w:color="00C1DE"/>
              <w:bottom w:val="single" w:sz="8" w:color="00C1DE"/>
            </w:tcBorders>
          </w:tcPr>
          <w:p>
            <w:pPr>
              <w:jc w:val="right"/>
              <w:ind w:right="197"/>
              <w:spacing w:after="0"/>
              <w:rPr>
                <w:sz w:val="20"/>
                <w:szCs w:val="20"/>
                <w:color w:val="auto"/>
              </w:rPr>
            </w:pPr>
            <w:r>
              <w:rPr>
                <w:rFonts w:ascii="Arial" w:cs="Arial" w:eastAsia="Arial" w:hAnsi="Arial"/>
                <w:sz w:val="13"/>
                <w:szCs w:val="13"/>
                <w:b w:val="1"/>
                <w:bCs w:val="1"/>
                <w:color w:val="00C1DE"/>
              </w:rPr>
              <w:t>Option Awards</w:t>
            </w:r>
          </w:p>
        </w:tc>
        <w:tc>
          <w:tcPr>
            <w:tcW w:w="740" w:type="dxa"/>
            <w:vAlign w:val="bottom"/>
            <w:tcBorders>
              <w:top w:val="single" w:sz="8" w:color="00C1DE"/>
              <w:bottom w:val="single" w:sz="8" w:color="00C1DE"/>
            </w:tcBorders>
          </w:tcPr>
          <w:p>
            <w:pPr>
              <w:spacing w:after="0"/>
              <w:rPr>
                <w:sz w:val="14"/>
                <w:szCs w:val="14"/>
                <w:color w:val="auto"/>
              </w:rPr>
            </w:pPr>
          </w:p>
        </w:tc>
        <w:tc>
          <w:tcPr>
            <w:tcW w:w="780" w:type="dxa"/>
            <w:vAlign w:val="bottom"/>
            <w:tcBorders>
              <w:top w:val="single" w:sz="8" w:color="00C1DE"/>
              <w:bottom w:val="single" w:sz="8" w:color="00C1DE"/>
            </w:tcBorders>
          </w:tcPr>
          <w:p>
            <w:pPr>
              <w:spacing w:after="0"/>
              <w:rPr>
                <w:sz w:val="14"/>
                <w:szCs w:val="14"/>
                <w:color w:val="auto"/>
              </w:rPr>
            </w:pPr>
          </w:p>
        </w:tc>
        <w:tc>
          <w:tcPr>
            <w:tcW w:w="180" w:type="dxa"/>
            <w:vAlign w:val="bottom"/>
            <w:tcBorders>
              <w:top w:val="single" w:sz="8" w:color="00C1DE"/>
            </w:tcBorders>
          </w:tcPr>
          <w:p>
            <w:pPr>
              <w:spacing w:after="0"/>
              <w:rPr>
                <w:sz w:val="14"/>
                <w:szCs w:val="14"/>
                <w:color w:val="auto"/>
              </w:rPr>
            </w:pPr>
          </w:p>
        </w:tc>
        <w:tc>
          <w:tcPr>
            <w:tcW w:w="1000" w:type="dxa"/>
            <w:vAlign w:val="bottom"/>
            <w:tcBorders>
              <w:top w:val="single" w:sz="8" w:color="00C1DE"/>
              <w:bottom w:val="single" w:sz="8" w:color="00C1DE"/>
            </w:tcBorders>
          </w:tcPr>
          <w:p>
            <w:pPr>
              <w:spacing w:after="0"/>
              <w:rPr>
                <w:sz w:val="14"/>
                <w:szCs w:val="14"/>
                <w:color w:val="auto"/>
              </w:rPr>
            </w:pPr>
          </w:p>
        </w:tc>
        <w:tc>
          <w:tcPr>
            <w:tcW w:w="2160" w:type="dxa"/>
            <w:vAlign w:val="bottom"/>
            <w:tcBorders>
              <w:top w:val="single" w:sz="8" w:color="00C1DE"/>
              <w:bottom w:val="single" w:sz="8" w:color="00C1DE"/>
            </w:tcBorders>
            <w:gridSpan w:val="2"/>
          </w:tcPr>
          <w:p>
            <w:pPr>
              <w:jc w:val="right"/>
              <w:ind w:right="579"/>
              <w:spacing w:after="0" w:line="162" w:lineRule="exact"/>
              <w:rPr>
                <w:sz w:val="20"/>
                <w:szCs w:val="20"/>
                <w:color w:val="auto"/>
              </w:rPr>
            </w:pPr>
            <w:r>
              <w:rPr>
                <w:rFonts w:ascii="Arial" w:cs="Arial" w:eastAsia="Arial" w:hAnsi="Arial"/>
                <w:sz w:val="13"/>
                <w:szCs w:val="13"/>
                <w:b w:val="1"/>
                <w:bCs w:val="1"/>
                <w:color w:val="00C1DE"/>
              </w:rPr>
              <w:t>Stock Awards</w:t>
            </w:r>
            <w:r>
              <w:rPr>
                <w:rFonts w:ascii="Arial" w:cs="Arial" w:eastAsia="Arial" w:hAnsi="Arial"/>
                <w:sz w:val="18"/>
                <w:szCs w:val="18"/>
                <w:b w:val="1"/>
                <w:bCs w:val="1"/>
                <w:color w:val="00C1DE"/>
                <w:vertAlign w:val="superscript"/>
              </w:rPr>
              <w:t>(1)</w:t>
            </w:r>
          </w:p>
        </w:tc>
        <w:tc>
          <w:tcPr>
            <w:tcW w:w="1080" w:type="dxa"/>
            <w:vAlign w:val="bottom"/>
            <w:tcBorders>
              <w:top w:val="single" w:sz="8" w:color="00C1DE"/>
              <w:bottom w:val="single" w:sz="8" w:color="00C1DE"/>
            </w:tcBorders>
          </w:tcPr>
          <w:p>
            <w:pPr>
              <w:spacing w:after="0"/>
              <w:rPr>
                <w:sz w:val="14"/>
                <w:szCs w:val="14"/>
                <w:color w:val="auto"/>
              </w:rPr>
            </w:pPr>
          </w:p>
        </w:tc>
        <w:tc>
          <w:tcPr>
            <w:tcW w:w="0" w:type="dxa"/>
            <w:vAlign w:val="bottom"/>
          </w:tcPr>
          <w:p>
            <w:pPr>
              <w:spacing w:after="0"/>
              <w:rPr>
                <w:sz w:val="1"/>
                <w:szCs w:val="1"/>
                <w:color w:val="auto"/>
              </w:rPr>
            </w:pPr>
          </w:p>
        </w:tc>
      </w:tr>
      <w:tr>
        <w:trPr>
          <w:trHeight w:val="111"/>
        </w:trPr>
        <w:tc>
          <w:tcPr>
            <w:tcW w:w="2000" w:type="dxa"/>
            <w:vAlign w:val="bottom"/>
          </w:tcPr>
          <w:p>
            <w:pPr>
              <w:spacing w:after="0"/>
              <w:rPr>
                <w:sz w:val="9"/>
                <w:szCs w:val="9"/>
                <w:color w:val="auto"/>
              </w:rPr>
            </w:pPr>
          </w:p>
        </w:tc>
        <w:tc>
          <w:tcPr>
            <w:tcW w:w="180" w:type="dxa"/>
            <w:vAlign w:val="bottom"/>
          </w:tcPr>
          <w:p>
            <w:pPr>
              <w:spacing w:after="0"/>
              <w:rPr>
                <w:sz w:val="9"/>
                <w:szCs w:val="9"/>
                <w:color w:val="auto"/>
              </w:rPr>
            </w:pPr>
          </w:p>
        </w:tc>
        <w:tc>
          <w:tcPr>
            <w:tcW w:w="720" w:type="dxa"/>
            <w:vAlign w:val="bottom"/>
          </w:tcPr>
          <w:p>
            <w:pPr>
              <w:spacing w:after="0"/>
              <w:rPr>
                <w:sz w:val="9"/>
                <w:szCs w:val="9"/>
                <w:color w:val="auto"/>
              </w:rPr>
            </w:pPr>
          </w:p>
        </w:tc>
        <w:tc>
          <w:tcPr>
            <w:tcW w:w="940" w:type="dxa"/>
            <w:vAlign w:val="bottom"/>
          </w:tcPr>
          <w:p>
            <w:pPr>
              <w:spacing w:after="0"/>
              <w:rPr>
                <w:sz w:val="9"/>
                <w:szCs w:val="9"/>
                <w:color w:val="auto"/>
              </w:rPr>
            </w:pPr>
          </w:p>
        </w:tc>
        <w:tc>
          <w:tcPr>
            <w:tcW w:w="1240" w:type="dxa"/>
            <w:vAlign w:val="bottom"/>
          </w:tcPr>
          <w:p>
            <w:pPr>
              <w:spacing w:after="0"/>
              <w:rPr>
                <w:sz w:val="9"/>
                <w:szCs w:val="9"/>
                <w:color w:val="auto"/>
              </w:rPr>
            </w:pPr>
          </w:p>
        </w:tc>
        <w:tc>
          <w:tcPr>
            <w:tcW w:w="740" w:type="dxa"/>
            <w:vAlign w:val="bottom"/>
          </w:tcPr>
          <w:p>
            <w:pPr>
              <w:spacing w:after="0"/>
              <w:rPr>
                <w:sz w:val="9"/>
                <w:szCs w:val="9"/>
                <w:color w:val="auto"/>
              </w:rPr>
            </w:pPr>
          </w:p>
        </w:tc>
        <w:tc>
          <w:tcPr>
            <w:tcW w:w="7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900" w:type="dxa"/>
            <w:vAlign w:val="bottom"/>
          </w:tcPr>
          <w:p>
            <w:pPr>
              <w:spacing w:after="0"/>
              <w:rPr>
                <w:sz w:val="9"/>
                <w:szCs w:val="9"/>
                <w:color w:val="auto"/>
              </w:rPr>
            </w:pPr>
          </w:p>
        </w:tc>
        <w:tc>
          <w:tcPr>
            <w:tcW w:w="1260" w:type="dxa"/>
            <w:vAlign w:val="bottom"/>
            <w:vMerge w:val="restart"/>
          </w:tcPr>
          <w:p>
            <w:pPr>
              <w:jc w:val="right"/>
              <w:ind w:right="239"/>
              <w:spacing w:after="0"/>
              <w:rPr>
                <w:sz w:val="20"/>
                <w:szCs w:val="20"/>
                <w:color w:val="auto"/>
              </w:rPr>
            </w:pPr>
            <w:r>
              <w:rPr>
                <w:rFonts w:ascii="Arial" w:cs="Arial" w:eastAsia="Arial" w:hAnsi="Arial"/>
                <w:sz w:val="13"/>
                <w:szCs w:val="13"/>
                <w:b w:val="1"/>
                <w:bCs w:val="1"/>
                <w:color w:val="00C1DE"/>
              </w:rPr>
              <w:t>Equity</w:t>
            </w:r>
          </w:p>
        </w:tc>
        <w:tc>
          <w:tcPr>
            <w:tcW w:w="1080" w:type="dxa"/>
            <w:vAlign w:val="bottom"/>
          </w:tcPr>
          <w:p>
            <w:pPr>
              <w:jc w:val="right"/>
              <w:ind w:right="97"/>
              <w:spacing w:after="0" w:line="111" w:lineRule="exact"/>
              <w:rPr>
                <w:sz w:val="20"/>
                <w:szCs w:val="20"/>
                <w:color w:val="auto"/>
              </w:rPr>
            </w:pPr>
            <w:r>
              <w:rPr>
                <w:rFonts w:ascii="Arial" w:cs="Arial" w:eastAsia="Arial" w:hAnsi="Arial"/>
                <w:sz w:val="12"/>
                <w:szCs w:val="12"/>
                <w:b w:val="1"/>
                <w:bCs w:val="1"/>
                <w:color w:val="00C1DE"/>
              </w:rPr>
              <w:t>Equity</w:t>
            </w:r>
          </w:p>
        </w:tc>
        <w:tc>
          <w:tcPr>
            <w:tcW w:w="0" w:type="dxa"/>
            <w:vAlign w:val="bottom"/>
          </w:tcPr>
          <w:p>
            <w:pPr>
              <w:spacing w:after="0"/>
              <w:rPr>
                <w:sz w:val="1"/>
                <w:szCs w:val="1"/>
                <w:color w:val="auto"/>
              </w:rPr>
            </w:pPr>
          </w:p>
        </w:tc>
      </w:tr>
      <w:tr>
        <w:trPr>
          <w:trHeight w:val="135"/>
        </w:trPr>
        <w:tc>
          <w:tcPr>
            <w:tcW w:w="20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1080" w:type="dxa"/>
            <w:vAlign w:val="bottom"/>
          </w:tcPr>
          <w:p>
            <w:pPr>
              <w:ind w:left="360"/>
              <w:spacing w:after="0" w:line="135" w:lineRule="exact"/>
              <w:rPr>
                <w:sz w:val="20"/>
                <w:szCs w:val="20"/>
                <w:color w:val="auto"/>
              </w:rPr>
            </w:pPr>
            <w:r>
              <w:rPr>
                <w:rFonts w:ascii="Arial" w:cs="Arial" w:eastAsia="Arial" w:hAnsi="Arial"/>
                <w:sz w:val="13"/>
                <w:szCs w:val="13"/>
                <w:b w:val="1"/>
                <w:bCs w:val="1"/>
                <w:color w:val="00C1DE"/>
              </w:rPr>
              <w:t>Incentive</w:t>
            </w:r>
          </w:p>
        </w:tc>
        <w:tc>
          <w:tcPr>
            <w:tcW w:w="0" w:type="dxa"/>
            <w:vAlign w:val="bottom"/>
          </w:tcPr>
          <w:p>
            <w:pPr>
              <w:spacing w:after="0"/>
              <w:rPr>
                <w:sz w:val="1"/>
                <w:szCs w:val="1"/>
                <w:color w:val="auto"/>
              </w:rPr>
            </w:pPr>
          </w:p>
        </w:tc>
      </w:tr>
      <w:tr>
        <w:trPr>
          <w:trHeight w:val="135"/>
        </w:trPr>
        <w:tc>
          <w:tcPr>
            <w:tcW w:w="20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60" w:type="dxa"/>
            <w:vAlign w:val="bottom"/>
          </w:tcPr>
          <w:p>
            <w:pPr>
              <w:jc w:val="right"/>
              <w:ind w:right="239"/>
              <w:spacing w:after="0" w:line="135" w:lineRule="exact"/>
              <w:rPr>
                <w:sz w:val="20"/>
                <w:szCs w:val="20"/>
                <w:color w:val="auto"/>
              </w:rPr>
            </w:pPr>
            <w:r>
              <w:rPr>
                <w:rFonts w:ascii="Arial" w:cs="Arial" w:eastAsia="Arial" w:hAnsi="Arial"/>
                <w:sz w:val="13"/>
                <w:szCs w:val="13"/>
                <w:b w:val="1"/>
                <w:bCs w:val="1"/>
                <w:color w:val="00C1DE"/>
              </w:rPr>
              <w:t>Incentive</w:t>
            </w:r>
          </w:p>
        </w:tc>
        <w:tc>
          <w:tcPr>
            <w:tcW w:w="1080" w:type="dxa"/>
            <w:vAlign w:val="bottom"/>
          </w:tcPr>
          <w:p>
            <w:pPr>
              <w:jc w:val="right"/>
              <w:ind w:right="97"/>
              <w:spacing w:after="0" w:line="135" w:lineRule="exact"/>
              <w:rPr>
                <w:sz w:val="20"/>
                <w:szCs w:val="20"/>
                <w:color w:val="auto"/>
              </w:rPr>
            </w:pPr>
            <w:r>
              <w:rPr>
                <w:rFonts w:ascii="Arial" w:cs="Arial" w:eastAsia="Arial" w:hAnsi="Arial"/>
                <w:sz w:val="13"/>
                <w:szCs w:val="13"/>
                <w:b w:val="1"/>
                <w:bCs w:val="1"/>
                <w:color w:val="00C1DE"/>
              </w:rPr>
              <w:t>Plan Awards:</w:t>
            </w:r>
          </w:p>
        </w:tc>
        <w:tc>
          <w:tcPr>
            <w:tcW w:w="0" w:type="dxa"/>
            <w:vAlign w:val="bottom"/>
          </w:tcPr>
          <w:p>
            <w:pPr>
              <w:spacing w:after="0"/>
              <w:rPr>
                <w:sz w:val="1"/>
                <w:szCs w:val="1"/>
                <w:color w:val="auto"/>
              </w:rPr>
            </w:pPr>
          </w:p>
        </w:tc>
      </w:tr>
      <w:tr>
        <w:trPr>
          <w:trHeight w:val="135"/>
        </w:trPr>
        <w:tc>
          <w:tcPr>
            <w:tcW w:w="20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vMerge w:val="restart"/>
          </w:tcPr>
          <w:p>
            <w:pPr>
              <w:jc w:val="right"/>
              <w:ind w:right="17"/>
              <w:spacing w:after="0"/>
              <w:rPr>
                <w:sz w:val="20"/>
                <w:szCs w:val="20"/>
                <w:color w:val="auto"/>
              </w:rPr>
            </w:pPr>
            <w:r>
              <w:rPr>
                <w:rFonts w:ascii="Arial" w:cs="Arial" w:eastAsia="Arial" w:hAnsi="Arial"/>
                <w:sz w:val="13"/>
                <w:szCs w:val="13"/>
                <w:b w:val="1"/>
                <w:bCs w:val="1"/>
                <w:color w:val="00C1DE"/>
              </w:rPr>
              <w:t>Number of</w:t>
            </w:r>
          </w:p>
        </w:tc>
        <w:tc>
          <w:tcPr>
            <w:tcW w:w="1240" w:type="dxa"/>
            <w:vAlign w:val="bottom"/>
            <w:vMerge w:val="restart"/>
          </w:tcPr>
          <w:p>
            <w:pPr>
              <w:jc w:val="right"/>
              <w:ind w:right="177"/>
              <w:spacing w:after="0"/>
              <w:rPr>
                <w:sz w:val="20"/>
                <w:szCs w:val="20"/>
                <w:color w:val="auto"/>
              </w:rPr>
            </w:pPr>
            <w:r>
              <w:rPr>
                <w:rFonts w:ascii="Arial" w:cs="Arial" w:eastAsia="Arial" w:hAnsi="Arial"/>
                <w:sz w:val="13"/>
                <w:szCs w:val="13"/>
                <w:b w:val="1"/>
                <w:bCs w:val="1"/>
                <w:color w:val="00C1DE"/>
              </w:rPr>
              <w:t>Number of</w:t>
            </w: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900" w:type="dxa"/>
            <w:vAlign w:val="bottom"/>
            <w:vMerge w:val="restart"/>
          </w:tcPr>
          <w:p>
            <w:pPr>
              <w:jc w:val="right"/>
              <w:ind w:right="57"/>
              <w:spacing w:after="0"/>
              <w:rPr>
                <w:sz w:val="20"/>
                <w:szCs w:val="20"/>
                <w:color w:val="auto"/>
              </w:rPr>
            </w:pPr>
            <w:r>
              <w:rPr>
                <w:rFonts w:ascii="Arial" w:cs="Arial" w:eastAsia="Arial" w:hAnsi="Arial"/>
                <w:sz w:val="13"/>
                <w:szCs w:val="13"/>
                <w:b w:val="1"/>
                <w:bCs w:val="1"/>
                <w:color w:val="00C1DE"/>
              </w:rPr>
              <w:t>Market</w:t>
            </w:r>
          </w:p>
        </w:tc>
        <w:tc>
          <w:tcPr>
            <w:tcW w:w="1260" w:type="dxa"/>
            <w:vAlign w:val="bottom"/>
          </w:tcPr>
          <w:p>
            <w:pPr>
              <w:jc w:val="right"/>
              <w:ind w:right="239"/>
              <w:spacing w:after="0" w:line="135" w:lineRule="exact"/>
              <w:rPr>
                <w:sz w:val="20"/>
                <w:szCs w:val="20"/>
                <w:color w:val="auto"/>
              </w:rPr>
            </w:pPr>
            <w:r>
              <w:rPr>
                <w:rFonts w:ascii="Arial" w:cs="Arial" w:eastAsia="Arial" w:hAnsi="Arial"/>
                <w:sz w:val="13"/>
                <w:szCs w:val="13"/>
                <w:b w:val="1"/>
                <w:bCs w:val="1"/>
                <w:color w:val="00C1DE"/>
              </w:rPr>
              <w:t>Plan Awards:</w:t>
            </w:r>
          </w:p>
        </w:tc>
        <w:tc>
          <w:tcPr>
            <w:tcW w:w="1080" w:type="dxa"/>
            <w:vAlign w:val="bottom"/>
          </w:tcPr>
          <w:p>
            <w:pPr>
              <w:jc w:val="right"/>
              <w:ind w:right="97"/>
              <w:spacing w:after="0" w:line="135" w:lineRule="exact"/>
              <w:rPr>
                <w:sz w:val="20"/>
                <w:szCs w:val="20"/>
                <w:color w:val="auto"/>
              </w:rPr>
            </w:pPr>
            <w:r>
              <w:rPr>
                <w:rFonts w:ascii="Arial" w:cs="Arial" w:eastAsia="Arial" w:hAnsi="Arial"/>
                <w:sz w:val="13"/>
                <w:szCs w:val="13"/>
                <w:b w:val="1"/>
                <w:bCs w:val="1"/>
                <w:color w:val="00C1DE"/>
              </w:rPr>
              <w:t>Market or</w:t>
            </w:r>
          </w:p>
        </w:tc>
        <w:tc>
          <w:tcPr>
            <w:tcW w:w="0" w:type="dxa"/>
            <w:vAlign w:val="bottom"/>
          </w:tcPr>
          <w:p>
            <w:pPr>
              <w:spacing w:after="0"/>
              <w:rPr>
                <w:sz w:val="1"/>
                <w:szCs w:val="1"/>
                <w:color w:val="auto"/>
              </w:rPr>
            </w:pPr>
          </w:p>
        </w:tc>
      </w:tr>
      <w:tr>
        <w:trPr>
          <w:trHeight w:val="135"/>
        </w:trPr>
        <w:tc>
          <w:tcPr>
            <w:tcW w:w="20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vMerge w:val="continue"/>
          </w:tcPr>
          <w:p>
            <w:pPr>
              <w:spacing w:after="0"/>
              <w:rPr>
                <w:sz w:val="11"/>
                <w:szCs w:val="11"/>
                <w:color w:val="auto"/>
              </w:rPr>
            </w:pPr>
          </w:p>
        </w:tc>
        <w:tc>
          <w:tcPr>
            <w:tcW w:w="1240" w:type="dxa"/>
            <w:vAlign w:val="bottom"/>
            <w:vMerge w:val="continue"/>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vMerge w:val="restart"/>
          </w:tcPr>
          <w:p>
            <w:pPr>
              <w:jc w:val="right"/>
              <w:ind w:right="277"/>
              <w:spacing w:after="0"/>
              <w:rPr>
                <w:sz w:val="20"/>
                <w:szCs w:val="20"/>
                <w:color w:val="auto"/>
              </w:rPr>
            </w:pPr>
            <w:r>
              <w:rPr>
                <w:rFonts w:ascii="Arial" w:cs="Arial" w:eastAsia="Arial" w:hAnsi="Arial"/>
                <w:sz w:val="13"/>
                <w:szCs w:val="13"/>
                <w:b w:val="1"/>
                <w:bCs w:val="1"/>
                <w:color w:val="00C1DE"/>
              </w:rPr>
              <w:t>Number</w:t>
            </w:r>
          </w:p>
        </w:tc>
        <w:tc>
          <w:tcPr>
            <w:tcW w:w="900" w:type="dxa"/>
            <w:vAlign w:val="bottom"/>
            <w:vMerge w:val="continue"/>
          </w:tcPr>
          <w:p>
            <w:pPr>
              <w:spacing w:after="0"/>
              <w:rPr>
                <w:sz w:val="11"/>
                <w:szCs w:val="11"/>
                <w:color w:val="auto"/>
              </w:rPr>
            </w:pPr>
          </w:p>
        </w:tc>
        <w:tc>
          <w:tcPr>
            <w:tcW w:w="1260" w:type="dxa"/>
            <w:vAlign w:val="bottom"/>
          </w:tcPr>
          <w:p>
            <w:pPr>
              <w:jc w:val="right"/>
              <w:ind w:right="239"/>
              <w:spacing w:after="0" w:line="135" w:lineRule="exact"/>
              <w:rPr>
                <w:sz w:val="20"/>
                <w:szCs w:val="20"/>
                <w:color w:val="auto"/>
              </w:rPr>
            </w:pPr>
            <w:r>
              <w:rPr>
                <w:rFonts w:ascii="Arial" w:cs="Arial" w:eastAsia="Arial" w:hAnsi="Arial"/>
                <w:sz w:val="13"/>
                <w:szCs w:val="13"/>
                <w:b w:val="1"/>
                <w:bCs w:val="1"/>
                <w:color w:val="00C1DE"/>
              </w:rPr>
              <w:t>Number of</w:t>
            </w:r>
          </w:p>
        </w:tc>
        <w:tc>
          <w:tcPr>
            <w:tcW w:w="1080" w:type="dxa"/>
            <w:vAlign w:val="bottom"/>
          </w:tcPr>
          <w:p>
            <w:pPr>
              <w:jc w:val="right"/>
              <w:ind w:right="97"/>
              <w:spacing w:after="0" w:line="135" w:lineRule="exact"/>
              <w:rPr>
                <w:sz w:val="20"/>
                <w:szCs w:val="20"/>
                <w:color w:val="auto"/>
              </w:rPr>
            </w:pPr>
            <w:r>
              <w:rPr>
                <w:rFonts w:ascii="Arial" w:cs="Arial" w:eastAsia="Arial" w:hAnsi="Arial"/>
                <w:sz w:val="13"/>
                <w:szCs w:val="13"/>
                <w:b w:val="1"/>
                <w:bCs w:val="1"/>
                <w:color w:val="00C1DE"/>
              </w:rPr>
              <w:t>Payout Value</w:t>
            </w:r>
          </w:p>
        </w:tc>
        <w:tc>
          <w:tcPr>
            <w:tcW w:w="0" w:type="dxa"/>
            <w:vAlign w:val="bottom"/>
          </w:tcPr>
          <w:p>
            <w:pPr>
              <w:spacing w:after="0"/>
              <w:rPr>
                <w:sz w:val="1"/>
                <w:szCs w:val="1"/>
                <w:color w:val="auto"/>
              </w:rPr>
            </w:pPr>
          </w:p>
        </w:tc>
      </w:tr>
      <w:tr>
        <w:trPr>
          <w:trHeight w:val="135"/>
        </w:trPr>
        <w:tc>
          <w:tcPr>
            <w:tcW w:w="20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jc w:val="right"/>
              <w:ind w:right="17"/>
              <w:spacing w:after="0" w:line="135" w:lineRule="exact"/>
              <w:rPr>
                <w:sz w:val="20"/>
                <w:szCs w:val="20"/>
                <w:color w:val="auto"/>
              </w:rPr>
            </w:pPr>
            <w:r>
              <w:rPr>
                <w:rFonts w:ascii="Arial" w:cs="Arial" w:eastAsia="Arial" w:hAnsi="Arial"/>
                <w:sz w:val="13"/>
                <w:szCs w:val="13"/>
                <w:b w:val="1"/>
                <w:bCs w:val="1"/>
                <w:color w:val="00C1DE"/>
              </w:rPr>
              <w:t>Securities</w:t>
            </w:r>
          </w:p>
        </w:tc>
        <w:tc>
          <w:tcPr>
            <w:tcW w:w="1240" w:type="dxa"/>
            <w:vAlign w:val="bottom"/>
          </w:tcPr>
          <w:p>
            <w:pPr>
              <w:jc w:val="right"/>
              <w:ind w:right="177"/>
              <w:spacing w:after="0" w:line="135" w:lineRule="exact"/>
              <w:rPr>
                <w:sz w:val="20"/>
                <w:szCs w:val="20"/>
                <w:color w:val="auto"/>
              </w:rPr>
            </w:pPr>
            <w:r>
              <w:rPr>
                <w:rFonts w:ascii="Arial" w:cs="Arial" w:eastAsia="Arial" w:hAnsi="Arial"/>
                <w:sz w:val="13"/>
                <w:szCs w:val="13"/>
                <w:b w:val="1"/>
                <w:bCs w:val="1"/>
                <w:color w:val="00C1DE"/>
              </w:rPr>
              <w:t>Securities</w:t>
            </w: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vMerge w:val="continue"/>
          </w:tcPr>
          <w:p>
            <w:pPr>
              <w:spacing w:after="0"/>
              <w:rPr>
                <w:sz w:val="11"/>
                <w:szCs w:val="11"/>
                <w:color w:val="auto"/>
              </w:rPr>
            </w:pPr>
          </w:p>
        </w:tc>
        <w:tc>
          <w:tcPr>
            <w:tcW w:w="900" w:type="dxa"/>
            <w:vAlign w:val="bottom"/>
          </w:tcPr>
          <w:p>
            <w:pPr>
              <w:jc w:val="right"/>
              <w:ind w:right="57"/>
              <w:spacing w:after="0" w:line="135" w:lineRule="exact"/>
              <w:rPr>
                <w:sz w:val="20"/>
                <w:szCs w:val="20"/>
                <w:color w:val="auto"/>
              </w:rPr>
            </w:pPr>
            <w:r>
              <w:rPr>
                <w:rFonts w:ascii="Arial" w:cs="Arial" w:eastAsia="Arial" w:hAnsi="Arial"/>
                <w:sz w:val="13"/>
                <w:szCs w:val="13"/>
                <w:b w:val="1"/>
                <w:bCs w:val="1"/>
                <w:color w:val="00C1DE"/>
              </w:rPr>
              <w:t>Value of</w:t>
            </w:r>
          </w:p>
        </w:tc>
        <w:tc>
          <w:tcPr>
            <w:tcW w:w="1260" w:type="dxa"/>
            <w:vAlign w:val="bottom"/>
          </w:tcPr>
          <w:p>
            <w:pPr>
              <w:jc w:val="right"/>
              <w:ind w:right="239"/>
              <w:spacing w:after="0" w:line="135" w:lineRule="exact"/>
              <w:rPr>
                <w:sz w:val="20"/>
                <w:szCs w:val="20"/>
                <w:color w:val="auto"/>
              </w:rPr>
            </w:pPr>
            <w:r>
              <w:rPr>
                <w:rFonts w:ascii="Arial" w:cs="Arial" w:eastAsia="Arial" w:hAnsi="Arial"/>
                <w:sz w:val="13"/>
                <w:szCs w:val="13"/>
                <w:b w:val="1"/>
                <w:bCs w:val="1"/>
                <w:color w:val="00C1DE"/>
              </w:rPr>
              <w:t>Unearned</w:t>
            </w:r>
          </w:p>
        </w:tc>
        <w:tc>
          <w:tcPr>
            <w:tcW w:w="1080" w:type="dxa"/>
            <w:vAlign w:val="bottom"/>
          </w:tcPr>
          <w:p>
            <w:pPr>
              <w:jc w:val="right"/>
              <w:ind w:right="97"/>
              <w:spacing w:after="0" w:line="135" w:lineRule="exact"/>
              <w:rPr>
                <w:sz w:val="20"/>
                <w:szCs w:val="20"/>
                <w:color w:val="auto"/>
              </w:rPr>
            </w:pPr>
            <w:r>
              <w:rPr>
                <w:rFonts w:ascii="Arial" w:cs="Arial" w:eastAsia="Arial" w:hAnsi="Arial"/>
                <w:sz w:val="13"/>
                <w:szCs w:val="13"/>
                <w:b w:val="1"/>
                <w:bCs w:val="1"/>
                <w:color w:val="00C1DE"/>
              </w:rPr>
              <w:t>of Unearned</w:t>
            </w:r>
          </w:p>
        </w:tc>
        <w:tc>
          <w:tcPr>
            <w:tcW w:w="0" w:type="dxa"/>
            <w:vAlign w:val="bottom"/>
          </w:tcPr>
          <w:p>
            <w:pPr>
              <w:spacing w:after="0"/>
              <w:rPr>
                <w:sz w:val="1"/>
                <w:szCs w:val="1"/>
                <w:color w:val="auto"/>
              </w:rPr>
            </w:pPr>
          </w:p>
        </w:tc>
      </w:tr>
      <w:tr>
        <w:trPr>
          <w:trHeight w:val="135"/>
        </w:trPr>
        <w:tc>
          <w:tcPr>
            <w:tcW w:w="20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jc w:val="right"/>
              <w:ind w:right="17"/>
              <w:spacing w:after="0" w:line="135" w:lineRule="exact"/>
              <w:rPr>
                <w:sz w:val="20"/>
                <w:szCs w:val="20"/>
                <w:color w:val="auto"/>
              </w:rPr>
            </w:pPr>
            <w:r>
              <w:rPr>
                <w:rFonts w:ascii="Arial" w:cs="Arial" w:eastAsia="Arial" w:hAnsi="Arial"/>
                <w:sz w:val="13"/>
                <w:szCs w:val="13"/>
                <w:b w:val="1"/>
                <w:bCs w:val="1"/>
                <w:color w:val="00C1DE"/>
              </w:rPr>
              <w:t>Underlying</w:t>
            </w:r>
          </w:p>
        </w:tc>
        <w:tc>
          <w:tcPr>
            <w:tcW w:w="1240" w:type="dxa"/>
            <w:vAlign w:val="bottom"/>
          </w:tcPr>
          <w:p>
            <w:pPr>
              <w:jc w:val="right"/>
              <w:ind w:right="177"/>
              <w:spacing w:after="0" w:line="135" w:lineRule="exact"/>
              <w:rPr>
                <w:sz w:val="20"/>
                <w:szCs w:val="20"/>
                <w:color w:val="auto"/>
              </w:rPr>
            </w:pPr>
            <w:r>
              <w:rPr>
                <w:rFonts w:ascii="Arial" w:cs="Arial" w:eastAsia="Arial" w:hAnsi="Arial"/>
                <w:sz w:val="13"/>
                <w:szCs w:val="13"/>
                <w:b w:val="1"/>
                <w:bCs w:val="1"/>
                <w:color w:val="00C1DE"/>
              </w:rPr>
              <w:t>Underlying</w:t>
            </w: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tcPr>
          <w:p>
            <w:pPr>
              <w:jc w:val="right"/>
              <w:ind w:right="277"/>
              <w:spacing w:after="0" w:line="135" w:lineRule="exact"/>
              <w:rPr>
                <w:sz w:val="20"/>
                <w:szCs w:val="20"/>
                <w:color w:val="auto"/>
              </w:rPr>
            </w:pPr>
            <w:r>
              <w:rPr>
                <w:rFonts w:ascii="Arial" w:cs="Arial" w:eastAsia="Arial" w:hAnsi="Arial"/>
                <w:sz w:val="13"/>
                <w:szCs w:val="13"/>
                <w:b w:val="1"/>
                <w:bCs w:val="1"/>
                <w:color w:val="00C1DE"/>
              </w:rPr>
              <w:t>of Shares</w:t>
            </w:r>
          </w:p>
        </w:tc>
        <w:tc>
          <w:tcPr>
            <w:tcW w:w="900" w:type="dxa"/>
            <w:vAlign w:val="bottom"/>
          </w:tcPr>
          <w:p>
            <w:pPr>
              <w:jc w:val="right"/>
              <w:ind w:right="57"/>
              <w:spacing w:after="0" w:line="135" w:lineRule="exact"/>
              <w:rPr>
                <w:sz w:val="20"/>
                <w:szCs w:val="20"/>
                <w:color w:val="auto"/>
              </w:rPr>
            </w:pPr>
            <w:r>
              <w:rPr>
                <w:rFonts w:ascii="Arial" w:cs="Arial" w:eastAsia="Arial" w:hAnsi="Arial"/>
                <w:sz w:val="13"/>
                <w:szCs w:val="13"/>
                <w:b w:val="1"/>
                <w:bCs w:val="1"/>
                <w:color w:val="00C1DE"/>
              </w:rPr>
              <w:t>Shares or</w:t>
            </w:r>
          </w:p>
        </w:tc>
        <w:tc>
          <w:tcPr>
            <w:tcW w:w="1260" w:type="dxa"/>
            <w:vAlign w:val="bottom"/>
          </w:tcPr>
          <w:p>
            <w:pPr>
              <w:jc w:val="right"/>
              <w:ind w:right="239"/>
              <w:spacing w:after="0" w:line="135" w:lineRule="exact"/>
              <w:rPr>
                <w:sz w:val="20"/>
                <w:szCs w:val="20"/>
                <w:color w:val="auto"/>
              </w:rPr>
            </w:pPr>
            <w:r>
              <w:rPr>
                <w:rFonts w:ascii="Arial" w:cs="Arial" w:eastAsia="Arial" w:hAnsi="Arial"/>
                <w:sz w:val="13"/>
                <w:szCs w:val="13"/>
                <w:b w:val="1"/>
                <w:bCs w:val="1"/>
                <w:color w:val="00C1DE"/>
              </w:rPr>
              <w:t>Shares, Units,</w:t>
            </w:r>
          </w:p>
        </w:tc>
        <w:tc>
          <w:tcPr>
            <w:tcW w:w="1080" w:type="dxa"/>
            <w:vAlign w:val="bottom"/>
          </w:tcPr>
          <w:p>
            <w:pPr>
              <w:jc w:val="right"/>
              <w:ind w:right="97"/>
              <w:spacing w:after="0" w:line="135" w:lineRule="exact"/>
              <w:rPr>
                <w:sz w:val="20"/>
                <w:szCs w:val="20"/>
                <w:color w:val="auto"/>
              </w:rPr>
            </w:pPr>
            <w:r>
              <w:rPr>
                <w:rFonts w:ascii="Arial" w:cs="Arial" w:eastAsia="Arial" w:hAnsi="Arial"/>
                <w:sz w:val="13"/>
                <w:szCs w:val="13"/>
                <w:b w:val="1"/>
                <w:bCs w:val="1"/>
                <w:color w:val="00C1DE"/>
              </w:rPr>
              <w:t>Shares, Units,</w:t>
            </w:r>
          </w:p>
        </w:tc>
        <w:tc>
          <w:tcPr>
            <w:tcW w:w="0" w:type="dxa"/>
            <w:vAlign w:val="bottom"/>
          </w:tcPr>
          <w:p>
            <w:pPr>
              <w:spacing w:after="0"/>
              <w:rPr>
                <w:sz w:val="1"/>
                <w:szCs w:val="1"/>
                <w:color w:val="auto"/>
              </w:rPr>
            </w:pPr>
          </w:p>
        </w:tc>
      </w:tr>
      <w:tr>
        <w:trPr>
          <w:trHeight w:val="135"/>
        </w:trPr>
        <w:tc>
          <w:tcPr>
            <w:tcW w:w="20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jc w:val="right"/>
              <w:ind w:right="17"/>
              <w:spacing w:after="0" w:line="135" w:lineRule="exact"/>
              <w:rPr>
                <w:sz w:val="20"/>
                <w:szCs w:val="20"/>
                <w:color w:val="auto"/>
              </w:rPr>
            </w:pPr>
            <w:r>
              <w:rPr>
                <w:rFonts w:ascii="Arial" w:cs="Arial" w:eastAsia="Arial" w:hAnsi="Arial"/>
                <w:sz w:val="13"/>
                <w:szCs w:val="13"/>
                <w:b w:val="1"/>
                <w:bCs w:val="1"/>
                <w:color w:val="00C1DE"/>
              </w:rPr>
              <w:t>Unexercised</w:t>
            </w:r>
          </w:p>
        </w:tc>
        <w:tc>
          <w:tcPr>
            <w:tcW w:w="1240" w:type="dxa"/>
            <w:vAlign w:val="bottom"/>
          </w:tcPr>
          <w:p>
            <w:pPr>
              <w:jc w:val="right"/>
              <w:ind w:right="177"/>
              <w:spacing w:after="0" w:line="135" w:lineRule="exact"/>
              <w:rPr>
                <w:sz w:val="20"/>
                <w:szCs w:val="20"/>
                <w:color w:val="auto"/>
              </w:rPr>
            </w:pPr>
            <w:r>
              <w:rPr>
                <w:rFonts w:ascii="Arial" w:cs="Arial" w:eastAsia="Arial" w:hAnsi="Arial"/>
                <w:sz w:val="13"/>
                <w:szCs w:val="13"/>
                <w:b w:val="1"/>
                <w:bCs w:val="1"/>
                <w:color w:val="00C1DE"/>
              </w:rPr>
              <w:t>Unexercised</w:t>
            </w:r>
          </w:p>
        </w:tc>
        <w:tc>
          <w:tcPr>
            <w:tcW w:w="740" w:type="dxa"/>
            <w:vAlign w:val="bottom"/>
            <w:vMerge w:val="restart"/>
          </w:tcPr>
          <w:p>
            <w:pPr>
              <w:jc w:val="right"/>
              <w:ind w:right="57"/>
              <w:spacing w:after="0"/>
              <w:rPr>
                <w:sz w:val="20"/>
                <w:szCs w:val="20"/>
                <w:color w:val="auto"/>
              </w:rPr>
            </w:pPr>
            <w:r>
              <w:rPr>
                <w:rFonts w:ascii="Arial" w:cs="Arial" w:eastAsia="Arial" w:hAnsi="Arial"/>
                <w:sz w:val="13"/>
                <w:szCs w:val="13"/>
                <w:b w:val="1"/>
                <w:bCs w:val="1"/>
                <w:color w:val="00C1DE"/>
              </w:rPr>
              <w:t>Option</w:t>
            </w:r>
          </w:p>
        </w:tc>
        <w:tc>
          <w:tcPr>
            <w:tcW w:w="960" w:type="dxa"/>
            <w:vAlign w:val="bottom"/>
            <w:gridSpan w:val="2"/>
            <w:vMerge w:val="restart"/>
          </w:tcPr>
          <w:p>
            <w:pPr>
              <w:jc w:val="right"/>
              <w:ind w:right="220"/>
              <w:spacing w:after="0"/>
              <w:rPr>
                <w:sz w:val="20"/>
                <w:szCs w:val="20"/>
                <w:color w:val="auto"/>
              </w:rPr>
            </w:pPr>
            <w:r>
              <w:rPr>
                <w:rFonts w:ascii="Arial" w:cs="Arial" w:eastAsia="Arial" w:hAnsi="Arial"/>
                <w:sz w:val="13"/>
                <w:szCs w:val="13"/>
                <w:b w:val="1"/>
                <w:bCs w:val="1"/>
                <w:color w:val="00C1DE"/>
              </w:rPr>
              <w:t>Option</w:t>
            </w:r>
          </w:p>
        </w:tc>
        <w:tc>
          <w:tcPr>
            <w:tcW w:w="1000" w:type="dxa"/>
            <w:vAlign w:val="bottom"/>
          </w:tcPr>
          <w:p>
            <w:pPr>
              <w:jc w:val="right"/>
              <w:ind w:right="277"/>
              <w:spacing w:after="0" w:line="135" w:lineRule="exact"/>
              <w:rPr>
                <w:sz w:val="20"/>
                <w:szCs w:val="20"/>
                <w:color w:val="auto"/>
              </w:rPr>
            </w:pPr>
            <w:r>
              <w:rPr>
                <w:rFonts w:ascii="Arial" w:cs="Arial" w:eastAsia="Arial" w:hAnsi="Arial"/>
                <w:sz w:val="13"/>
                <w:szCs w:val="13"/>
                <w:b w:val="1"/>
                <w:bCs w:val="1"/>
                <w:color w:val="00C1DE"/>
                <w:w w:val="98"/>
              </w:rPr>
              <w:t>or Units of</w:t>
            </w:r>
          </w:p>
        </w:tc>
        <w:tc>
          <w:tcPr>
            <w:tcW w:w="900" w:type="dxa"/>
            <w:vAlign w:val="bottom"/>
          </w:tcPr>
          <w:p>
            <w:pPr>
              <w:jc w:val="right"/>
              <w:ind w:right="57"/>
              <w:spacing w:after="0" w:line="135" w:lineRule="exact"/>
              <w:rPr>
                <w:sz w:val="20"/>
                <w:szCs w:val="20"/>
                <w:color w:val="auto"/>
              </w:rPr>
            </w:pPr>
            <w:r>
              <w:rPr>
                <w:rFonts w:ascii="Arial" w:cs="Arial" w:eastAsia="Arial" w:hAnsi="Arial"/>
                <w:sz w:val="13"/>
                <w:szCs w:val="13"/>
                <w:b w:val="1"/>
                <w:bCs w:val="1"/>
                <w:color w:val="00C1DE"/>
              </w:rPr>
              <w:t>Units of</w:t>
            </w:r>
          </w:p>
        </w:tc>
        <w:tc>
          <w:tcPr>
            <w:tcW w:w="1260" w:type="dxa"/>
            <w:vAlign w:val="bottom"/>
          </w:tcPr>
          <w:p>
            <w:pPr>
              <w:jc w:val="right"/>
              <w:ind w:right="239"/>
              <w:spacing w:after="0" w:line="135" w:lineRule="exact"/>
              <w:rPr>
                <w:sz w:val="20"/>
                <w:szCs w:val="20"/>
                <w:color w:val="auto"/>
              </w:rPr>
            </w:pPr>
            <w:r>
              <w:rPr>
                <w:rFonts w:ascii="Arial" w:cs="Arial" w:eastAsia="Arial" w:hAnsi="Arial"/>
                <w:sz w:val="13"/>
                <w:szCs w:val="13"/>
                <w:b w:val="1"/>
                <w:bCs w:val="1"/>
                <w:color w:val="00C1DE"/>
              </w:rPr>
              <w:t>or Other</w:t>
            </w:r>
          </w:p>
        </w:tc>
        <w:tc>
          <w:tcPr>
            <w:tcW w:w="1080" w:type="dxa"/>
            <w:vAlign w:val="bottom"/>
          </w:tcPr>
          <w:p>
            <w:pPr>
              <w:jc w:val="right"/>
              <w:ind w:right="97"/>
              <w:spacing w:after="0" w:line="135" w:lineRule="exact"/>
              <w:rPr>
                <w:sz w:val="20"/>
                <w:szCs w:val="20"/>
                <w:color w:val="auto"/>
              </w:rPr>
            </w:pPr>
            <w:r>
              <w:rPr>
                <w:rFonts w:ascii="Arial" w:cs="Arial" w:eastAsia="Arial" w:hAnsi="Arial"/>
                <w:sz w:val="13"/>
                <w:szCs w:val="13"/>
                <w:b w:val="1"/>
                <w:bCs w:val="1"/>
                <w:color w:val="00C1DE"/>
              </w:rPr>
              <w:t>or Other</w:t>
            </w:r>
          </w:p>
        </w:tc>
        <w:tc>
          <w:tcPr>
            <w:tcW w:w="0" w:type="dxa"/>
            <w:vAlign w:val="bottom"/>
          </w:tcPr>
          <w:p>
            <w:pPr>
              <w:spacing w:after="0"/>
              <w:rPr>
                <w:sz w:val="1"/>
                <w:szCs w:val="1"/>
                <w:color w:val="auto"/>
              </w:rPr>
            </w:pPr>
          </w:p>
        </w:tc>
      </w:tr>
      <w:tr>
        <w:trPr>
          <w:trHeight w:val="135"/>
        </w:trPr>
        <w:tc>
          <w:tcPr>
            <w:tcW w:w="20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vMerge w:val="restart"/>
          </w:tcPr>
          <w:p>
            <w:pPr>
              <w:jc w:val="right"/>
              <w:ind w:right="37"/>
              <w:spacing w:after="0"/>
              <w:rPr>
                <w:sz w:val="20"/>
                <w:szCs w:val="20"/>
                <w:color w:val="auto"/>
              </w:rPr>
            </w:pPr>
            <w:r>
              <w:rPr>
                <w:rFonts w:ascii="Arial" w:cs="Arial" w:eastAsia="Arial" w:hAnsi="Arial"/>
                <w:sz w:val="13"/>
                <w:szCs w:val="13"/>
                <w:b w:val="1"/>
                <w:bCs w:val="1"/>
                <w:color w:val="00C1DE"/>
              </w:rPr>
              <w:t>Grant</w:t>
            </w:r>
          </w:p>
        </w:tc>
        <w:tc>
          <w:tcPr>
            <w:tcW w:w="940" w:type="dxa"/>
            <w:vAlign w:val="bottom"/>
          </w:tcPr>
          <w:p>
            <w:pPr>
              <w:jc w:val="right"/>
              <w:ind w:right="17"/>
              <w:spacing w:after="0" w:line="135" w:lineRule="exact"/>
              <w:rPr>
                <w:sz w:val="20"/>
                <w:szCs w:val="20"/>
                <w:color w:val="auto"/>
              </w:rPr>
            </w:pPr>
            <w:r>
              <w:rPr>
                <w:rFonts w:ascii="Arial" w:cs="Arial" w:eastAsia="Arial" w:hAnsi="Arial"/>
                <w:sz w:val="13"/>
                <w:szCs w:val="13"/>
                <w:b w:val="1"/>
                <w:bCs w:val="1"/>
                <w:color w:val="00C1DE"/>
              </w:rPr>
              <w:t>Options</w:t>
            </w:r>
          </w:p>
        </w:tc>
        <w:tc>
          <w:tcPr>
            <w:tcW w:w="1240" w:type="dxa"/>
            <w:vAlign w:val="bottom"/>
          </w:tcPr>
          <w:p>
            <w:pPr>
              <w:jc w:val="right"/>
              <w:ind w:right="177"/>
              <w:spacing w:after="0" w:line="135" w:lineRule="exact"/>
              <w:rPr>
                <w:sz w:val="20"/>
                <w:szCs w:val="20"/>
                <w:color w:val="auto"/>
              </w:rPr>
            </w:pPr>
            <w:r>
              <w:rPr>
                <w:rFonts w:ascii="Arial" w:cs="Arial" w:eastAsia="Arial" w:hAnsi="Arial"/>
                <w:sz w:val="13"/>
                <w:szCs w:val="13"/>
                <w:b w:val="1"/>
                <w:bCs w:val="1"/>
                <w:color w:val="00C1DE"/>
              </w:rPr>
              <w:t>Options</w:t>
            </w:r>
          </w:p>
        </w:tc>
        <w:tc>
          <w:tcPr>
            <w:tcW w:w="740" w:type="dxa"/>
            <w:vAlign w:val="bottom"/>
            <w:vMerge w:val="continue"/>
          </w:tcPr>
          <w:p>
            <w:pPr>
              <w:spacing w:after="0"/>
              <w:rPr>
                <w:sz w:val="11"/>
                <w:szCs w:val="11"/>
                <w:color w:val="auto"/>
              </w:rPr>
            </w:pPr>
          </w:p>
        </w:tc>
        <w:tc>
          <w:tcPr>
            <w:tcW w:w="960" w:type="dxa"/>
            <w:vAlign w:val="bottom"/>
            <w:gridSpan w:val="2"/>
            <w:vMerge w:val="continue"/>
          </w:tcPr>
          <w:p>
            <w:pPr>
              <w:spacing w:after="0"/>
              <w:rPr>
                <w:sz w:val="11"/>
                <w:szCs w:val="11"/>
                <w:color w:val="auto"/>
              </w:rPr>
            </w:pPr>
          </w:p>
        </w:tc>
        <w:tc>
          <w:tcPr>
            <w:tcW w:w="1000" w:type="dxa"/>
            <w:vAlign w:val="bottom"/>
          </w:tcPr>
          <w:p>
            <w:pPr>
              <w:jc w:val="right"/>
              <w:ind w:right="277"/>
              <w:spacing w:after="0" w:line="135" w:lineRule="exact"/>
              <w:rPr>
                <w:sz w:val="20"/>
                <w:szCs w:val="20"/>
                <w:color w:val="auto"/>
              </w:rPr>
            </w:pPr>
            <w:r>
              <w:rPr>
                <w:rFonts w:ascii="Arial" w:cs="Arial" w:eastAsia="Arial" w:hAnsi="Arial"/>
                <w:sz w:val="13"/>
                <w:szCs w:val="13"/>
                <w:b w:val="1"/>
                <w:bCs w:val="1"/>
                <w:color w:val="00C1DE"/>
                <w:w w:val="96"/>
              </w:rPr>
              <w:t>Stock That</w:t>
            </w:r>
          </w:p>
        </w:tc>
        <w:tc>
          <w:tcPr>
            <w:tcW w:w="900" w:type="dxa"/>
            <w:vAlign w:val="bottom"/>
          </w:tcPr>
          <w:p>
            <w:pPr>
              <w:jc w:val="right"/>
              <w:ind w:right="57"/>
              <w:spacing w:after="0" w:line="135" w:lineRule="exact"/>
              <w:rPr>
                <w:sz w:val="20"/>
                <w:szCs w:val="20"/>
                <w:color w:val="auto"/>
              </w:rPr>
            </w:pPr>
            <w:r>
              <w:rPr>
                <w:rFonts w:ascii="Arial" w:cs="Arial" w:eastAsia="Arial" w:hAnsi="Arial"/>
                <w:sz w:val="13"/>
                <w:szCs w:val="13"/>
                <w:b w:val="1"/>
                <w:bCs w:val="1"/>
                <w:color w:val="00C1DE"/>
              </w:rPr>
              <w:t>Stock That</w:t>
            </w:r>
          </w:p>
        </w:tc>
        <w:tc>
          <w:tcPr>
            <w:tcW w:w="1260" w:type="dxa"/>
            <w:vAlign w:val="bottom"/>
          </w:tcPr>
          <w:p>
            <w:pPr>
              <w:jc w:val="right"/>
              <w:ind w:right="239"/>
              <w:spacing w:after="0" w:line="135" w:lineRule="exact"/>
              <w:rPr>
                <w:sz w:val="20"/>
                <w:szCs w:val="20"/>
                <w:color w:val="auto"/>
              </w:rPr>
            </w:pPr>
            <w:r>
              <w:rPr>
                <w:rFonts w:ascii="Arial" w:cs="Arial" w:eastAsia="Arial" w:hAnsi="Arial"/>
                <w:sz w:val="13"/>
                <w:szCs w:val="13"/>
                <w:b w:val="1"/>
                <w:bCs w:val="1"/>
                <w:color w:val="00C1DE"/>
              </w:rPr>
              <w:t>Rights That</w:t>
            </w:r>
          </w:p>
        </w:tc>
        <w:tc>
          <w:tcPr>
            <w:tcW w:w="1080" w:type="dxa"/>
            <w:vAlign w:val="bottom"/>
          </w:tcPr>
          <w:p>
            <w:pPr>
              <w:jc w:val="right"/>
              <w:ind w:right="97"/>
              <w:spacing w:after="0" w:line="135" w:lineRule="exact"/>
              <w:rPr>
                <w:sz w:val="20"/>
                <w:szCs w:val="20"/>
                <w:color w:val="auto"/>
              </w:rPr>
            </w:pPr>
            <w:r>
              <w:rPr>
                <w:rFonts w:ascii="Arial" w:cs="Arial" w:eastAsia="Arial" w:hAnsi="Arial"/>
                <w:sz w:val="13"/>
                <w:szCs w:val="13"/>
                <w:b w:val="1"/>
                <w:bCs w:val="1"/>
                <w:color w:val="00C1DE"/>
              </w:rPr>
              <w:t>Rights That</w:t>
            </w:r>
          </w:p>
        </w:tc>
        <w:tc>
          <w:tcPr>
            <w:tcW w:w="0" w:type="dxa"/>
            <w:vAlign w:val="bottom"/>
          </w:tcPr>
          <w:p>
            <w:pPr>
              <w:spacing w:after="0"/>
              <w:rPr>
                <w:sz w:val="1"/>
                <w:szCs w:val="1"/>
                <w:color w:val="auto"/>
              </w:rPr>
            </w:pPr>
          </w:p>
        </w:tc>
      </w:tr>
      <w:tr>
        <w:trPr>
          <w:trHeight w:val="135"/>
        </w:trPr>
        <w:tc>
          <w:tcPr>
            <w:tcW w:w="20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vMerge w:val="continue"/>
          </w:tcPr>
          <w:p>
            <w:pPr>
              <w:spacing w:after="0"/>
              <w:rPr>
                <w:sz w:val="11"/>
                <w:szCs w:val="11"/>
                <w:color w:val="auto"/>
              </w:rPr>
            </w:pPr>
          </w:p>
        </w:tc>
        <w:tc>
          <w:tcPr>
            <w:tcW w:w="940" w:type="dxa"/>
            <w:vAlign w:val="bottom"/>
          </w:tcPr>
          <w:p>
            <w:pPr>
              <w:jc w:val="right"/>
              <w:ind w:right="17"/>
              <w:spacing w:after="0" w:line="135" w:lineRule="exact"/>
              <w:rPr>
                <w:sz w:val="20"/>
                <w:szCs w:val="20"/>
                <w:color w:val="auto"/>
              </w:rPr>
            </w:pPr>
            <w:r>
              <w:rPr>
                <w:rFonts w:ascii="Arial" w:cs="Arial" w:eastAsia="Arial" w:hAnsi="Arial"/>
                <w:sz w:val="13"/>
                <w:szCs w:val="13"/>
                <w:b w:val="1"/>
                <w:bCs w:val="1"/>
                <w:color w:val="00C1DE"/>
              </w:rPr>
              <w:t>Exercisable</w:t>
            </w:r>
          </w:p>
        </w:tc>
        <w:tc>
          <w:tcPr>
            <w:tcW w:w="1240" w:type="dxa"/>
            <w:vAlign w:val="bottom"/>
          </w:tcPr>
          <w:p>
            <w:pPr>
              <w:jc w:val="right"/>
              <w:ind w:right="177"/>
              <w:spacing w:after="0" w:line="135" w:lineRule="exact"/>
              <w:rPr>
                <w:sz w:val="20"/>
                <w:szCs w:val="20"/>
                <w:color w:val="auto"/>
              </w:rPr>
            </w:pPr>
            <w:r>
              <w:rPr>
                <w:rFonts w:ascii="Arial" w:cs="Arial" w:eastAsia="Arial" w:hAnsi="Arial"/>
                <w:sz w:val="13"/>
                <w:szCs w:val="13"/>
                <w:b w:val="1"/>
                <w:bCs w:val="1"/>
                <w:color w:val="00C1DE"/>
              </w:rPr>
              <w:t>Unexercisable</w:t>
            </w:r>
          </w:p>
        </w:tc>
        <w:tc>
          <w:tcPr>
            <w:tcW w:w="740" w:type="dxa"/>
            <w:vAlign w:val="bottom"/>
          </w:tcPr>
          <w:p>
            <w:pPr>
              <w:jc w:val="right"/>
              <w:ind w:right="57"/>
              <w:spacing w:after="0" w:line="135" w:lineRule="exact"/>
              <w:rPr>
                <w:sz w:val="20"/>
                <w:szCs w:val="20"/>
                <w:color w:val="auto"/>
              </w:rPr>
            </w:pPr>
            <w:r>
              <w:rPr>
                <w:rFonts w:ascii="Arial" w:cs="Arial" w:eastAsia="Arial" w:hAnsi="Arial"/>
                <w:sz w:val="13"/>
                <w:szCs w:val="13"/>
                <w:b w:val="1"/>
                <w:bCs w:val="1"/>
                <w:color w:val="00C1DE"/>
              </w:rPr>
              <w:t>Exercise</w:t>
            </w:r>
          </w:p>
        </w:tc>
        <w:tc>
          <w:tcPr>
            <w:tcW w:w="960" w:type="dxa"/>
            <w:vAlign w:val="bottom"/>
            <w:gridSpan w:val="2"/>
          </w:tcPr>
          <w:p>
            <w:pPr>
              <w:jc w:val="right"/>
              <w:ind w:right="220"/>
              <w:spacing w:after="0" w:line="135" w:lineRule="exact"/>
              <w:rPr>
                <w:sz w:val="20"/>
                <w:szCs w:val="20"/>
                <w:color w:val="auto"/>
              </w:rPr>
            </w:pPr>
            <w:r>
              <w:rPr>
                <w:rFonts w:ascii="Arial" w:cs="Arial" w:eastAsia="Arial" w:hAnsi="Arial"/>
                <w:sz w:val="13"/>
                <w:szCs w:val="13"/>
                <w:b w:val="1"/>
                <w:bCs w:val="1"/>
                <w:color w:val="00C1DE"/>
              </w:rPr>
              <w:t>Expiration</w:t>
            </w:r>
          </w:p>
        </w:tc>
        <w:tc>
          <w:tcPr>
            <w:tcW w:w="1000" w:type="dxa"/>
            <w:vAlign w:val="bottom"/>
          </w:tcPr>
          <w:p>
            <w:pPr>
              <w:jc w:val="right"/>
              <w:ind w:right="277"/>
              <w:spacing w:after="0" w:line="135" w:lineRule="exact"/>
              <w:rPr>
                <w:sz w:val="20"/>
                <w:szCs w:val="20"/>
                <w:color w:val="auto"/>
              </w:rPr>
            </w:pPr>
            <w:r>
              <w:rPr>
                <w:rFonts w:ascii="Arial" w:cs="Arial" w:eastAsia="Arial" w:hAnsi="Arial"/>
                <w:sz w:val="13"/>
                <w:szCs w:val="13"/>
                <w:b w:val="1"/>
                <w:bCs w:val="1"/>
                <w:color w:val="00C1DE"/>
              </w:rPr>
              <w:t>Have Not</w:t>
            </w:r>
          </w:p>
        </w:tc>
        <w:tc>
          <w:tcPr>
            <w:tcW w:w="900" w:type="dxa"/>
            <w:vAlign w:val="bottom"/>
          </w:tcPr>
          <w:p>
            <w:pPr>
              <w:jc w:val="right"/>
              <w:ind w:right="57"/>
              <w:spacing w:after="0" w:line="135" w:lineRule="exact"/>
              <w:rPr>
                <w:sz w:val="20"/>
                <w:szCs w:val="20"/>
                <w:color w:val="auto"/>
              </w:rPr>
            </w:pPr>
            <w:r>
              <w:rPr>
                <w:rFonts w:ascii="Arial" w:cs="Arial" w:eastAsia="Arial" w:hAnsi="Arial"/>
                <w:sz w:val="13"/>
                <w:szCs w:val="13"/>
                <w:b w:val="1"/>
                <w:bCs w:val="1"/>
                <w:color w:val="00C1DE"/>
              </w:rPr>
              <w:t>Have Not</w:t>
            </w:r>
          </w:p>
        </w:tc>
        <w:tc>
          <w:tcPr>
            <w:tcW w:w="1260" w:type="dxa"/>
            <w:vAlign w:val="bottom"/>
          </w:tcPr>
          <w:p>
            <w:pPr>
              <w:jc w:val="right"/>
              <w:ind w:right="239"/>
              <w:spacing w:after="0" w:line="135" w:lineRule="exact"/>
              <w:rPr>
                <w:sz w:val="20"/>
                <w:szCs w:val="20"/>
                <w:color w:val="auto"/>
              </w:rPr>
            </w:pPr>
            <w:r>
              <w:rPr>
                <w:rFonts w:ascii="Arial" w:cs="Arial" w:eastAsia="Arial" w:hAnsi="Arial"/>
                <w:sz w:val="13"/>
                <w:szCs w:val="13"/>
                <w:b w:val="1"/>
                <w:bCs w:val="1"/>
                <w:color w:val="00C1DE"/>
              </w:rPr>
              <w:t>Have Not</w:t>
            </w:r>
          </w:p>
        </w:tc>
        <w:tc>
          <w:tcPr>
            <w:tcW w:w="1080" w:type="dxa"/>
            <w:vAlign w:val="bottom"/>
          </w:tcPr>
          <w:p>
            <w:pPr>
              <w:ind w:left="360"/>
              <w:spacing w:after="0" w:line="135" w:lineRule="exact"/>
              <w:rPr>
                <w:sz w:val="20"/>
                <w:szCs w:val="20"/>
                <w:color w:val="auto"/>
              </w:rPr>
            </w:pPr>
            <w:r>
              <w:rPr>
                <w:rFonts w:ascii="Arial" w:cs="Arial" w:eastAsia="Arial" w:hAnsi="Arial"/>
                <w:sz w:val="13"/>
                <w:szCs w:val="13"/>
                <w:b w:val="1"/>
                <w:bCs w:val="1"/>
                <w:color w:val="00C1DE"/>
              </w:rPr>
              <w:t>Have Not</w:t>
            </w:r>
          </w:p>
        </w:tc>
        <w:tc>
          <w:tcPr>
            <w:tcW w:w="0" w:type="dxa"/>
            <w:vAlign w:val="bottom"/>
          </w:tcPr>
          <w:p>
            <w:pPr>
              <w:spacing w:after="0"/>
              <w:rPr>
                <w:sz w:val="1"/>
                <w:szCs w:val="1"/>
                <w:color w:val="auto"/>
              </w:rPr>
            </w:pPr>
          </w:p>
        </w:tc>
      </w:tr>
      <w:tr>
        <w:trPr>
          <w:trHeight w:val="189"/>
        </w:trPr>
        <w:tc>
          <w:tcPr>
            <w:tcW w:w="2000" w:type="dxa"/>
            <w:vAlign w:val="bottom"/>
            <w:tcBorders>
              <w:bottom w:val="single" w:sz="8" w:color="00C1DE"/>
            </w:tcBorders>
          </w:tcPr>
          <w:p>
            <w:pPr>
              <w:ind w:left="60"/>
              <w:spacing w:after="0"/>
              <w:rPr>
                <w:sz w:val="20"/>
                <w:szCs w:val="20"/>
                <w:color w:val="auto"/>
              </w:rPr>
            </w:pPr>
            <w:r>
              <w:rPr>
                <w:rFonts w:ascii="Arial" w:cs="Arial" w:eastAsia="Arial" w:hAnsi="Arial"/>
                <w:sz w:val="13"/>
                <w:szCs w:val="13"/>
                <w:b w:val="1"/>
                <w:bCs w:val="1"/>
                <w:color w:val="00C1DE"/>
              </w:rPr>
              <w:t>Name</w:t>
            </w:r>
          </w:p>
        </w:tc>
        <w:tc>
          <w:tcPr>
            <w:tcW w:w="180" w:type="dxa"/>
            <w:vAlign w:val="bottom"/>
            <w:tcBorders>
              <w:bottom w:val="single" w:sz="8" w:color="00C1DE"/>
            </w:tcBorders>
          </w:tcPr>
          <w:p>
            <w:pPr>
              <w:spacing w:after="0"/>
              <w:rPr>
                <w:sz w:val="16"/>
                <w:szCs w:val="16"/>
                <w:color w:val="auto"/>
              </w:rPr>
            </w:pPr>
          </w:p>
        </w:tc>
        <w:tc>
          <w:tcPr>
            <w:tcW w:w="720" w:type="dxa"/>
            <w:vAlign w:val="bottom"/>
            <w:tcBorders>
              <w:bottom w:val="single" w:sz="8" w:color="00C1DE"/>
            </w:tcBorders>
          </w:tcPr>
          <w:p>
            <w:pPr>
              <w:jc w:val="right"/>
              <w:ind w:right="37"/>
              <w:spacing w:after="0"/>
              <w:rPr>
                <w:sz w:val="20"/>
                <w:szCs w:val="20"/>
                <w:color w:val="auto"/>
              </w:rPr>
            </w:pPr>
            <w:r>
              <w:rPr>
                <w:rFonts w:ascii="Arial" w:cs="Arial" w:eastAsia="Arial" w:hAnsi="Arial"/>
                <w:sz w:val="13"/>
                <w:szCs w:val="13"/>
                <w:b w:val="1"/>
                <w:bCs w:val="1"/>
                <w:color w:val="00C1DE"/>
              </w:rPr>
              <w:t>Date</w:t>
            </w:r>
          </w:p>
        </w:tc>
        <w:tc>
          <w:tcPr>
            <w:tcW w:w="940" w:type="dxa"/>
            <w:vAlign w:val="bottom"/>
            <w:tcBorders>
              <w:bottom w:val="single" w:sz="8" w:color="00C1DE"/>
            </w:tcBorders>
          </w:tcPr>
          <w:p>
            <w:pPr>
              <w:jc w:val="right"/>
              <w:ind w:right="17"/>
              <w:spacing w:after="0"/>
              <w:rPr>
                <w:sz w:val="20"/>
                <w:szCs w:val="20"/>
                <w:color w:val="auto"/>
              </w:rPr>
            </w:pPr>
            <w:r>
              <w:rPr>
                <w:rFonts w:ascii="Arial" w:cs="Arial" w:eastAsia="Arial" w:hAnsi="Arial"/>
                <w:sz w:val="13"/>
                <w:szCs w:val="13"/>
                <w:b w:val="1"/>
                <w:bCs w:val="1"/>
                <w:color w:val="00C1DE"/>
              </w:rPr>
              <w:t>(#)</w:t>
            </w:r>
          </w:p>
        </w:tc>
        <w:tc>
          <w:tcPr>
            <w:tcW w:w="1240" w:type="dxa"/>
            <w:vAlign w:val="bottom"/>
            <w:tcBorders>
              <w:bottom w:val="single" w:sz="8" w:color="00C1DE"/>
            </w:tcBorders>
          </w:tcPr>
          <w:p>
            <w:pPr>
              <w:jc w:val="right"/>
              <w:ind w:right="177"/>
              <w:spacing w:after="0"/>
              <w:rPr>
                <w:sz w:val="20"/>
                <w:szCs w:val="20"/>
                <w:color w:val="auto"/>
              </w:rPr>
            </w:pPr>
            <w:r>
              <w:rPr>
                <w:rFonts w:ascii="Arial" w:cs="Arial" w:eastAsia="Arial" w:hAnsi="Arial"/>
                <w:sz w:val="13"/>
                <w:szCs w:val="13"/>
                <w:b w:val="1"/>
                <w:bCs w:val="1"/>
                <w:color w:val="00C1DE"/>
              </w:rPr>
              <w:t>(#)</w:t>
            </w:r>
          </w:p>
        </w:tc>
        <w:tc>
          <w:tcPr>
            <w:tcW w:w="740" w:type="dxa"/>
            <w:vAlign w:val="bottom"/>
            <w:tcBorders>
              <w:bottom w:val="single" w:sz="8" w:color="00C1DE"/>
            </w:tcBorders>
          </w:tcPr>
          <w:p>
            <w:pPr>
              <w:jc w:val="right"/>
              <w:ind w:right="57"/>
              <w:spacing w:after="0"/>
              <w:rPr>
                <w:sz w:val="20"/>
                <w:szCs w:val="20"/>
                <w:color w:val="auto"/>
              </w:rPr>
            </w:pPr>
            <w:r>
              <w:rPr>
                <w:rFonts w:ascii="Arial" w:cs="Arial" w:eastAsia="Arial" w:hAnsi="Arial"/>
                <w:sz w:val="13"/>
                <w:szCs w:val="13"/>
                <w:b w:val="1"/>
                <w:bCs w:val="1"/>
                <w:color w:val="00C1DE"/>
              </w:rPr>
              <w:t>Price ($)</w:t>
            </w:r>
          </w:p>
        </w:tc>
        <w:tc>
          <w:tcPr>
            <w:tcW w:w="960" w:type="dxa"/>
            <w:vAlign w:val="bottom"/>
            <w:tcBorders>
              <w:bottom w:val="single" w:sz="8" w:color="00C1DE"/>
            </w:tcBorders>
            <w:gridSpan w:val="2"/>
          </w:tcPr>
          <w:p>
            <w:pPr>
              <w:jc w:val="right"/>
              <w:ind w:right="220"/>
              <w:spacing w:after="0"/>
              <w:rPr>
                <w:sz w:val="20"/>
                <w:szCs w:val="20"/>
                <w:color w:val="auto"/>
              </w:rPr>
            </w:pPr>
            <w:r>
              <w:rPr>
                <w:rFonts w:ascii="Arial" w:cs="Arial" w:eastAsia="Arial" w:hAnsi="Arial"/>
                <w:sz w:val="13"/>
                <w:szCs w:val="13"/>
                <w:b w:val="1"/>
                <w:bCs w:val="1"/>
                <w:color w:val="00C1DE"/>
              </w:rPr>
              <w:t>Date</w:t>
            </w:r>
          </w:p>
        </w:tc>
        <w:tc>
          <w:tcPr>
            <w:tcW w:w="1000" w:type="dxa"/>
            <w:vAlign w:val="bottom"/>
            <w:tcBorders>
              <w:bottom w:val="single" w:sz="8" w:color="00C1DE"/>
            </w:tcBorders>
          </w:tcPr>
          <w:p>
            <w:pPr>
              <w:jc w:val="right"/>
              <w:ind w:right="277"/>
              <w:spacing w:after="0"/>
              <w:rPr>
                <w:sz w:val="20"/>
                <w:szCs w:val="20"/>
                <w:color w:val="auto"/>
              </w:rPr>
            </w:pPr>
            <w:r>
              <w:rPr>
                <w:rFonts w:ascii="Arial" w:cs="Arial" w:eastAsia="Arial" w:hAnsi="Arial"/>
                <w:sz w:val="13"/>
                <w:szCs w:val="13"/>
                <w:b w:val="1"/>
                <w:bCs w:val="1"/>
                <w:color w:val="00C1DE"/>
              </w:rPr>
              <w:t>Vested (#)</w:t>
            </w:r>
          </w:p>
        </w:tc>
        <w:tc>
          <w:tcPr>
            <w:tcW w:w="900" w:type="dxa"/>
            <w:vAlign w:val="bottom"/>
            <w:tcBorders>
              <w:bottom w:val="single" w:sz="8" w:color="00C1DE"/>
            </w:tcBorders>
          </w:tcPr>
          <w:p>
            <w:pPr>
              <w:jc w:val="right"/>
              <w:ind w:right="57"/>
              <w:spacing w:after="0"/>
              <w:rPr>
                <w:sz w:val="20"/>
                <w:szCs w:val="20"/>
                <w:color w:val="auto"/>
              </w:rPr>
            </w:pPr>
            <w:r>
              <w:rPr>
                <w:rFonts w:ascii="Arial" w:cs="Arial" w:eastAsia="Arial" w:hAnsi="Arial"/>
                <w:sz w:val="13"/>
                <w:szCs w:val="13"/>
                <w:b w:val="1"/>
                <w:bCs w:val="1"/>
                <w:color w:val="00C1DE"/>
              </w:rPr>
              <w:t>Vested ($)</w:t>
            </w:r>
          </w:p>
        </w:tc>
        <w:tc>
          <w:tcPr>
            <w:tcW w:w="1260" w:type="dxa"/>
            <w:vAlign w:val="bottom"/>
            <w:tcBorders>
              <w:bottom w:val="single" w:sz="8" w:color="00C1DE"/>
            </w:tcBorders>
          </w:tcPr>
          <w:p>
            <w:pPr>
              <w:jc w:val="right"/>
              <w:ind w:right="239"/>
              <w:spacing w:after="0"/>
              <w:rPr>
                <w:sz w:val="20"/>
                <w:szCs w:val="20"/>
                <w:color w:val="auto"/>
              </w:rPr>
            </w:pPr>
            <w:r>
              <w:rPr>
                <w:rFonts w:ascii="Arial" w:cs="Arial" w:eastAsia="Arial" w:hAnsi="Arial"/>
                <w:sz w:val="13"/>
                <w:szCs w:val="13"/>
                <w:b w:val="1"/>
                <w:bCs w:val="1"/>
                <w:color w:val="00C1DE"/>
              </w:rPr>
              <w:t>Vested (#)</w:t>
            </w:r>
          </w:p>
        </w:tc>
        <w:tc>
          <w:tcPr>
            <w:tcW w:w="1080" w:type="dxa"/>
            <w:vAlign w:val="bottom"/>
            <w:tcBorders>
              <w:bottom w:val="single" w:sz="8" w:color="00C1DE"/>
            </w:tcBorders>
          </w:tcPr>
          <w:p>
            <w:pPr>
              <w:jc w:val="right"/>
              <w:ind w:right="97"/>
              <w:spacing w:after="0"/>
              <w:rPr>
                <w:sz w:val="20"/>
                <w:szCs w:val="20"/>
                <w:color w:val="auto"/>
              </w:rPr>
            </w:pPr>
            <w:r>
              <w:rPr>
                <w:rFonts w:ascii="Arial" w:cs="Arial" w:eastAsia="Arial" w:hAnsi="Arial"/>
                <w:sz w:val="13"/>
                <w:szCs w:val="13"/>
                <w:b w:val="1"/>
                <w:bCs w:val="1"/>
                <w:color w:val="00C1DE"/>
              </w:rPr>
              <w:t>Vested ($)</w:t>
            </w:r>
          </w:p>
        </w:tc>
        <w:tc>
          <w:tcPr>
            <w:tcW w:w="0" w:type="dxa"/>
            <w:vAlign w:val="bottom"/>
          </w:tcPr>
          <w:p>
            <w:pPr>
              <w:spacing w:after="0"/>
              <w:rPr>
                <w:sz w:val="1"/>
                <w:szCs w:val="1"/>
                <w:color w:val="auto"/>
              </w:rPr>
            </w:pPr>
          </w:p>
        </w:tc>
      </w:tr>
      <w:tr>
        <w:trPr>
          <w:trHeight w:val="254"/>
        </w:trPr>
        <w:tc>
          <w:tcPr>
            <w:tcW w:w="2000" w:type="dxa"/>
            <w:vAlign w:val="bottom"/>
          </w:tcPr>
          <w:p>
            <w:pPr>
              <w:ind w:left="60"/>
              <w:spacing w:after="0"/>
              <w:rPr>
                <w:sz w:val="20"/>
                <w:szCs w:val="20"/>
                <w:color w:val="auto"/>
              </w:rPr>
            </w:pPr>
            <w:r>
              <w:rPr>
                <w:rFonts w:ascii="Arial" w:cs="Arial" w:eastAsia="Arial" w:hAnsi="Arial"/>
                <w:sz w:val="13"/>
                <w:szCs w:val="13"/>
                <w:color w:val="3E3935"/>
              </w:rPr>
              <w:t>Mary T. Barra</w:t>
            </w:r>
          </w:p>
        </w:tc>
        <w:tc>
          <w:tcPr>
            <w:tcW w:w="900" w:type="dxa"/>
            <w:vAlign w:val="bottom"/>
            <w:tcBorders>
              <w:bottom w:val="single" w:sz="8" w:color="3E3935"/>
            </w:tcBorders>
            <w:gridSpan w:val="2"/>
          </w:tcPr>
          <w:p>
            <w:pPr>
              <w:jc w:val="right"/>
              <w:ind w:right="37"/>
              <w:spacing w:after="0"/>
              <w:rPr>
                <w:sz w:val="20"/>
                <w:szCs w:val="20"/>
                <w:color w:val="auto"/>
              </w:rPr>
            </w:pPr>
            <w:r>
              <w:rPr>
                <w:rFonts w:ascii="Arial" w:cs="Arial" w:eastAsia="Arial" w:hAnsi="Arial"/>
                <w:sz w:val="13"/>
                <w:szCs w:val="13"/>
                <w:color w:val="3E3935"/>
              </w:rPr>
              <w:t>2/8/2022</w:t>
            </w:r>
          </w:p>
        </w:tc>
        <w:tc>
          <w:tcPr>
            <w:tcW w:w="940" w:type="dxa"/>
            <w:vAlign w:val="bottom"/>
            <w:tcBorders>
              <w:bottom w:val="single" w:sz="8" w:color="3E3935"/>
            </w:tcBorders>
          </w:tcPr>
          <w:p>
            <w:pPr>
              <w:jc w:val="right"/>
              <w:ind w:right="17"/>
              <w:spacing w:after="0"/>
              <w:rPr>
                <w:sz w:val="20"/>
                <w:szCs w:val="20"/>
                <w:color w:val="auto"/>
              </w:rPr>
            </w:pPr>
            <w:r>
              <w:rPr>
                <w:rFonts w:ascii="Arial" w:cs="Arial" w:eastAsia="Arial" w:hAnsi="Arial"/>
                <w:sz w:val="13"/>
                <w:szCs w:val="13"/>
                <w:color w:val="3E3935"/>
              </w:rPr>
              <w:t>—</w:t>
            </w:r>
          </w:p>
        </w:tc>
        <w:tc>
          <w:tcPr>
            <w:tcW w:w="1240" w:type="dxa"/>
            <w:vAlign w:val="bottom"/>
            <w:tcBorders>
              <w:bottom w:val="single" w:sz="8" w:color="3E3935"/>
            </w:tcBorders>
          </w:tcPr>
          <w:p>
            <w:pPr>
              <w:jc w:val="right"/>
              <w:ind w:right="57"/>
              <w:spacing w:after="0"/>
              <w:rPr>
                <w:sz w:val="20"/>
                <w:szCs w:val="20"/>
                <w:color w:val="auto"/>
              </w:rPr>
            </w:pPr>
            <w:r>
              <w:rPr>
                <w:rFonts w:ascii="Arial" w:cs="Arial" w:eastAsia="Arial" w:hAnsi="Arial"/>
                <w:sz w:val="13"/>
                <w:szCs w:val="13"/>
                <w:color w:val="3E3935"/>
              </w:rPr>
              <w:t>278,254</w:t>
            </w:r>
            <w:r>
              <w:rPr>
                <w:rFonts w:ascii="Arial" w:cs="Arial" w:eastAsia="Arial" w:hAnsi="Arial"/>
                <w:sz w:val="18"/>
                <w:szCs w:val="18"/>
                <w:color w:val="3E3935"/>
                <w:vertAlign w:val="superscript"/>
              </w:rPr>
              <w:t>(2)</w:t>
            </w:r>
          </w:p>
        </w:tc>
        <w:tc>
          <w:tcPr>
            <w:tcW w:w="740" w:type="dxa"/>
            <w:vAlign w:val="bottom"/>
            <w:tcBorders>
              <w:bottom w:val="single" w:sz="8" w:color="3E3935"/>
            </w:tcBorders>
          </w:tcPr>
          <w:p>
            <w:pPr>
              <w:jc w:val="right"/>
              <w:ind w:right="57"/>
              <w:spacing w:after="0"/>
              <w:rPr>
                <w:sz w:val="20"/>
                <w:szCs w:val="20"/>
                <w:color w:val="auto"/>
              </w:rPr>
            </w:pPr>
            <w:r>
              <w:rPr>
                <w:rFonts w:ascii="Arial" w:cs="Arial" w:eastAsia="Arial" w:hAnsi="Arial"/>
                <w:sz w:val="13"/>
                <w:szCs w:val="13"/>
                <w:color w:val="3E3935"/>
              </w:rPr>
              <w:t>49.46</w:t>
            </w:r>
          </w:p>
        </w:tc>
        <w:tc>
          <w:tcPr>
            <w:tcW w:w="780" w:type="dxa"/>
            <w:vAlign w:val="bottom"/>
            <w:tcBorders>
              <w:bottom w:val="single" w:sz="8" w:color="3E3935"/>
            </w:tcBorders>
          </w:tcPr>
          <w:p>
            <w:pPr>
              <w:jc w:val="right"/>
              <w:spacing w:after="0"/>
              <w:rPr>
                <w:sz w:val="20"/>
                <w:szCs w:val="20"/>
                <w:color w:val="auto"/>
              </w:rPr>
            </w:pPr>
            <w:r>
              <w:rPr>
                <w:rFonts w:ascii="Arial" w:cs="Arial" w:eastAsia="Arial" w:hAnsi="Arial"/>
                <w:sz w:val="13"/>
                <w:szCs w:val="13"/>
                <w:color w:val="3E3935"/>
              </w:rPr>
              <w:t>2/8/2032</w:t>
            </w:r>
          </w:p>
        </w:tc>
        <w:tc>
          <w:tcPr>
            <w:tcW w:w="180" w:type="dxa"/>
            <w:vAlign w:val="bottom"/>
            <w:tcBorders>
              <w:bottom w:val="single" w:sz="8" w:color="3E3935"/>
            </w:tcBorders>
          </w:tcPr>
          <w:p>
            <w:pPr>
              <w:spacing w:after="0"/>
              <w:rPr>
                <w:sz w:val="22"/>
                <w:szCs w:val="22"/>
                <w:color w:val="auto"/>
              </w:rPr>
            </w:pPr>
          </w:p>
        </w:tc>
        <w:tc>
          <w:tcPr>
            <w:tcW w:w="1000" w:type="dxa"/>
            <w:vAlign w:val="bottom"/>
            <w:tcBorders>
              <w:bottom w:val="single" w:sz="8" w:color="3E3935"/>
            </w:tcBorders>
          </w:tcPr>
          <w:p>
            <w:pPr>
              <w:spacing w:after="0"/>
              <w:rPr>
                <w:sz w:val="22"/>
                <w:szCs w:val="22"/>
                <w:color w:val="auto"/>
              </w:rPr>
            </w:pPr>
          </w:p>
        </w:tc>
        <w:tc>
          <w:tcPr>
            <w:tcW w:w="900" w:type="dxa"/>
            <w:vAlign w:val="bottom"/>
            <w:tcBorders>
              <w:bottom w:val="single" w:sz="8" w:color="3E3935"/>
            </w:tcBorders>
          </w:tcPr>
          <w:p>
            <w:pPr>
              <w:spacing w:after="0"/>
              <w:rPr>
                <w:sz w:val="22"/>
                <w:szCs w:val="22"/>
                <w:color w:val="auto"/>
              </w:rPr>
            </w:pPr>
          </w:p>
        </w:tc>
        <w:tc>
          <w:tcPr>
            <w:tcW w:w="1260" w:type="dxa"/>
            <w:vAlign w:val="bottom"/>
            <w:tcBorders>
              <w:bottom w:val="single" w:sz="8" w:color="3E3935"/>
            </w:tcBorders>
          </w:tcPr>
          <w:p>
            <w:pPr>
              <w:jc w:val="right"/>
              <w:ind w:right="19"/>
              <w:spacing w:after="0"/>
              <w:rPr>
                <w:sz w:val="20"/>
                <w:szCs w:val="20"/>
                <w:color w:val="auto"/>
              </w:rPr>
            </w:pPr>
            <w:r>
              <w:rPr>
                <w:rFonts w:ascii="Arial" w:cs="Arial" w:eastAsia="Arial" w:hAnsi="Arial"/>
                <w:sz w:val="13"/>
                <w:szCs w:val="13"/>
                <w:color w:val="3E3935"/>
              </w:rPr>
              <w:t>286,926</w:t>
            </w:r>
            <w:r>
              <w:rPr>
                <w:rFonts w:ascii="Arial" w:cs="Arial" w:eastAsia="Arial" w:hAnsi="Arial"/>
                <w:sz w:val="18"/>
                <w:szCs w:val="18"/>
                <w:color w:val="3E3935"/>
                <w:vertAlign w:val="superscript"/>
              </w:rPr>
              <w:t>(7)(8)</w:t>
            </w:r>
          </w:p>
        </w:tc>
        <w:tc>
          <w:tcPr>
            <w:tcW w:w="1080" w:type="dxa"/>
            <w:vAlign w:val="bottom"/>
            <w:tcBorders>
              <w:bottom w:val="single" w:sz="8" w:color="3E3935"/>
            </w:tcBorders>
          </w:tcPr>
          <w:p>
            <w:pPr>
              <w:ind w:left="360"/>
              <w:spacing w:after="0"/>
              <w:rPr>
                <w:sz w:val="20"/>
                <w:szCs w:val="20"/>
                <w:color w:val="auto"/>
              </w:rPr>
            </w:pPr>
            <w:r>
              <w:rPr>
                <w:rFonts w:ascii="Arial" w:cs="Arial" w:eastAsia="Arial" w:hAnsi="Arial"/>
                <w:sz w:val="13"/>
                <w:szCs w:val="13"/>
                <w:color w:val="3E3935"/>
                <w:w w:val="96"/>
              </w:rPr>
              <w:t>9,652,191</w:t>
            </w:r>
            <w:r>
              <w:rPr>
                <w:rFonts w:ascii="Arial" w:cs="Arial" w:eastAsia="Arial" w:hAnsi="Arial"/>
                <w:sz w:val="18"/>
                <w:szCs w:val="18"/>
                <w:color w:val="3E3935"/>
                <w:w w:val="96"/>
                <w:vertAlign w:val="superscript"/>
              </w:rPr>
              <w:t>(8)</w:t>
            </w:r>
          </w:p>
        </w:tc>
        <w:tc>
          <w:tcPr>
            <w:tcW w:w="0" w:type="dxa"/>
            <w:vAlign w:val="bottom"/>
          </w:tcPr>
          <w:p>
            <w:pPr>
              <w:spacing w:after="0"/>
              <w:rPr>
                <w:sz w:val="1"/>
                <w:szCs w:val="1"/>
                <w:color w:val="auto"/>
              </w:rPr>
            </w:pPr>
          </w:p>
        </w:tc>
      </w:tr>
      <w:tr>
        <w:trPr>
          <w:trHeight w:val="250"/>
        </w:trPr>
        <w:tc>
          <w:tcPr>
            <w:tcW w:w="2000" w:type="dxa"/>
            <w:vAlign w:val="bottom"/>
          </w:tcPr>
          <w:p>
            <w:pPr>
              <w:spacing w:after="0"/>
              <w:rPr>
                <w:sz w:val="21"/>
                <w:szCs w:val="21"/>
                <w:color w:val="auto"/>
              </w:rPr>
            </w:pPr>
          </w:p>
        </w:tc>
        <w:tc>
          <w:tcPr>
            <w:tcW w:w="900" w:type="dxa"/>
            <w:vAlign w:val="bottom"/>
            <w:tcBorders>
              <w:bottom w:val="single" w:sz="8" w:color="3E3935"/>
            </w:tcBorders>
            <w:gridSpan w:val="2"/>
          </w:tcPr>
          <w:p>
            <w:pPr>
              <w:jc w:val="right"/>
              <w:ind w:right="37"/>
              <w:spacing w:after="0"/>
              <w:rPr>
                <w:sz w:val="20"/>
                <w:szCs w:val="20"/>
                <w:color w:val="auto"/>
              </w:rPr>
            </w:pPr>
            <w:r>
              <w:rPr>
                <w:rFonts w:ascii="Arial" w:cs="Arial" w:eastAsia="Arial" w:hAnsi="Arial"/>
                <w:sz w:val="13"/>
                <w:szCs w:val="13"/>
                <w:color w:val="3E3935"/>
              </w:rPr>
              <w:t>2/18/2021</w:t>
            </w:r>
          </w:p>
        </w:tc>
        <w:tc>
          <w:tcPr>
            <w:tcW w:w="940" w:type="dxa"/>
            <w:vAlign w:val="bottom"/>
            <w:tcBorders>
              <w:bottom w:val="single" w:sz="8" w:color="3E3935"/>
            </w:tcBorders>
          </w:tcPr>
          <w:p>
            <w:pPr>
              <w:jc w:val="right"/>
              <w:ind w:right="17"/>
              <w:spacing w:after="0"/>
              <w:rPr>
                <w:sz w:val="20"/>
                <w:szCs w:val="20"/>
                <w:color w:val="auto"/>
              </w:rPr>
            </w:pPr>
            <w:r>
              <w:rPr>
                <w:rFonts w:ascii="Arial" w:cs="Arial" w:eastAsia="Arial" w:hAnsi="Arial"/>
                <w:sz w:val="13"/>
                <w:szCs w:val="13"/>
                <w:color w:val="3E3935"/>
              </w:rPr>
              <w:t>64,879</w:t>
            </w:r>
          </w:p>
        </w:tc>
        <w:tc>
          <w:tcPr>
            <w:tcW w:w="1240" w:type="dxa"/>
            <w:vAlign w:val="bottom"/>
            <w:tcBorders>
              <w:bottom w:val="single" w:sz="8" w:color="3E3935"/>
            </w:tcBorders>
          </w:tcPr>
          <w:p>
            <w:pPr>
              <w:jc w:val="right"/>
              <w:ind w:right="57"/>
              <w:spacing w:after="0"/>
              <w:rPr>
                <w:sz w:val="20"/>
                <w:szCs w:val="20"/>
                <w:color w:val="auto"/>
              </w:rPr>
            </w:pPr>
            <w:r>
              <w:rPr>
                <w:rFonts w:ascii="Arial" w:cs="Arial" w:eastAsia="Arial" w:hAnsi="Arial"/>
                <w:sz w:val="13"/>
                <w:szCs w:val="13"/>
                <w:color w:val="3E3935"/>
              </w:rPr>
              <w:t>129,758</w:t>
            </w:r>
            <w:r>
              <w:rPr>
                <w:rFonts w:ascii="Arial" w:cs="Arial" w:eastAsia="Arial" w:hAnsi="Arial"/>
                <w:sz w:val="18"/>
                <w:szCs w:val="18"/>
                <w:color w:val="3E3935"/>
                <w:vertAlign w:val="superscript"/>
              </w:rPr>
              <w:t>(3)</w:t>
            </w:r>
          </w:p>
        </w:tc>
        <w:tc>
          <w:tcPr>
            <w:tcW w:w="740" w:type="dxa"/>
            <w:vAlign w:val="bottom"/>
            <w:tcBorders>
              <w:bottom w:val="single" w:sz="8" w:color="3E3935"/>
            </w:tcBorders>
          </w:tcPr>
          <w:p>
            <w:pPr>
              <w:jc w:val="right"/>
              <w:ind w:right="57"/>
              <w:spacing w:after="0"/>
              <w:rPr>
                <w:sz w:val="20"/>
                <w:szCs w:val="20"/>
                <w:color w:val="auto"/>
              </w:rPr>
            </w:pPr>
            <w:r>
              <w:rPr>
                <w:rFonts w:ascii="Arial" w:cs="Arial" w:eastAsia="Arial" w:hAnsi="Arial"/>
                <w:sz w:val="13"/>
                <w:szCs w:val="13"/>
                <w:color w:val="3E3935"/>
              </w:rPr>
              <w:t>52.16</w:t>
            </w:r>
          </w:p>
        </w:tc>
        <w:tc>
          <w:tcPr>
            <w:tcW w:w="780" w:type="dxa"/>
            <w:vAlign w:val="bottom"/>
            <w:tcBorders>
              <w:bottom w:val="single" w:sz="8" w:color="3E3935"/>
            </w:tcBorders>
          </w:tcPr>
          <w:p>
            <w:pPr>
              <w:jc w:val="right"/>
              <w:spacing w:after="0"/>
              <w:rPr>
                <w:sz w:val="20"/>
                <w:szCs w:val="20"/>
                <w:color w:val="auto"/>
              </w:rPr>
            </w:pPr>
            <w:r>
              <w:rPr>
                <w:rFonts w:ascii="Arial" w:cs="Arial" w:eastAsia="Arial" w:hAnsi="Arial"/>
                <w:sz w:val="13"/>
                <w:szCs w:val="13"/>
                <w:color w:val="3E3935"/>
              </w:rPr>
              <w:t>2/18/2031</w:t>
            </w:r>
          </w:p>
        </w:tc>
        <w:tc>
          <w:tcPr>
            <w:tcW w:w="180" w:type="dxa"/>
            <w:vAlign w:val="bottom"/>
            <w:tcBorders>
              <w:bottom w:val="single" w:sz="8" w:color="3E3935"/>
            </w:tcBorders>
          </w:tcPr>
          <w:p>
            <w:pPr>
              <w:spacing w:after="0"/>
              <w:rPr>
                <w:sz w:val="21"/>
                <w:szCs w:val="21"/>
                <w:color w:val="auto"/>
              </w:rPr>
            </w:pPr>
          </w:p>
        </w:tc>
        <w:tc>
          <w:tcPr>
            <w:tcW w:w="1000" w:type="dxa"/>
            <w:vAlign w:val="bottom"/>
            <w:tcBorders>
              <w:bottom w:val="single" w:sz="8" w:color="3E3935"/>
            </w:tcBorders>
          </w:tcPr>
          <w:p>
            <w:pPr>
              <w:spacing w:after="0"/>
              <w:rPr>
                <w:sz w:val="21"/>
                <w:szCs w:val="21"/>
                <w:color w:val="auto"/>
              </w:rPr>
            </w:pPr>
          </w:p>
        </w:tc>
        <w:tc>
          <w:tcPr>
            <w:tcW w:w="900" w:type="dxa"/>
            <w:vAlign w:val="bottom"/>
            <w:tcBorders>
              <w:bottom w:val="single" w:sz="8" w:color="3E3935"/>
            </w:tcBorders>
          </w:tcPr>
          <w:p>
            <w:pPr>
              <w:spacing w:after="0"/>
              <w:rPr>
                <w:sz w:val="21"/>
                <w:szCs w:val="21"/>
                <w:color w:val="auto"/>
              </w:rPr>
            </w:pPr>
          </w:p>
        </w:tc>
        <w:tc>
          <w:tcPr>
            <w:tcW w:w="1260" w:type="dxa"/>
            <w:vAlign w:val="bottom"/>
            <w:tcBorders>
              <w:bottom w:val="single" w:sz="8" w:color="3E3935"/>
            </w:tcBorders>
          </w:tcPr>
          <w:p>
            <w:pPr>
              <w:jc w:val="right"/>
              <w:ind w:right="19"/>
              <w:spacing w:after="0"/>
              <w:rPr>
                <w:sz w:val="20"/>
                <w:szCs w:val="20"/>
                <w:color w:val="auto"/>
              </w:rPr>
            </w:pPr>
            <w:r>
              <w:rPr>
                <w:rFonts w:ascii="Arial" w:cs="Arial" w:eastAsia="Arial" w:hAnsi="Arial"/>
                <w:sz w:val="13"/>
                <w:szCs w:val="13"/>
                <w:color w:val="3E3935"/>
              </w:rPr>
              <w:t>226,467</w:t>
            </w:r>
            <w:r>
              <w:rPr>
                <w:rFonts w:ascii="Arial" w:cs="Arial" w:eastAsia="Arial" w:hAnsi="Arial"/>
                <w:sz w:val="18"/>
                <w:szCs w:val="18"/>
                <w:color w:val="3E3935"/>
                <w:vertAlign w:val="superscript"/>
              </w:rPr>
              <w:t>(7)(8)</w:t>
            </w:r>
          </w:p>
        </w:tc>
        <w:tc>
          <w:tcPr>
            <w:tcW w:w="1080" w:type="dxa"/>
            <w:vAlign w:val="bottom"/>
            <w:tcBorders>
              <w:bottom w:val="single" w:sz="8" w:color="3E3935"/>
            </w:tcBorders>
          </w:tcPr>
          <w:p>
            <w:pPr>
              <w:ind w:left="360"/>
              <w:spacing w:after="0"/>
              <w:rPr>
                <w:sz w:val="20"/>
                <w:szCs w:val="20"/>
                <w:color w:val="auto"/>
              </w:rPr>
            </w:pPr>
            <w:r>
              <w:rPr>
                <w:rFonts w:ascii="Arial" w:cs="Arial" w:eastAsia="Arial" w:hAnsi="Arial"/>
                <w:sz w:val="13"/>
                <w:szCs w:val="13"/>
                <w:color w:val="3E3935"/>
                <w:w w:val="96"/>
              </w:rPr>
              <w:t>7,618,350</w:t>
            </w:r>
            <w:r>
              <w:rPr>
                <w:rFonts w:ascii="Arial" w:cs="Arial" w:eastAsia="Arial" w:hAnsi="Arial"/>
                <w:sz w:val="18"/>
                <w:szCs w:val="18"/>
                <w:color w:val="3E3935"/>
                <w:w w:val="96"/>
                <w:vertAlign w:val="superscript"/>
              </w:rPr>
              <w:t>(8)</w:t>
            </w:r>
          </w:p>
        </w:tc>
        <w:tc>
          <w:tcPr>
            <w:tcW w:w="0" w:type="dxa"/>
            <w:vAlign w:val="bottom"/>
          </w:tcPr>
          <w:p>
            <w:pPr>
              <w:spacing w:after="0"/>
              <w:rPr>
                <w:sz w:val="1"/>
                <w:szCs w:val="1"/>
                <w:color w:val="auto"/>
              </w:rPr>
            </w:pPr>
          </w:p>
        </w:tc>
      </w:tr>
      <w:tr>
        <w:trPr>
          <w:trHeight w:val="250"/>
        </w:trPr>
        <w:tc>
          <w:tcPr>
            <w:tcW w:w="2000" w:type="dxa"/>
            <w:vAlign w:val="bottom"/>
            <w:tcBorders>
              <w:bottom w:val="single" w:sz="8" w:color="3E3935"/>
            </w:tcBorders>
          </w:tcPr>
          <w:p>
            <w:pPr>
              <w:spacing w:after="0"/>
              <w:rPr>
                <w:sz w:val="21"/>
                <w:szCs w:val="21"/>
                <w:color w:val="auto"/>
              </w:rPr>
            </w:pPr>
          </w:p>
        </w:tc>
        <w:tc>
          <w:tcPr>
            <w:tcW w:w="900" w:type="dxa"/>
            <w:vAlign w:val="bottom"/>
            <w:tcBorders>
              <w:bottom w:val="single" w:sz="8" w:color="3E3935"/>
            </w:tcBorders>
            <w:gridSpan w:val="2"/>
          </w:tcPr>
          <w:p>
            <w:pPr>
              <w:jc w:val="right"/>
              <w:ind w:right="37"/>
              <w:spacing w:after="0"/>
              <w:rPr>
                <w:sz w:val="20"/>
                <w:szCs w:val="20"/>
                <w:color w:val="auto"/>
              </w:rPr>
            </w:pPr>
            <w:r>
              <w:rPr>
                <w:rFonts w:ascii="Arial" w:cs="Arial" w:eastAsia="Arial" w:hAnsi="Arial"/>
                <w:sz w:val="13"/>
                <w:szCs w:val="13"/>
                <w:color w:val="3E3935"/>
              </w:rPr>
              <w:t>2/12/2020</w:t>
            </w:r>
          </w:p>
        </w:tc>
        <w:tc>
          <w:tcPr>
            <w:tcW w:w="940" w:type="dxa"/>
            <w:vAlign w:val="bottom"/>
            <w:tcBorders>
              <w:bottom w:val="single" w:sz="8" w:color="3E3935"/>
            </w:tcBorders>
          </w:tcPr>
          <w:p>
            <w:pPr>
              <w:jc w:val="right"/>
              <w:ind w:right="17"/>
              <w:spacing w:after="0"/>
              <w:rPr>
                <w:sz w:val="20"/>
                <w:szCs w:val="20"/>
                <w:color w:val="auto"/>
              </w:rPr>
            </w:pPr>
            <w:r>
              <w:rPr>
                <w:rFonts w:ascii="Arial" w:cs="Arial" w:eastAsia="Arial" w:hAnsi="Arial"/>
                <w:sz w:val="13"/>
                <w:szCs w:val="13"/>
                <w:color w:val="3E3935"/>
              </w:rPr>
              <w:t>496,032</w:t>
            </w:r>
          </w:p>
        </w:tc>
        <w:tc>
          <w:tcPr>
            <w:tcW w:w="1240" w:type="dxa"/>
            <w:vAlign w:val="bottom"/>
            <w:tcBorders>
              <w:bottom w:val="single" w:sz="8" w:color="3E3935"/>
            </w:tcBorders>
          </w:tcPr>
          <w:p>
            <w:pPr>
              <w:jc w:val="right"/>
              <w:ind w:right="57"/>
              <w:spacing w:after="0"/>
              <w:rPr>
                <w:sz w:val="20"/>
                <w:szCs w:val="20"/>
                <w:color w:val="auto"/>
              </w:rPr>
            </w:pPr>
            <w:r>
              <w:rPr>
                <w:rFonts w:ascii="Arial" w:cs="Arial" w:eastAsia="Arial" w:hAnsi="Arial"/>
                <w:sz w:val="13"/>
                <w:szCs w:val="13"/>
                <w:color w:val="3E3935"/>
              </w:rPr>
              <w:t>248,016</w:t>
            </w:r>
            <w:r>
              <w:rPr>
                <w:rFonts w:ascii="Arial" w:cs="Arial" w:eastAsia="Arial" w:hAnsi="Arial"/>
                <w:sz w:val="18"/>
                <w:szCs w:val="18"/>
                <w:color w:val="3E3935"/>
                <w:vertAlign w:val="superscript"/>
              </w:rPr>
              <w:t>(4)</w:t>
            </w:r>
          </w:p>
        </w:tc>
        <w:tc>
          <w:tcPr>
            <w:tcW w:w="740" w:type="dxa"/>
            <w:vAlign w:val="bottom"/>
            <w:tcBorders>
              <w:bottom w:val="single" w:sz="8" w:color="3E3935"/>
            </w:tcBorders>
          </w:tcPr>
          <w:p>
            <w:pPr>
              <w:jc w:val="right"/>
              <w:ind w:right="57"/>
              <w:spacing w:after="0"/>
              <w:rPr>
                <w:sz w:val="20"/>
                <w:szCs w:val="20"/>
                <w:color w:val="auto"/>
              </w:rPr>
            </w:pPr>
            <w:r>
              <w:rPr>
                <w:rFonts w:ascii="Arial" w:cs="Arial" w:eastAsia="Arial" w:hAnsi="Arial"/>
                <w:sz w:val="13"/>
                <w:szCs w:val="13"/>
                <w:color w:val="3E3935"/>
              </w:rPr>
              <w:t>35.49</w:t>
            </w:r>
          </w:p>
        </w:tc>
        <w:tc>
          <w:tcPr>
            <w:tcW w:w="780" w:type="dxa"/>
            <w:vAlign w:val="bottom"/>
            <w:tcBorders>
              <w:bottom w:val="single" w:sz="8" w:color="3E3935"/>
            </w:tcBorders>
          </w:tcPr>
          <w:p>
            <w:pPr>
              <w:jc w:val="right"/>
              <w:spacing w:after="0"/>
              <w:rPr>
                <w:sz w:val="20"/>
                <w:szCs w:val="20"/>
                <w:color w:val="auto"/>
              </w:rPr>
            </w:pPr>
            <w:r>
              <w:rPr>
                <w:rFonts w:ascii="Arial" w:cs="Arial" w:eastAsia="Arial" w:hAnsi="Arial"/>
                <w:sz w:val="13"/>
                <w:szCs w:val="13"/>
                <w:color w:val="3E3935"/>
              </w:rPr>
              <w:t>2/12/2030</w:t>
            </w:r>
          </w:p>
        </w:tc>
        <w:tc>
          <w:tcPr>
            <w:tcW w:w="180" w:type="dxa"/>
            <w:vAlign w:val="bottom"/>
            <w:tcBorders>
              <w:bottom w:val="single" w:sz="8" w:color="3E3935"/>
            </w:tcBorders>
          </w:tcPr>
          <w:p>
            <w:pPr>
              <w:spacing w:after="0"/>
              <w:rPr>
                <w:sz w:val="21"/>
                <w:szCs w:val="21"/>
                <w:color w:val="auto"/>
              </w:rPr>
            </w:pPr>
          </w:p>
        </w:tc>
        <w:tc>
          <w:tcPr>
            <w:tcW w:w="1000" w:type="dxa"/>
            <w:vAlign w:val="bottom"/>
            <w:tcBorders>
              <w:bottom w:val="single" w:sz="8" w:color="3E3935"/>
            </w:tcBorders>
          </w:tcPr>
          <w:p>
            <w:pPr>
              <w:jc w:val="right"/>
              <w:ind w:right="157"/>
              <w:spacing w:after="0"/>
              <w:rPr>
                <w:sz w:val="20"/>
                <w:szCs w:val="20"/>
                <w:color w:val="auto"/>
              </w:rPr>
            </w:pPr>
            <w:r>
              <w:rPr>
                <w:rFonts w:ascii="Arial" w:cs="Arial" w:eastAsia="Arial" w:hAnsi="Arial"/>
                <w:sz w:val="13"/>
                <w:szCs w:val="13"/>
                <w:color w:val="3E3935"/>
              </w:rPr>
              <w:t>440,618</w:t>
            </w:r>
            <w:r>
              <w:rPr>
                <w:rFonts w:ascii="Arial" w:cs="Arial" w:eastAsia="Arial" w:hAnsi="Arial"/>
                <w:sz w:val="18"/>
                <w:szCs w:val="18"/>
                <w:color w:val="3E3935"/>
                <w:vertAlign w:val="superscript"/>
              </w:rPr>
              <w:t>(5)</w:t>
            </w:r>
          </w:p>
        </w:tc>
        <w:tc>
          <w:tcPr>
            <w:tcW w:w="900" w:type="dxa"/>
            <w:vAlign w:val="bottom"/>
            <w:tcBorders>
              <w:bottom w:val="single" w:sz="8" w:color="3E3935"/>
            </w:tcBorders>
          </w:tcPr>
          <w:p>
            <w:pPr>
              <w:jc w:val="right"/>
              <w:ind w:right="57"/>
              <w:spacing w:after="0"/>
              <w:rPr>
                <w:sz w:val="20"/>
                <w:szCs w:val="20"/>
                <w:color w:val="auto"/>
              </w:rPr>
            </w:pPr>
            <w:r>
              <w:rPr>
                <w:rFonts w:ascii="Arial" w:cs="Arial" w:eastAsia="Arial" w:hAnsi="Arial"/>
                <w:sz w:val="13"/>
                <w:szCs w:val="13"/>
                <w:color w:val="3E3935"/>
              </w:rPr>
              <w:t>14,822,390</w:t>
            </w:r>
          </w:p>
        </w:tc>
        <w:tc>
          <w:tcPr>
            <w:tcW w:w="1260" w:type="dxa"/>
            <w:vAlign w:val="bottom"/>
            <w:tcBorders>
              <w:bottom w:val="single" w:sz="8" w:color="3E3935"/>
            </w:tcBorders>
          </w:tcPr>
          <w:p>
            <w:pPr>
              <w:spacing w:after="0"/>
              <w:rPr>
                <w:sz w:val="21"/>
                <w:szCs w:val="21"/>
                <w:color w:val="auto"/>
              </w:rPr>
            </w:pPr>
          </w:p>
        </w:tc>
        <w:tc>
          <w:tcPr>
            <w:tcW w:w="1080" w:type="dxa"/>
            <w:vAlign w:val="bottom"/>
            <w:tcBorders>
              <w:bottom w:val="single" w:sz="8" w:color="3E3935"/>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000" w:type="dxa"/>
            <w:vAlign w:val="bottom"/>
          </w:tcPr>
          <w:p>
            <w:pPr>
              <w:ind w:left="60"/>
              <w:spacing w:after="0"/>
              <w:rPr>
                <w:sz w:val="20"/>
                <w:szCs w:val="20"/>
                <w:color w:val="auto"/>
              </w:rPr>
            </w:pPr>
            <w:r>
              <w:rPr>
                <w:rFonts w:ascii="Arial" w:cs="Arial" w:eastAsia="Arial" w:hAnsi="Arial"/>
                <w:sz w:val="13"/>
                <w:szCs w:val="13"/>
                <w:color w:val="3E3935"/>
              </w:rPr>
              <w:t>Paul A. Jacobson</w:t>
            </w:r>
          </w:p>
        </w:tc>
        <w:tc>
          <w:tcPr>
            <w:tcW w:w="900" w:type="dxa"/>
            <w:vAlign w:val="bottom"/>
            <w:tcBorders>
              <w:bottom w:val="single" w:sz="8" w:color="3E3935"/>
            </w:tcBorders>
            <w:gridSpan w:val="2"/>
          </w:tcPr>
          <w:p>
            <w:pPr>
              <w:jc w:val="right"/>
              <w:ind w:right="37"/>
              <w:spacing w:after="0"/>
              <w:rPr>
                <w:sz w:val="20"/>
                <w:szCs w:val="20"/>
                <w:color w:val="auto"/>
              </w:rPr>
            </w:pPr>
            <w:r>
              <w:rPr>
                <w:rFonts w:ascii="Arial" w:cs="Arial" w:eastAsia="Arial" w:hAnsi="Arial"/>
                <w:sz w:val="13"/>
                <w:szCs w:val="13"/>
                <w:color w:val="3E3935"/>
              </w:rPr>
              <w:t>2/8/2022</w:t>
            </w:r>
          </w:p>
        </w:tc>
        <w:tc>
          <w:tcPr>
            <w:tcW w:w="940" w:type="dxa"/>
            <w:vAlign w:val="bottom"/>
            <w:tcBorders>
              <w:bottom w:val="single" w:sz="8" w:color="3E3935"/>
            </w:tcBorders>
          </w:tcPr>
          <w:p>
            <w:pPr>
              <w:jc w:val="right"/>
              <w:ind w:right="17"/>
              <w:spacing w:after="0"/>
              <w:rPr>
                <w:sz w:val="20"/>
                <w:szCs w:val="20"/>
                <w:color w:val="auto"/>
              </w:rPr>
            </w:pPr>
            <w:r>
              <w:rPr>
                <w:rFonts w:ascii="Arial" w:cs="Arial" w:eastAsia="Arial" w:hAnsi="Arial"/>
                <w:sz w:val="13"/>
                <w:szCs w:val="13"/>
                <w:color w:val="3E3935"/>
              </w:rPr>
              <w:t>—</w:t>
            </w:r>
          </w:p>
        </w:tc>
        <w:tc>
          <w:tcPr>
            <w:tcW w:w="1240" w:type="dxa"/>
            <w:vAlign w:val="bottom"/>
            <w:tcBorders>
              <w:bottom w:val="single" w:sz="8" w:color="3E3935"/>
            </w:tcBorders>
          </w:tcPr>
          <w:p>
            <w:pPr>
              <w:jc w:val="right"/>
              <w:ind w:right="57"/>
              <w:spacing w:after="0"/>
              <w:rPr>
                <w:sz w:val="20"/>
                <w:szCs w:val="20"/>
                <w:color w:val="auto"/>
              </w:rPr>
            </w:pPr>
            <w:r>
              <w:rPr>
                <w:rFonts w:ascii="Arial" w:cs="Arial" w:eastAsia="Arial" w:hAnsi="Arial"/>
                <w:sz w:val="13"/>
                <w:szCs w:val="13"/>
                <w:color w:val="3E3935"/>
              </w:rPr>
              <w:t>102,027</w:t>
            </w:r>
            <w:r>
              <w:rPr>
                <w:rFonts w:ascii="Arial" w:cs="Arial" w:eastAsia="Arial" w:hAnsi="Arial"/>
                <w:sz w:val="18"/>
                <w:szCs w:val="18"/>
                <w:color w:val="3E3935"/>
                <w:vertAlign w:val="superscript"/>
              </w:rPr>
              <w:t>(2)</w:t>
            </w:r>
          </w:p>
        </w:tc>
        <w:tc>
          <w:tcPr>
            <w:tcW w:w="740" w:type="dxa"/>
            <w:vAlign w:val="bottom"/>
            <w:tcBorders>
              <w:bottom w:val="single" w:sz="8" w:color="3E3935"/>
            </w:tcBorders>
          </w:tcPr>
          <w:p>
            <w:pPr>
              <w:jc w:val="right"/>
              <w:ind w:right="57"/>
              <w:spacing w:after="0"/>
              <w:rPr>
                <w:sz w:val="20"/>
                <w:szCs w:val="20"/>
                <w:color w:val="auto"/>
              </w:rPr>
            </w:pPr>
            <w:r>
              <w:rPr>
                <w:rFonts w:ascii="Arial" w:cs="Arial" w:eastAsia="Arial" w:hAnsi="Arial"/>
                <w:sz w:val="13"/>
                <w:szCs w:val="13"/>
                <w:color w:val="3E3935"/>
              </w:rPr>
              <w:t>49.46</w:t>
            </w:r>
          </w:p>
        </w:tc>
        <w:tc>
          <w:tcPr>
            <w:tcW w:w="780" w:type="dxa"/>
            <w:vAlign w:val="bottom"/>
            <w:tcBorders>
              <w:bottom w:val="single" w:sz="8" w:color="3E3935"/>
            </w:tcBorders>
          </w:tcPr>
          <w:p>
            <w:pPr>
              <w:jc w:val="right"/>
              <w:spacing w:after="0"/>
              <w:rPr>
                <w:sz w:val="20"/>
                <w:szCs w:val="20"/>
                <w:color w:val="auto"/>
              </w:rPr>
            </w:pPr>
            <w:r>
              <w:rPr>
                <w:rFonts w:ascii="Arial" w:cs="Arial" w:eastAsia="Arial" w:hAnsi="Arial"/>
                <w:sz w:val="13"/>
                <w:szCs w:val="13"/>
                <w:color w:val="3E3935"/>
              </w:rPr>
              <w:t>2/8/2032</w:t>
            </w:r>
          </w:p>
        </w:tc>
        <w:tc>
          <w:tcPr>
            <w:tcW w:w="180" w:type="dxa"/>
            <w:vAlign w:val="bottom"/>
            <w:tcBorders>
              <w:bottom w:val="single" w:sz="8" w:color="3E3935"/>
            </w:tcBorders>
          </w:tcPr>
          <w:p>
            <w:pPr>
              <w:spacing w:after="0"/>
              <w:rPr>
                <w:sz w:val="21"/>
                <w:szCs w:val="21"/>
                <w:color w:val="auto"/>
              </w:rPr>
            </w:pPr>
          </w:p>
        </w:tc>
        <w:tc>
          <w:tcPr>
            <w:tcW w:w="1000" w:type="dxa"/>
            <w:vAlign w:val="bottom"/>
            <w:tcBorders>
              <w:bottom w:val="single" w:sz="8" w:color="3E3935"/>
            </w:tcBorders>
          </w:tcPr>
          <w:p>
            <w:pPr>
              <w:spacing w:after="0"/>
              <w:rPr>
                <w:sz w:val="21"/>
                <w:szCs w:val="21"/>
                <w:color w:val="auto"/>
              </w:rPr>
            </w:pPr>
          </w:p>
        </w:tc>
        <w:tc>
          <w:tcPr>
            <w:tcW w:w="900" w:type="dxa"/>
            <w:vAlign w:val="bottom"/>
            <w:tcBorders>
              <w:bottom w:val="single" w:sz="8" w:color="3E3935"/>
            </w:tcBorders>
          </w:tcPr>
          <w:p>
            <w:pPr>
              <w:spacing w:after="0"/>
              <w:rPr>
                <w:sz w:val="21"/>
                <w:szCs w:val="21"/>
                <w:color w:val="auto"/>
              </w:rPr>
            </w:pPr>
          </w:p>
        </w:tc>
        <w:tc>
          <w:tcPr>
            <w:tcW w:w="1260" w:type="dxa"/>
            <w:vAlign w:val="bottom"/>
            <w:tcBorders>
              <w:bottom w:val="single" w:sz="8" w:color="3E3935"/>
            </w:tcBorders>
          </w:tcPr>
          <w:p>
            <w:pPr>
              <w:jc w:val="right"/>
              <w:ind w:right="19"/>
              <w:spacing w:after="0"/>
              <w:rPr>
                <w:sz w:val="20"/>
                <w:szCs w:val="20"/>
                <w:color w:val="auto"/>
              </w:rPr>
            </w:pPr>
            <w:r>
              <w:rPr>
                <w:rFonts w:ascii="Arial" w:cs="Arial" w:eastAsia="Arial" w:hAnsi="Arial"/>
                <w:sz w:val="13"/>
                <w:szCs w:val="13"/>
                <w:color w:val="3E3935"/>
              </w:rPr>
              <w:t>105,207</w:t>
            </w:r>
            <w:r>
              <w:rPr>
                <w:rFonts w:ascii="Arial" w:cs="Arial" w:eastAsia="Arial" w:hAnsi="Arial"/>
                <w:sz w:val="18"/>
                <w:szCs w:val="18"/>
                <w:color w:val="3E3935"/>
                <w:vertAlign w:val="superscript"/>
              </w:rPr>
              <w:t>(7)(8)</w:t>
            </w:r>
          </w:p>
        </w:tc>
        <w:tc>
          <w:tcPr>
            <w:tcW w:w="1080" w:type="dxa"/>
            <w:vAlign w:val="bottom"/>
            <w:tcBorders>
              <w:bottom w:val="single" w:sz="8" w:color="3E3935"/>
            </w:tcBorders>
          </w:tcPr>
          <w:p>
            <w:pPr>
              <w:ind w:left="360"/>
              <w:spacing w:after="0"/>
              <w:rPr>
                <w:sz w:val="20"/>
                <w:szCs w:val="20"/>
                <w:color w:val="auto"/>
              </w:rPr>
            </w:pPr>
            <w:r>
              <w:rPr>
                <w:rFonts w:ascii="Arial" w:cs="Arial" w:eastAsia="Arial" w:hAnsi="Arial"/>
                <w:sz w:val="13"/>
                <w:szCs w:val="13"/>
                <w:color w:val="3E3935"/>
                <w:w w:val="96"/>
              </w:rPr>
              <w:t>3,539,163</w:t>
            </w:r>
            <w:r>
              <w:rPr>
                <w:rFonts w:ascii="Arial" w:cs="Arial" w:eastAsia="Arial" w:hAnsi="Arial"/>
                <w:sz w:val="18"/>
                <w:szCs w:val="18"/>
                <w:color w:val="3E3935"/>
                <w:w w:val="96"/>
                <w:vertAlign w:val="superscript"/>
              </w:rPr>
              <w:t>(8)</w:t>
            </w:r>
          </w:p>
        </w:tc>
        <w:tc>
          <w:tcPr>
            <w:tcW w:w="0" w:type="dxa"/>
            <w:vAlign w:val="bottom"/>
          </w:tcPr>
          <w:p>
            <w:pPr>
              <w:spacing w:after="0"/>
              <w:rPr>
                <w:sz w:val="1"/>
                <w:szCs w:val="1"/>
                <w:color w:val="auto"/>
              </w:rPr>
            </w:pPr>
          </w:p>
        </w:tc>
      </w:tr>
      <w:tr>
        <w:trPr>
          <w:trHeight w:val="250"/>
        </w:trPr>
        <w:tc>
          <w:tcPr>
            <w:tcW w:w="2000" w:type="dxa"/>
            <w:vAlign w:val="bottom"/>
          </w:tcPr>
          <w:p>
            <w:pPr>
              <w:spacing w:after="0"/>
              <w:rPr>
                <w:sz w:val="21"/>
                <w:szCs w:val="21"/>
                <w:color w:val="auto"/>
              </w:rPr>
            </w:pPr>
          </w:p>
        </w:tc>
        <w:tc>
          <w:tcPr>
            <w:tcW w:w="900" w:type="dxa"/>
            <w:vAlign w:val="bottom"/>
            <w:tcBorders>
              <w:bottom w:val="single" w:sz="8" w:color="3E3935"/>
            </w:tcBorders>
            <w:gridSpan w:val="2"/>
          </w:tcPr>
          <w:p>
            <w:pPr>
              <w:jc w:val="right"/>
              <w:ind w:right="37"/>
              <w:spacing w:after="0"/>
              <w:rPr>
                <w:sz w:val="20"/>
                <w:szCs w:val="20"/>
                <w:color w:val="auto"/>
              </w:rPr>
            </w:pPr>
            <w:r>
              <w:rPr>
                <w:rFonts w:ascii="Arial" w:cs="Arial" w:eastAsia="Arial" w:hAnsi="Arial"/>
                <w:sz w:val="13"/>
                <w:szCs w:val="13"/>
                <w:color w:val="3E3935"/>
              </w:rPr>
              <w:t>2/18/2021</w:t>
            </w:r>
          </w:p>
        </w:tc>
        <w:tc>
          <w:tcPr>
            <w:tcW w:w="940" w:type="dxa"/>
            <w:vAlign w:val="bottom"/>
            <w:tcBorders>
              <w:bottom w:val="single" w:sz="8" w:color="3E3935"/>
            </w:tcBorders>
          </w:tcPr>
          <w:p>
            <w:pPr>
              <w:jc w:val="right"/>
              <w:ind w:right="17"/>
              <w:spacing w:after="0"/>
              <w:rPr>
                <w:sz w:val="20"/>
                <w:szCs w:val="20"/>
                <w:color w:val="auto"/>
              </w:rPr>
            </w:pPr>
            <w:r>
              <w:rPr>
                <w:rFonts w:ascii="Arial" w:cs="Arial" w:eastAsia="Arial" w:hAnsi="Arial"/>
                <w:sz w:val="13"/>
                <w:szCs w:val="13"/>
                <w:color w:val="3E3935"/>
              </w:rPr>
              <w:t>21,627</w:t>
            </w:r>
          </w:p>
        </w:tc>
        <w:tc>
          <w:tcPr>
            <w:tcW w:w="1240" w:type="dxa"/>
            <w:vAlign w:val="bottom"/>
            <w:tcBorders>
              <w:bottom w:val="single" w:sz="8" w:color="3E3935"/>
            </w:tcBorders>
          </w:tcPr>
          <w:p>
            <w:pPr>
              <w:jc w:val="right"/>
              <w:ind w:right="57"/>
              <w:spacing w:after="0"/>
              <w:rPr>
                <w:sz w:val="20"/>
                <w:szCs w:val="20"/>
                <w:color w:val="auto"/>
              </w:rPr>
            </w:pPr>
            <w:r>
              <w:rPr>
                <w:rFonts w:ascii="Arial" w:cs="Arial" w:eastAsia="Arial" w:hAnsi="Arial"/>
                <w:sz w:val="13"/>
                <w:szCs w:val="13"/>
                <w:color w:val="3E3935"/>
              </w:rPr>
              <w:t>43,252</w:t>
            </w:r>
            <w:r>
              <w:rPr>
                <w:rFonts w:ascii="Arial" w:cs="Arial" w:eastAsia="Arial" w:hAnsi="Arial"/>
                <w:sz w:val="18"/>
                <w:szCs w:val="18"/>
                <w:color w:val="3E3935"/>
                <w:vertAlign w:val="superscript"/>
              </w:rPr>
              <w:t>(3)</w:t>
            </w:r>
          </w:p>
        </w:tc>
        <w:tc>
          <w:tcPr>
            <w:tcW w:w="740" w:type="dxa"/>
            <w:vAlign w:val="bottom"/>
            <w:tcBorders>
              <w:bottom w:val="single" w:sz="8" w:color="3E3935"/>
            </w:tcBorders>
          </w:tcPr>
          <w:p>
            <w:pPr>
              <w:jc w:val="right"/>
              <w:ind w:right="57"/>
              <w:spacing w:after="0"/>
              <w:rPr>
                <w:sz w:val="20"/>
                <w:szCs w:val="20"/>
                <w:color w:val="auto"/>
              </w:rPr>
            </w:pPr>
            <w:r>
              <w:rPr>
                <w:rFonts w:ascii="Arial" w:cs="Arial" w:eastAsia="Arial" w:hAnsi="Arial"/>
                <w:sz w:val="13"/>
                <w:szCs w:val="13"/>
                <w:color w:val="3E3935"/>
              </w:rPr>
              <w:t>52.16</w:t>
            </w:r>
          </w:p>
        </w:tc>
        <w:tc>
          <w:tcPr>
            <w:tcW w:w="780" w:type="dxa"/>
            <w:vAlign w:val="bottom"/>
            <w:tcBorders>
              <w:bottom w:val="single" w:sz="8" w:color="3E3935"/>
            </w:tcBorders>
          </w:tcPr>
          <w:p>
            <w:pPr>
              <w:jc w:val="right"/>
              <w:spacing w:after="0"/>
              <w:rPr>
                <w:sz w:val="20"/>
                <w:szCs w:val="20"/>
                <w:color w:val="auto"/>
              </w:rPr>
            </w:pPr>
            <w:r>
              <w:rPr>
                <w:rFonts w:ascii="Arial" w:cs="Arial" w:eastAsia="Arial" w:hAnsi="Arial"/>
                <w:sz w:val="13"/>
                <w:szCs w:val="13"/>
                <w:color w:val="3E3935"/>
              </w:rPr>
              <w:t>2/18/2031</w:t>
            </w:r>
          </w:p>
        </w:tc>
        <w:tc>
          <w:tcPr>
            <w:tcW w:w="180" w:type="dxa"/>
            <w:vAlign w:val="bottom"/>
            <w:tcBorders>
              <w:bottom w:val="single" w:sz="8" w:color="3E3935"/>
            </w:tcBorders>
          </w:tcPr>
          <w:p>
            <w:pPr>
              <w:spacing w:after="0"/>
              <w:rPr>
                <w:sz w:val="21"/>
                <w:szCs w:val="21"/>
                <w:color w:val="auto"/>
              </w:rPr>
            </w:pPr>
          </w:p>
        </w:tc>
        <w:tc>
          <w:tcPr>
            <w:tcW w:w="1000" w:type="dxa"/>
            <w:vAlign w:val="bottom"/>
            <w:tcBorders>
              <w:bottom w:val="single" w:sz="8" w:color="3E3935"/>
            </w:tcBorders>
          </w:tcPr>
          <w:p>
            <w:pPr>
              <w:spacing w:after="0"/>
              <w:rPr>
                <w:sz w:val="21"/>
                <w:szCs w:val="21"/>
                <w:color w:val="auto"/>
              </w:rPr>
            </w:pPr>
          </w:p>
        </w:tc>
        <w:tc>
          <w:tcPr>
            <w:tcW w:w="900" w:type="dxa"/>
            <w:vAlign w:val="bottom"/>
            <w:tcBorders>
              <w:bottom w:val="single" w:sz="8" w:color="3E3935"/>
            </w:tcBorders>
          </w:tcPr>
          <w:p>
            <w:pPr>
              <w:spacing w:after="0"/>
              <w:rPr>
                <w:sz w:val="21"/>
                <w:szCs w:val="21"/>
                <w:color w:val="auto"/>
              </w:rPr>
            </w:pPr>
          </w:p>
        </w:tc>
        <w:tc>
          <w:tcPr>
            <w:tcW w:w="1260" w:type="dxa"/>
            <w:vAlign w:val="bottom"/>
            <w:tcBorders>
              <w:bottom w:val="single" w:sz="8" w:color="3E3935"/>
            </w:tcBorders>
          </w:tcPr>
          <w:p>
            <w:pPr>
              <w:jc w:val="right"/>
              <w:ind w:right="19"/>
              <w:spacing w:after="0"/>
              <w:rPr>
                <w:sz w:val="20"/>
                <w:szCs w:val="20"/>
                <w:color w:val="auto"/>
              </w:rPr>
            </w:pPr>
            <w:r>
              <w:rPr>
                <w:rFonts w:ascii="Arial" w:cs="Arial" w:eastAsia="Arial" w:hAnsi="Arial"/>
                <w:sz w:val="13"/>
                <w:szCs w:val="13"/>
                <w:color w:val="3E3935"/>
              </w:rPr>
              <w:t>75,489</w:t>
            </w:r>
            <w:r>
              <w:rPr>
                <w:rFonts w:ascii="Arial" w:cs="Arial" w:eastAsia="Arial" w:hAnsi="Arial"/>
                <w:sz w:val="18"/>
                <w:szCs w:val="18"/>
                <w:color w:val="3E3935"/>
                <w:vertAlign w:val="superscript"/>
              </w:rPr>
              <w:t>(7)(8)</w:t>
            </w:r>
          </w:p>
        </w:tc>
        <w:tc>
          <w:tcPr>
            <w:tcW w:w="1080" w:type="dxa"/>
            <w:vAlign w:val="bottom"/>
            <w:tcBorders>
              <w:bottom w:val="single" w:sz="8" w:color="3E3935"/>
            </w:tcBorders>
          </w:tcPr>
          <w:p>
            <w:pPr>
              <w:ind w:left="360"/>
              <w:spacing w:after="0"/>
              <w:rPr>
                <w:sz w:val="20"/>
                <w:szCs w:val="20"/>
                <w:color w:val="auto"/>
              </w:rPr>
            </w:pPr>
            <w:r>
              <w:rPr>
                <w:rFonts w:ascii="Arial" w:cs="Arial" w:eastAsia="Arial" w:hAnsi="Arial"/>
                <w:sz w:val="13"/>
                <w:szCs w:val="13"/>
                <w:color w:val="3E3935"/>
                <w:w w:val="96"/>
              </w:rPr>
              <w:t>2,539,450</w:t>
            </w:r>
            <w:r>
              <w:rPr>
                <w:rFonts w:ascii="Arial" w:cs="Arial" w:eastAsia="Arial" w:hAnsi="Arial"/>
                <w:sz w:val="18"/>
                <w:szCs w:val="18"/>
                <w:color w:val="3E3935"/>
                <w:w w:val="96"/>
                <w:vertAlign w:val="superscript"/>
              </w:rPr>
              <w:t>(8)</w:t>
            </w:r>
          </w:p>
        </w:tc>
        <w:tc>
          <w:tcPr>
            <w:tcW w:w="0" w:type="dxa"/>
            <w:vAlign w:val="bottom"/>
          </w:tcPr>
          <w:p>
            <w:pPr>
              <w:spacing w:after="0"/>
              <w:rPr>
                <w:sz w:val="1"/>
                <w:szCs w:val="1"/>
                <w:color w:val="auto"/>
              </w:rPr>
            </w:pPr>
          </w:p>
        </w:tc>
      </w:tr>
      <w:tr>
        <w:trPr>
          <w:trHeight w:val="250"/>
        </w:trPr>
        <w:tc>
          <w:tcPr>
            <w:tcW w:w="2000" w:type="dxa"/>
            <w:vAlign w:val="bottom"/>
            <w:tcBorders>
              <w:bottom w:val="single" w:sz="8" w:color="3E3935"/>
            </w:tcBorders>
          </w:tcPr>
          <w:p>
            <w:pPr>
              <w:spacing w:after="0"/>
              <w:rPr>
                <w:sz w:val="21"/>
                <w:szCs w:val="21"/>
                <w:color w:val="auto"/>
              </w:rPr>
            </w:pPr>
          </w:p>
        </w:tc>
        <w:tc>
          <w:tcPr>
            <w:tcW w:w="900" w:type="dxa"/>
            <w:vAlign w:val="bottom"/>
            <w:tcBorders>
              <w:bottom w:val="single" w:sz="8" w:color="3E3935"/>
            </w:tcBorders>
            <w:gridSpan w:val="2"/>
          </w:tcPr>
          <w:p>
            <w:pPr>
              <w:jc w:val="right"/>
              <w:ind w:right="37"/>
              <w:spacing w:after="0"/>
              <w:rPr>
                <w:sz w:val="20"/>
                <w:szCs w:val="20"/>
                <w:color w:val="auto"/>
              </w:rPr>
            </w:pPr>
            <w:r>
              <w:rPr>
                <w:rFonts w:ascii="Arial" w:cs="Arial" w:eastAsia="Arial" w:hAnsi="Arial"/>
                <w:sz w:val="13"/>
                <w:szCs w:val="13"/>
                <w:color w:val="3E3935"/>
              </w:rPr>
              <w:t>12/1/2020</w:t>
            </w:r>
          </w:p>
        </w:tc>
        <w:tc>
          <w:tcPr>
            <w:tcW w:w="940" w:type="dxa"/>
            <w:vAlign w:val="bottom"/>
            <w:tcBorders>
              <w:bottom w:val="single" w:sz="8" w:color="3E3935"/>
            </w:tcBorders>
          </w:tcPr>
          <w:p>
            <w:pPr>
              <w:jc w:val="right"/>
              <w:ind w:right="17"/>
              <w:spacing w:after="0"/>
              <w:rPr>
                <w:sz w:val="20"/>
                <w:szCs w:val="20"/>
                <w:color w:val="auto"/>
              </w:rPr>
            </w:pPr>
            <w:r>
              <w:rPr>
                <w:rFonts w:ascii="Arial" w:cs="Arial" w:eastAsia="Arial" w:hAnsi="Arial"/>
                <w:sz w:val="13"/>
                <w:szCs w:val="13"/>
                <w:color w:val="3E3935"/>
              </w:rPr>
              <w:t>25,307</w:t>
            </w:r>
          </w:p>
        </w:tc>
        <w:tc>
          <w:tcPr>
            <w:tcW w:w="1240" w:type="dxa"/>
            <w:vAlign w:val="bottom"/>
            <w:tcBorders>
              <w:bottom w:val="single" w:sz="8" w:color="3E3935"/>
            </w:tcBorders>
          </w:tcPr>
          <w:p>
            <w:pPr>
              <w:jc w:val="right"/>
              <w:ind w:right="57"/>
              <w:spacing w:after="0"/>
              <w:rPr>
                <w:sz w:val="20"/>
                <w:szCs w:val="20"/>
                <w:color w:val="auto"/>
              </w:rPr>
            </w:pPr>
            <w:r>
              <w:rPr>
                <w:rFonts w:ascii="Arial" w:cs="Arial" w:eastAsia="Arial" w:hAnsi="Arial"/>
                <w:sz w:val="13"/>
                <w:szCs w:val="13"/>
                <w:color w:val="3E3935"/>
              </w:rPr>
              <w:t>12,654</w:t>
            </w:r>
            <w:r>
              <w:rPr>
                <w:rFonts w:ascii="Arial" w:cs="Arial" w:eastAsia="Arial" w:hAnsi="Arial"/>
                <w:sz w:val="18"/>
                <w:szCs w:val="18"/>
                <w:color w:val="3E3935"/>
                <w:vertAlign w:val="superscript"/>
              </w:rPr>
              <w:t>(4)</w:t>
            </w:r>
          </w:p>
        </w:tc>
        <w:tc>
          <w:tcPr>
            <w:tcW w:w="740" w:type="dxa"/>
            <w:vAlign w:val="bottom"/>
            <w:tcBorders>
              <w:bottom w:val="single" w:sz="8" w:color="3E3935"/>
            </w:tcBorders>
          </w:tcPr>
          <w:p>
            <w:pPr>
              <w:jc w:val="right"/>
              <w:ind w:right="57"/>
              <w:spacing w:after="0"/>
              <w:rPr>
                <w:sz w:val="20"/>
                <w:szCs w:val="20"/>
                <w:color w:val="auto"/>
              </w:rPr>
            </w:pPr>
            <w:r>
              <w:rPr>
                <w:rFonts w:ascii="Arial" w:cs="Arial" w:eastAsia="Arial" w:hAnsi="Arial"/>
                <w:sz w:val="13"/>
                <w:szCs w:val="13"/>
                <w:color w:val="3E3935"/>
              </w:rPr>
              <w:t>44.68</w:t>
            </w:r>
          </w:p>
        </w:tc>
        <w:tc>
          <w:tcPr>
            <w:tcW w:w="780" w:type="dxa"/>
            <w:vAlign w:val="bottom"/>
            <w:tcBorders>
              <w:bottom w:val="single" w:sz="8" w:color="3E3935"/>
            </w:tcBorders>
          </w:tcPr>
          <w:p>
            <w:pPr>
              <w:jc w:val="right"/>
              <w:spacing w:after="0"/>
              <w:rPr>
                <w:sz w:val="20"/>
                <w:szCs w:val="20"/>
                <w:color w:val="auto"/>
              </w:rPr>
            </w:pPr>
            <w:r>
              <w:rPr>
                <w:rFonts w:ascii="Arial" w:cs="Arial" w:eastAsia="Arial" w:hAnsi="Arial"/>
                <w:sz w:val="13"/>
                <w:szCs w:val="13"/>
                <w:color w:val="3E3935"/>
              </w:rPr>
              <w:t>2/12/2030</w:t>
            </w:r>
          </w:p>
        </w:tc>
        <w:tc>
          <w:tcPr>
            <w:tcW w:w="180" w:type="dxa"/>
            <w:vAlign w:val="bottom"/>
            <w:tcBorders>
              <w:bottom w:val="single" w:sz="8" w:color="3E3935"/>
            </w:tcBorders>
          </w:tcPr>
          <w:p>
            <w:pPr>
              <w:spacing w:after="0"/>
              <w:rPr>
                <w:sz w:val="21"/>
                <w:szCs w:val="21"/>
                <w:color w:val="auto"/>
              </w:rPr>
            </w:pPr>
          </w:p>
        </w:tc>
        <w:tc>
          <w:tcPr>
            <w:tcW w:w="1000" w:type="dxa"/>
            <w:vAlign w:val="bottom"/>
            <w:tcBorders>
              <w:bottom w:val="single" w:sz="8" w:color="3E3935"/>
            </w:tcBorders>
          </w:tcPr>
          <w:p>
            <w:pPr>
              <w:jc w:val="right"/>
              <w:ind w:right="57"/>
              <w:spacing w:after="0"/>
              <w:rPr>
                <w:sz w:val="20"/>
                <w:szCs w:val="20"/>
                <w:color w:val="auto"/>
              </w:rPr>
            </w:pPr>
            <w:r>
              <w:rPr>
                <w:rFonts w:ascii="Arial" w:cs="Arial" w:eastAsia="Arial" w:hAnsi="Arial"/>
                <w:sz w:val="13"/>
                <w:szCs w:val="13"/>
                <w:color w:val="3E3935"/>
              </w:rPr>
              <w:t>76,976</w:t>
            </w:r>
            <w:r>
              <w:rPr>
                <w:rFonts w:ascii="Arial" w:cs="Arial" w:eastAsia="Arial" w:hAnsi="Arial"/>
                <w:sz w:val="18"/>
                <w:szCs w:val="18"/>
                <w:color w:val="3E3935"/>
                <w:vertAlign w:val="superscript"/>
              </w:rPr>
              <w:t>(5)(6)</w:t>
            </w:r>
          </w:p>
        </w:tc>
        <w:tc>
          <w:tcPr>
            <w:tcW w:w="900" w:type="dxa"/>
            <w:vAlign w:val="bottom"/>
            <w:tcBorders>
              <w:bottom w:val="single" w:sz="8" w:color="3E3935"/>
            </w:tcBorders>
          </w:tcPr>
          <w:p>
            <w:pPr>
              <w:jc w:val="right"/>
              <w:ind w:right="57"/>
              <w:spacing w:after="0"/>
              <w:rPr>
                <w:sz w:val="20"/>
                <w:szCs w:val="20"/>
                <w:color w:val="auto"/>
              </w:rPr>
            </w:pPr>
            <w:r>
              <w:rPr>
                <w:rFonts w:ascii="Arial" w:cs="Arial" w:eastAsia="Arial" w:hAnsi="Arial"/>
                <w:sz w:val="13"/>
                <w:szCs w:val="13"/>
                <w:color w:val="3E3935"/>
              </w:rPr>
              <w:t>2,589,473</w:t>
            </w:r>
          </w:p>
        </w:tc>
        <w:tc>
          <w:tcPr>
            <w:tcW w:w="1260" w:type="dxa"/>
            <w:vAlign w:val="bottom"/>
            <w:tcBorders>
              <w:bottom w:val="single" w:sz="8" w:color="3E3935"/>
            </w:tcBorders>
          </w:tcPr>
          <w:p>
            <w:pPr>
              <w:spacing w:after="0"/>
              <w:rPr>
                <w:sz w:val="21"/>
                <w:szCs w:val="21"/>
                <w:color w:val="auto"/>
              </w:rPr>
            </w:pPr>
          </w:p>
        </w:tc>
        <w:tc>
          <w:tcPr>
            <w:tcW w:w="1080" w:type="dxa"/>
            <w:vAlign w:val="bottom"/>
            <w:tcBorders>
              <w:bottom w:val="single" w:sz="8" w:color="3E3935"/>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000" w:type="dxa"/>
            <w:vAlign w:val="bottom"/>
          </w:tcPr>
          <w:p>
            <w:pPr>
              <w:ind w:left="60"/>
              <w:spacing w:after="0"/>
              <w:rPr>
                <w:sz w:val="20"/>
                <w:szCs w:val="20"/>
                <w:color w:val="auto"/>
              </w:rPr>
            </w:pPr>
            <w:r>
              <w:rPr>
                <w:rFonts w:ascii="Arial" w:cs="Arial" w:eastAsia="Arial" w:hAnsi="Arial"/>
                <w:sz w:val="13"/>
                <w:szCs w:val="13"/>
                <w:color w:val="3E3935"/>
              </w:rPr>
              <w:t>Mark L. Reuss</w:t>
            </w:r>
          </w:p>
        </w:tc>
        <w:tc>
          <w:tcPr>
            <w:tcW w:w="900" w:type="dxa"/>
            <w:vAlign w:val="bottom"/>
            <w:tcBorders>
              <w:bottom w:val="single" w:sz="8" w:color="3E3935"/>
            </w:tcBorders>
            <w:gridSpan w:val="2"/>
          </w:tcPr>
          <w:p>
            <w:pPr>
              <w:jc w:val="right"/>
              <w:ind w:right="37"/>
              <w:spacing w:after="0"/>
              <w:rPr>
                <w:sz w:val="20"/>
                <w:szCs w:val="20"/>
                <w:color w:val="auto"/>
              </w:rPr>
            </w:pPr>
            <w:r>
              <w:rPr>
                <w:rFonts w:ascii="Arial" w:cs="Arial" w:eastAsia="Arial" w:hAnsi="Arial"/>
                <w:sz w:val="13"/>
                <w:szCs w:val="13"/>
                <w:color w:val="3E3935"/>
              </w:rPr>
              <w:t>2/8/2022</w:t>
            </w:r>
          </w:p>
        </w:tc>
        <w:tc>
          <w:tcPr>
            <w:tcW w:w="940" w:type="dxa"/>
            <w:vAlign w:val="bottom"/>
            <w:tcBorders>
              <w:bottom w:val="single" w:sz="8" w:color="3E3935"/>
            </w:tcBorders>
          </w:tcPr>
          <w:p>
            <w:pPr>
              <w:jc w:val="right"/>
              <w:ind w:right="17"/>
              <w:spacing w:after="0"/>
              <w:rPr>
                <w:sz w:val="20"/>
                <w:szCs w:val="20"/>
                <w:color w:val="auto"/>
              </w:rPr>
            </w:pPr>
            <w:r>
              <w:rPr>
                <w:rFonts w:ascii="Arial" w:cs="Arial" w:eastAsia="Arial" w:hAnsi="Arial"/>
                <w:sz w:val="13"/>
                <w:szCs w:val="13"/>
                <w:color w:val="3E3935"/>
              </w:rPr>
              <w:t>—</w:t>
            </w:r>
          </w:p>
        </w:tc>
        <w:tc>
          <w:tcPr>
            <w:tcW w:w="1240" w:type="dxa"/>
            <w:vAlign w:val="bottom"/>
            <w:tcBorders>
              <w:bottom w:val="single" w:sz="8" w:color="3E3935"/>
            </w:tcBorders>
          </w:tcPr>
          <w:p>
            <w:pPr>
              <w:jc w:val="right"/>
              <w:ind w:right="57"/>
              <w:spacing w:after="0"/>
              <w:rPr>
                <w:sz w:val="20"/>
                <w:szCs w:val="20"/>
                <w:color w:val="auto"/>
              </w:rPr>
            </w:pPr>
            <w:r>
              <w:rPr>
                <w:rFonts w:ascii="Arial" w:cs="Arial" w:eastAsia="Arial" w:hAnsi="Arial"/>
                <w:sz w:val="13"/>
                <w:szCs w:val="13"/>
                <w:color w:val="3E3935"/>
              </w:rPr>
              <w:t>142,159</w:t>
            </w:r>
            <w:r>
              <w:rPr>
                <w:rFonts w:ascii="Arial" w:cs="Arial" w:eastAsia="Arial" w:hAnsi="Arial"/>
                <w:sz w:val="18"/>
                <w:szCs w:val="18"/>
                <w:color w:val="3E3935"/>
                <w:vertAlign w:val="superscript"/>
              </w:rPr>
              <w:t>(2)</w:t>
            </w:r>
          </w:p>
        </w:tc>
        <w:tc>
          <w:tcPr>
            <w:tcW w:w="740" w:type="dxa"/>
            <w:vAlign w:val="bottom"/>
            <w:tcBorders>
              <w:bottom w:val="single" w:sz="8" w:color="3E3935"/>
            </w:tcBorders>
          </w:tcPr>
          <w:p>
            <w:pPr>
              <w:jc w:val="right"/>
              <w:ind w:right="57"/>
              <w:spacing w:after="0"/>
              <w:rPr>
                <w:sz w:val="20"/>
                <w:szCs w:val="20"/>
                <w:color w:val="auto"/>
              </w:rPr>
            </w:pPr>
            <w:r>
              <w:rPr>
                <w:rFonts w:ascii="Arial" w:cs="Arial" w:eastAsia="Arial" w:hAnsi="Arial"/>
                <w:sz w:val="13"/>
                <w:szCs w:val="13"/>
                <w:color w:val="3E3935"/>
              </w:rPr>
              <w:t>49.46</w:t>
            </w:r>
          </w:p>
        </w:tc>
        <w:tc>
          <w:tcPr>
            <w:tcW w:w="780" w:type="dxa"/>
            <w:vAlign w:val="bottom"/>
            <w:tcBorders>
              <w:bottom w:val="single" w:sz="8" w:color="3E3935"/>
            </w:tcBorders>
          </w:tcPr>
          <w:p>
            <w:pPr>
              <w:jc w:val="right"/>
              <w:spacing w:after="0"/>
              <w:rPr>
                <w:sz w:val="20"/>
                <w:szCs w:val="20"/>
                <w:color w:val="auto"/>
              </w:rPr>
            </w:pPr>
            <w:r>
              <w:rPr>
                <w:rFonts w:ascii="Arial" w:cs="Arial" w:eastAsia="Arial" w:hAnsi="Arial"/>
                <w:sz w:val="13"/>
                <w:szCs w:val="13"/>
                <w:color w:val="3E3935"/>
              </w:rPr>
              <w:t>2/8/2032</w:t>
            </w:r>
          </w:p>
        </w:tc>
        <w:tc>
          <w:tcPr>
            <w:tcW w:w="180" w:type="dxa"/>
            <w:vAlign w:val="bottom"/>
            <w:tcBorders>
              <w:bottom w:val="single" w:sz="8" w:color="3E3935"/>
            </w:tcBorders>
          </w:tcPr>
          <w:p>
            <w:pPr>
              <w:spacing w:after="0"/>
              <w:rPr>
                <w:sz w:val="21"/>
                <w:szCs w:val="21"/>
                <w:color w:val="auto"/>
              </w:rPr>
            </w:pPr>
          </w:p>
        </w:tc>
        <w:tc>
          <w:tcPr>
            <w:tcW w:w="1000" w:type="dxa"/>
            <w:vAlign w:val="bottom"/>
            <w:tcBorders>
              <w:bottom w:val="single" w:sz="8" w:color="3E3935"/>
            </w:tcBorders>
          </w:tcPr>
          <w:p>
            <w:pPr>
              <w:spacing w:after="0"/>
              <w:rPr>
                <w:sz w:val="21"/>
                <w:szCs w:val="21"/>
                <w:color w:val="auto"/>
              </w:rPr>
            </w:pPr>
          </w:p>
        </w:tc>
        <w:tc>
          <w:tcPr>
            <w:tcW w:w="900" w:type="dxa"/>
            <w:vAlign w:val="bottom"/>
            <w:tcBorders>
              <w:bottom w:val="single" w:sz="8" w:color="3E3935"/>
            </w:tcBorders>
          </w:tcPr>
          <w:p>
            <w:pPr>
              <w:spacing w:after="0"/>
              <w:rPr>
                <w:sz w:val="21"/>
                <w:szCs w:val="21"/>
                <w:color w:val="auto"/>
              </w:rPr>
            </w:pPr>
          </w:p>
        </w:tc>
        <w:tc>
          <w:tcPr>
            <w:tcW w:w="1260" w:type="dxa"/>
            <w:vAlign w:val="bottom"/>
            <w:tcBorders>
              <w:bottom w:val="single" w:sz="8" w:color="3E3935"/>
            </w:tcBorders>
          </w:tcPr>
          <w:p>
            <w:pPr>
              <w:jc w:val="right"/>
              <w:ind w:right="19"/>
              <w:spacing w:after="0"/>
              <w:rPr>
                <w:sz w:val="20"/>
                <w:szCs w:val="20"/>
                <w:color w:val="auto"/>
              </w:rPr>
            </w:pPr>
            <w:r>
              <w:rPr>
                <w:rFonts w:ascii="Arial" w:cs="Arial" w:eastAsia="Arial" w:hAnsi="Arial"/>
                <w:sz w:val="13"/>
                <w:szCs w:val="13"/>
                <w:color w:val="3E3935"/>
              </w:rPr>
              <w:t>146,590</w:t>
            </w:r>
            <w:r>
              <w:rPr>
                <w:rFonts w:ascii="Arial" w:cs="Arial" w:eastAsia="Arial" w:hAnsi="Arial"/>
                <w:sz w:val="18"/>
                <w:szCs w:val="18"/>
                <w:color w:val="3E3935"/>
                <w:vertAlign w:val="superscript"/>
              </w:rPr>
              <w:t>(7)(8)</w:t>
            </w:r>
          </w:p>
        </w:tc>
        <w:tc>
          <w:tcPr>
            <w:tcW w:w="1080" w:type="dxa"/>
            <w:vAlign w:val="bottom"/>
            <w:tcBorders>
              <w:bottom w:val="single" w:sz="8" w:color="3E3935"/>
            </w:tcBorders>
          </w:tcPr>
          <w:p>
            <w:pPr>
              <w:ind w:left="360"/>
              <w:spacing w:after="0"/>
              <w:rPr>
                <w:sz w:val="20"/>
                <w:szCs w:val="20"/>
                <w:color w:val="auto"/>
              </w:rPr>
            </w:pPr>
            <w:r>
              <w:rPr>
                <w:rFonts w:ascii="Arial" w:cs="Arial" w:eastAsia="Arial" w:hAnsi="Arial"/>
                <w:sz w:val="13"/>
                <w:szCs w:val="13"/>
                <w:color w:val="3E3935"/>
                <w:w w:val="96"/>
              </w:rPr>
              <w:t>4,931,288</w:t>
            </w:r>
            <w:r>
              <w:rPr>
                <w:rFonts w:ascii="Arial" w:cs="Arial" w:eastAsia="Arial" w:hAnsi="Arial"/>
                <w:sz w:val="18"/>
                <w:szCs w:val="18"/>
                <w:color w:val="3E3935"/>
                <w:w w:val="96"/>
                <w:vertAlign w:val="superscript"/>
              </w:rPr>
              <w:t>(8)</w:t>
            </w:r>
          </w:p>
        </w:tc>
        <w:tc>
          <w:tcPr>
            <w:tcW w:w="0" w:type="dxa"/>
            <w:vAlign w:val="bottom"/>
          </w:tcPr>
          <w:p>
            <w:pPr>
              <w:spacing w:after="0"/>
              <w:rPr>
                <w:sz w:val="1"/>
                <w:szCs w:val="1"/>
                <w:color w:val="auto"/>
              </w:rPr>
            </w:pPr>
          </w:p>
        </w:tc>
      </w:tr>
      <w:tr>
        <w:trPr>
          <w:trHeight w:val="250"/>
        </w:trPr>
        <w:tc>
          <w:tcPr>
            <w:tcW w:w="2000" w:type="dxa"/>
            <w:vAlign w:val="bottom"/>
          </w:tcPr>
          <w:p>
            <w:pPr>
              <w:spacing w:after="0"/>
              <w:rPr>
                <w:sz w:val="21"/>
                <w:szCs w:val="21"/>
                <w:color w:val="auto"/>
              </w:rPr>
            </w:pPr>
          </w:p>
        </w:tc>
        <w:tc>
          <w:tcPr>
            <w:tcW w:w="900" w:type="dxa"/>
            <w:vAlign w:val="bottom"/>
            <w:tcBorders>
              <w:bottom w:val="single" w:sz="8" w:color="3E3935"/>
            </w:tcBorders>
            <w:gridSpan w:val="2"/>
          </w:tcPr>
          <w:p>
            <w:pPr>
              <w:jc w:val="right"/>
              <w:ind w:right="37"/>
              <w:spacing w:after="0"/>
              <w:rPr>
                <w:sz w:val="20"/>
                <w:szCs w:val="20"/>
                <w:color w:val="auto"/>
              </w:rPr>
            </w:pPr>
            <w:r>
              <w:rPr>
                <w:rFonts w:ascii="Arial" w:cs="Arial" w:eastAsia="Arial" w:hAnsi="Arial"/>
                <w:sz w:val="13"/>
                <w:szCs w:val="13"/>
                <w:color w:val="3E3935"/>
              </w:rPr>
              <w:t>2/18/2021</w:t>
            </w:r>
          </w:p>
        </w:tc>
        <w:tc>
          <w:tcPr>
            <w:tcW w:w="940" w:type="dxa"/>
            <w:vAlign w:val="bottom"/>
            <w:tcBorders>
              <w:bottom w:val="single" w:sz="8" w:color="3E3935"/>
            </w:tcBorders>
          </w:tcPr>
          <w:p>
            <w:pPr>
              <w:jc w:val="right"/>
              <w:ind w:right="17"/>
              <w:spacing w:after="0"/>
              <w:rPr>
                <w:sz w:val="20"/>
                <w:szCs w:val="20"/>
                <w:color w:val="auto"/>
              </w:rPr>
            </w:pPr>
            <w:r>
              <w:rPr>
                <w:rFonts w:ascii="Arial" w:cs="Arial" w:eastAsia="Arial" w:hAnsi="Arial"/>
                <w:sz w:val="13"/>
                <w:szCs w:val="13"/>
                <w:color w:val="3E3935"/>
              </w:rPr>
              <w:t>27,497</w:t>
            </w:r>
          </w:p>
        </w:tc>
        <w:tc>
          <w:tcPr>
            <w:tcW w:w="1240" w:type="dxa"/>
            <w:vAlign w:val="bottom"/>
            <w:tcBorders>
              <w:bottom w:val="single" w:sz="8" w:color="3E3935"/>
            </w:tcBorders>
          </w:tcPr>
          <w:p>
            <w:pPr>
              <w:jc w:val="right"/>
              <w:ind w:right="57"/>
              <w:spacing w:after="0"/>
              <w:rPr>
                <w:sz w:val="20"/>
                <w:szCs w:val="20"/>
                <w:color w:val="auto"/>
              </w:rPr>
            </w:pPr>
            <w:r>
              <w:rPr>
                <w:rFonts w:ascii="Arial" w:cs="Arial" w:eastAsia="Arial" w:hAnsi="Arial"/>
                <w:sz w:val="13"/>
                <w:szCs w:val="13"/>
                <w:color w:val="3E3935"/>
              </w:rPr>
              <w:t>54,992</w:t>
            </w:r>
            <w:r>
              <w:rPr>
                <w:rFonts w:ascii="Arial" w:cs="Arial" w:eastAsia="Arial" w:hAnsi="Arial"/>
                <w:sz w:val="18"/>
                <w:szCs w:val="18"/>
                <w:color w:val="3E3935"/>
                <w:vertAlign w:val="superscript"/>
              </w:rPr>
              <w:t>(3)</w:t>
            </w:r>
          </w:p>
        </w:tc>
        <w:tc>
          <w:tcPr>
            <w:tcW w:w="740" w:type="dxa"/>
            <w:vAlign w:val="bottom"/>
            <w:tcBorders>
              <w:bottom w:val="single" w:sz="8" w:color="3E3935"/>
            </w:tcBorders>
          </w:tcPr>
          <w:p>
            <w:pPr>
              <w:jc w:val="right"/>
              <w:ind w:right="57"/>
              <w:spacing w:after="0"/>
              <w:rPr>
                <w:sz w:val="20"/>
                <w:szCs w:val="20"/>
                <w:color w:val="auto"/>
              </w:rPr>
            </w:pPr>
            <w:r>
              <w:rPr>
                <w:rFonts w:ascii="Arial" w:cs="Arial" w:eastAsia="Arial" w:hAnsi="Arial"/>
                <w:sz w:val="13"/>
                <w:szCs w:val="13"/>
                <w:color w:val="3E3935"/>
              </w:rPr>
              <w:t>52.16</w:t>
            </w:r>
          </w:p>
        </w:tc>
        <w:tc>
          <w:tcPr>
            <w:tcW w:w="780" w:type="dxa"/>
            <w:vAlign w:val="bottom"/>
            <w:tcBorders>
              <w:bottom w:val="single" w:sz="8" w:color="3E3935"/>
            </w:tcBorders>
          </w:tcPr>
          <w:p>
            <w:pPr>
              <w:jc w:val="right"/>
              <w:spacing w:after="0"/>
              <w:rPr>
                <w:sz w:val="20"/>
                <w:szCs w:val="20"/>
                <w:color w:val="auto"/>
              </w:rPr>
            </w:pPr>
            <w:r>
              <w:rPr>
                <w:rFonts w:ascii="Arial" w:cs="Arial" w:eastAsia="Arial" w:hAnsi="Arial"/>
                <w:sz w:val="13"/>
                <w:szCs w:val="13"/>
                <w:color w:val="3E3935"/>
              </w:rPr>
              <w:t>2/18/2031</w:t>
            </w:r>
          </w:p>
        </w:tc>
        <w:tc>
          <w:tcPr>
            <w:tcW w:w="180" w:type="dxa"/>
            <w:vAlign w:val="bottom"/>
            <w:tcBorders>
              <w:bottom w:val="single" w:sz="8" w:color="3E3935"/>
            </w:tcBorders>
          </w:tcPr>
          <w:p>
            <w:pPr>
              <w:spacing w:after="0"/>
              <w:rPr>
                <w:sz w:val="21"/>
                <w:szCs w:val="21"/>
                <w:color w:val="auto"/>
              </w:rPr>
            </w:pPr>
          </w:p>
        </w:tc>
        <w:tc>
          <w:tcPr>
            <w:tcW w:w="1000" w:type="dxa"/>
            <w:vAlign w:val="bottom"/>
            <w:tcBorders>
              <w:bottom w:val="single" w:sz="8" w:color="3E3935"/>
            </w:tcBorders>
          </w:tcPr>
          <w:p>
            <w:pPr>
              <w:spacing w:after="0"/>
              <w:rPr>
                <w:sz w:val="21"/>
                <w:szCs w:val="21"/>
                <w:color w:val="auto"/>
              </w:rPr>
            </w:pPr>
          </w:p>
        </w:tc>
        <w:tc>
          <w:tcPr>
            <w:tcW w:w="900" w:type="dxa"/>
            <w:vAlign w:val="bottom"/>
            <w:tcBorders>
              <w:bottom w:val="single" w:sz="8" w:color="3E3935"/>
            </w:tcBorders>
          </w:tcPr>
          <w:p>
            <w:pPr>
              <w:spacing w:after="0"/>
              <w:rPr>
                <w:sz w:val="21"/>
                <w:szCs w:val="21"/>
                <w:color w:val="auto"/>
              </w:rPr>
            </w:pPr>
          </w:p>
        </w:tc>
        <w:tc>
          <w:tcPr>
            <w:tcW w:w="1260" w:type="dxa"/>
            <w:vAlign w:val="bottom"/>
            <w:tcBorders>
              <w:bottom w:val="single" w:sz="8" w:color="3E3935"/>
            </w:tcBorders>
          </w:tcPr>
          <w:p>
            <w:pPr>
              <w:jc w:val="right"/>
              <w:ind w:right="19"/>
              <w:spacing w:after="0"/>
              <w:rPr>
                <w:sz w:val="20"/>
                <w:szCs w:val="20"/>
                <w:color w:val="auto"/>
              </w:rPr>
            </w:pPr>
            <w:r>
              <w:rPr>
                <w:rFonts w:ascii="Arial" w:cs="Arial" w:eastAsia="Arial" w:hAnsi="Arial"/>
                <w:sz w:val="13"/>
                <w:szCs w:val="13"/>
                <w:color w:val="3E3935"/>
              </w:rPr>
              <w:t>95,979</w:t>
            </w:r>
            <w:r>
              <w:rPr>
                <w:rFonts w:ascii="Arial" w:cs="Arial" w:eastAsia="Arial" w:hAnsi="Arial"/>
                <w:sz w:val="18"/>
                <w:szCs w:val="18"/>
                <w:color w:val="3E3935"/>
                <w:vertAlign w:val="superscript"/>
              </w:rPr>
              <w:t>(7)(8)</w:t>
            </w:r>
          </w:p>
        </w:tc>
        <w:tc>
          <w:tcPr>
            <w:tcW w:w="1080" w:type="dxa"/>
            <w:vAlign w:val="bottom"/>
            <w:tcBorders>
              <w:bottom w:val="single" w:sz="8" w:color="3E3935"/>
            </w:tcBorders>
          </w:tcPr>
          <w:p>
            <w:pPr>
              <w:ind w:left="360"/>
              <w:spacing w:after="0"/>
              <w:rPr>
                <w:sz w:val="20"/>
                <w:szCs w:val="20"/>
                <w:color w:val="auto"/>
              </w:rPr>
            </w:pPr>
            <w:r>
              <w:rPr>
                <w:rFonts w:ascii="Arial" w:cs="Arial" w:eastAsia="Arial" w:hAnsi="Arial"/>
                <w:sz w:val="13"/>
                <w:szCs w:val="13"/>
                <w:color w:val="3E3935"/>
                <w:w w:val="96"/>
              </w:rPr>
              <w:t>3,228,734</w:t>
            </w:r>
            <w:r>
              <w:rPr>
                <w:rFonts w:ascii="Arial" w:cs="Arial" w:eastAsia="Arial" w:hAnsi="Arial"/>
                <w:sz w:val="18"/>
                <w:szCs w:val="18"/>
                <w:color w:val="3E3935"/>
                <w:w w:val="96"/>
                <w:vertAlign w:val="superscript"/>
              </w:rPr>
              <w:t>(8)</w:t>
            </w:r>
          </w:p>
        </w:tc>
        <w:tc>
          <w:tcPr>
            <w:tcW w:w="0" w:type="dxa"/>
            <w:vAlign w:val="bottom"/>
          </w:tcPr>
          <w:p>
            <w:pPr>
              <w:spacing w:after="0"/>
              <w:rPr>
                <w:sz w:val="1"/>
                <w:szCs w:val="1"/>
                <w:color w:val="auto"/>
              </w:rPr>
            </w:pPr>
          </w:p>
        </w:tc>
      </w:tr>
      <w:tr>
        <w:trPr>
          <w:trHeight w:val="250"/>
        </w:trPr>
        <w:tc>
          <w:tcPr>
            <w:tcW w:w="2000" w:type="dxa"/>
            <w:vAlign w:val="bottom"/>
            <w:tcBorders>
              <w:bottom w:val="single" w:sz="8" w:color="3E3935"/>
            </w:tcBorders>
          </w:tcPr>
          <w:p>
            <w:pPr>
              <w:spacing w:after="0"/>
              <w:rPr>
                <w:sz w:val="21"/>
                <w:szCs w:val="21"/>
                <w:color w:val="auto"/>
              </w:rPr>
            </w:pPr>
          </w:p>
        </w:tc>
        <w:tc>
          <w:tcPr>
            <w:tcW w:w="900" w:type="dxa"/>
            <w:vAlign w:val="bottom"/>
            <w:tcBorders>
              <w:bottom w:val="single" w:sz="8" w:color="3E3935"/>
            </w:tcBorders>
            <w:gridSpan w:val="2"/>
          </w:tcPr>
          <w:p>
            <w:pPr>
              <w:jc w:val="right"/>
              <w:ind w:right="37"/>
              <w:spacing w:after="0"/>
              <w:rPr>
                <w:sz w:val="20"/>
                <w:szCs w:val="20"/>
                <w:color w:val="auto"/>
              </w:rPr>
            </w:pPr>
            <w:r>
              <w:rPr>
                <w:rFonts w:ascii="Arial" w:cs="Arial" w:eastAsia="Arial" w:hAnsi="Arial"/>
                <w:sz w:val="13"/>
                <w:szCs w:val="13"/>
                <w:color w:val="3E3935"/>
              </w:rPr>
              <w:t>2/12/2020</w:t>
            </w:r>
          </w:p>
        </w:tc>
        <w:tc>
          <w:tcPr>
            <w:tcW w:w="940" w:type="dxa"/>
            <w:vAlign w:val="bottom"/>
            <w:tcBorders>
              <w:bottom w:val="single" w:sz="8" w:color="3E3935"/>
            </w:tcBorders>
          </w:tcPr>
          <w:p>
            <w:pPr>
              <w:jc w:val="right"/>
              <w:ind w:right="17"/>
              <w:spacing w:after="0"/>
              <w:rPr>
                <w:sz w:val="20"/>
                <w:szCs w:val="20"/>
                <w:color w:val="auto"/>
              </w:rPr>
            </w:pPr>
            <w:r>
              <w:rPr>
                <w:rFonts w:ascii="Arial" w:cs="Arial" w:eastAsia="Arial" w:hAnsi="Arial"/>
                <w:sz w:val="13"/>
                <w:szCs w:val="13"/>
                <w:color w:val="3E3935"/>
              </w:rPr>
              <w:t>196,760</w:t>
            </w:r>
          </w:p>
        </w:tc>
        <w:tc>
          <w:tcPr>
            <w:tcW w:w="1240" w:type="dxa"/>
            <w:vAlign w:val="bottom"/>
            <w:tcBorders>
              <w:bottom w:val="single" w:sz="8" w:color="3E3935"/>
            </w:tcBorders>
          </w:tcPr>
          <w:p>
            <w:pPr>
              <w:jc w:val="right"/>
              <w:ind w:right="57"/>
              <w:spacing w:after="0"/>
              <w:rPr>
                <w:sz w:val="20"/>
                <w:szCs w:val="20"/>
                <w:color w:val="auto"/>
              </w:rPr>
            </w:pPr>
            <w:r>
              <w:rPr>
                <w:rFonts w:ascii="Arial" w:cs="Arial" w:eastAsia="Arial" w:hAnsi="Arial"/>
                <w:sz w:val="13"/>
                <w:szCs w:val="13"/>
                <w:color w:val="3E3935"/>
              </w:rPr>
              <w:t>98,379</w:t>
            </w:r>
            <w:r>
              <w:rPr>
                <w:rFonts w:ascii="Arial" w:cs="Arial" w:eastAsia="Arial" w:hAnsi="Arial"/>
                <w:sz w:val="18"/>
                <w:szCs w:val="18"/>
                <w:color w:val="3E3935"/>
                <w:vertAlign w:val="superscript"/>
              </w:rPr>
              <w:t>(4)</w:t>
            </w:r>
          </w:p>
        </w:tc>
        <w:tc>
          <w:tcPr>
            <w:tcW w:w="740" w:type="dxa"/>
            <w:vAlign w:val="bottom"/>
            <w:tcBorders>
              <w:bottom w:val="single" w:sz="8" w:color="3E3935"/>
            </w:tcBorders>
          </w:tcPr>
          <w:p>
            <w:pPr>
              <w:jc w:val="right"/>
              <w:ind w:right="57"/>
              <w:spacing w:after="0"/>
              <w:rPr>
                <w:sz w:val="20"/>
                <w:szCs w:val="20"/>
                <w:color w:val="auto"/>
              </w:rPr>
            </w:pPr>
            <w:r>
              <w:rPr>
                <w:rFonts w:ascii="Arial" w:cs="Arial" w:eastAsia="Arial" w:hAnsi="Arial"/>
                <w:sz w:val="13"/>
                <w:szCs w:val="13"/>
                <w:color w:val="3E3935"/>
              </w:rPr>
              <w:t>35.49</w:t>
            </w:r>
          </w:p>
        </w:tc>
        <w:tc>
          <w:tcPr>
            <w:tcW w:w="780" w:type="dxa"/>
            <w:vAlign w:val="bottom"/>
            <w:tcBorders>
              <w:bottom w:val="single" w:sz="8" w:color="3E3935"/>
            </w:tcBorders>
          </w:tcPr>
          <w:p>
            <w:pPr>
              <w:jc w:val="right"/>
              <w:spacing w:after="0"/>
              <w:rPr>
                <w:sz w:val="20"/>
                <w:szCs w:val="20"/>
                <w:color w:val="auto"/>
              </w:rPr>
            </w:pPr>
            <w:r>
              <w:rPr>
                <w:rFonts w:ascii="Arial" w:cs="Arial" w:eastAsia="Arial" w:hAnsi="Arial"/>
                <w:sz w:val="13"/>
                <w:szCs w:val="13"/>
                <w:color w:val="3E3935"/>
              </w:rPr>
              <w:t>2/12/2030</w:t>
            </w:r>
          </w:p>
        </w:tc>
        <w:tc>
          <w:tcPr>
            <w:tcW w:w="180" w:type="dxa"/>
            <w:vAlign w:val="bottom"/>
            <w:tcBorders>
              <w:bottom w:val="single" w:sz="8" w:color="3E3935"/>
            </w:tcBorders>
          </w:tcPr>
          <w:p>
            <w:pPr>
              <w:spacing w:after="0"/>
              <w:rPr>
                <w:sz w:val="21"/>
                <w:szCs w:val="21"/>
                <w:color w:val="auto"/>
              </w:rPr>
            </w:pPr>
          </w:p>
        </w:tc>
        <w:tc>
          <w:tcPr>
            <w:tcW w:w="1000" w:type="dxa"/>
            <w:vAlign w:val="bottom"/>
            <w:tcBorders>
              <w:bottom w:val="single" w:sz="8" w:color="3E3935"/>
            </w:tcBorders>
          </w:tcPr>
          <w:p>
            <w:pPr>
              <w:jc w:val="right"/>
              <w:ind w:right="157"/>
              <w:spacing w:after="0"/>
              <w:rPr>
                <w:sz w:val="20"/>
                <w:szCs w:val="20"/>
                <w:color w:val="auto"/>
              </w:rPr>
            </w:pPr>
            <w:r>
              <w:rPr>
                <w:rFonts w:ascii="Arial" w:cs="Arial" w:eastAsia="Arial" w:hAnsi="Arial"/>
                <w:sz w:val="13"/>
                <w:szCs w:val="13"/>
                <w:color w:val="3E3935"/>
              </w:rPr>
              <w:t>174,779</w:t>
            </w:r>
            <w:r>
              <w:rPr>
                <w:rFonts w:ascii="Arial" w:cs="Arial" w:eastAsia="Arial" w:hAnsi="Arial"/>
                <w:sz w:val="18"/>
                <w:szCs w:val="18"/>
                <w:color w:val="3E3935"/>
                <w:vertAlign w:val="superscript"/>
              </w:rPr>
              <w:t>(5)</w:t>
            </w:r>
          </w:p>
        </w:tc>
        <w:tc>
          <w:tcPr>
            <w:tcW w:w="900" w:type="dxa"/>
            <w:vAlign w:val="bottom"/>
            <w:tcBorders>
              <w:bottom w:val="single" w:sz="8" w:color="3E3935"/>
            </w:tcBorders>
          </w:tcPr>
          <w:p>
            <w:pPr>
              <w:jc w:val="right"/>
              <w:ind w:right="57"/>
              <w:spacing w:after="0"/>
              <w:rPr>
                <w:sz w:val="20"/>
                <w:szCs w:val="20"/>
                <w:color w:val="auto"/>
              </w:rPr>
            </w:pPr>
            <w:r>
              <w:rPr>
                <w:rFonts w:ascii="Arial" w:cs="Arial" w:eastAsia="Arial" w:hAnsi="Arial"/>
                <w:sz w:val="13"/>
                <w:szCs w:val="13"/>
                <w:color w:val="3E3935"/>
              </w:rPr>
              <w:t>5,879,566</w:t>
            </w:r>
          </w:p>
        </w:tc>
        <w:tc>
          <w:tcPr>
            <w:tcW w:w="1260" w:type="dxa"/>
            <w:vAlign w:val="bottom"/>
            <w:tcBorders>
              <w:bottom w:val="single" w:sz="8" w:color="3E3935"/>
            </w:tcBorders>
          </w:tcPr>
          <w:p>
            <w:pPr>
              <w:spacing w:after="0"/>
              <w:rPr>
                <w:sz w:val="21"/>
                <w:szCs w:val="21"/>
                <w:color w:val="auto"/>
              </w:rPr>
            </w:pPr>
          </w:p>
        </w:tc>
        <w:tc>
          <w:tcPr>
            <w:tcW w:w="1080" w:type="dxa"/>
            <w:vAlign w:val="bottom"/>
            <w:tcBorders>
              <w:bottom w:val="single" w:sz="8" w:color="3E3935"/>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000" w:type="dxa"/>
            <w:vAlign w:val="bottom"/>
          </w:tcPr>
          <w:p>
            <w:pPr>
              <w:ind w:left="60"/>
              <w:spacing w:after="0"/>
              <w:rPr>
                <w:sz w:val="20"/>
                <w:szCs w:val="20"/>
                <w:color w:val="auto"/>
              </w:rPr>
            </w:pPr>
            <w:r>
              <w:rPr>
                <w:rFonts w:ascii="Arial" w:cs="Arial" w:eastAsia="Arial" w:hAnsi="Arial"/>
                <w:sz w:val="13"/>
                <w:szCs w:val="13"/>
                <w:color w:val="3E3935"/>
              </w:rPr>
              <w:t>Douglas L. Parks</w:t>
            </w:r>
          </w:p>
        </w:tc>
        <w:tc>
          <w:tcPr>
            <w:tcW w:w="900" w:type="dxa"/>
            <w:vAlign w:val="bottom"/>
            <w:tcBorders>
              <w:bottom w:val="single" w:sz="8" w:color="3E3935"/>
            </w:tcBorders>
            <w:gridSpan w:val="2"/>
          </w:tcPr>
          <w:p>
            <w:pPr>
              <w:jc w:val="right"/>
              <w:ind w:right="37"/>
              <w:spacing w:after="0"/>
              <w:rPr>
                <w:sz w:val="20"/>
                <w:szCs w:val="20"/>
                <w:color w:val="auto"/>
              </w:rPr>
            </w:pPr>
            <w:r>
              <w:rPr>
                <w:rFonts w:ascii="Arial" w:cs="Arial" w:eastAsia="Arial" w:hAnsi="Arial"/>
                <w:sz w:val="13"/>
                <w:szCs w:val="13"/>
                <w:color w:val="3E3935"/>
              </w:rPr>
              <w:t>2/8/2022</w:t>
            </w:r>
          </w:p>
        </w:tc>
        <w:tc>
          <w:tcPr>
            <w:tcW w:w="940" w:type="dxa"/>
            <w:vAlign w:val="bottom"/>
            <w:tcBorders>
              <w:bottom w:val="single" w:sz="8" w:color="3E3935"/>
            </w:tcBorders>
          </w:tcPr>
          <w:p>
            <w:pPr>
              <w:jc w:val="right"/>
              <w:ind w:right="17"/>
              <w:spacing w:after="0"/>
              <w:rPr>
                <w:sz w:val="20"/>
                <w:szCs w:val="20"/>
                <w:color w:val="auto"/>
              </w:rPr>
            </w:pPr>
            <w:r>
              <w:rPr>
                <w:rFonts w:ascii="Arial" w:cs="Arial" w:eastAsia="Arial" w:hAnsi="Arial"/>
                <w:sz w:val="13"/>
                <w:szCs w:val="13"/>
                <w:color w:val="3E3935"/>
              </w:rPr>
              <w:t>—</w:t>
            </w:r>
          </w:p>
        </w:tc>
        <w:tc>
          <w:tcPr>
            <w:tcW w:w="1240" w:type="dxa"/>
            <w:vAlign w:val="bottom"/>
            <w:tcBorders>
              <w:bottom w:val="single" w:sz="8" w:color="3E3935"/>
            </w:tcBorders>
          </w:tcPr>
          <w:p>
            <w:pPr>
              <w:jc w:val="right"/>
              <w:ind w:right="57"/>
              <w:spacing w:after="0"/>
              <w:rPr>
                <w:sz w:val="20"/>
                <w:szCs w:val="20"/>
                <w:color w:val="auto"/>
              </w:rPr>
            </w:pPr>
            <w:r>
              <w:rPr>
                <w:rFonts w:ascii="Arial" w:cs="Arial" w:eastAsia="Arial" w:hAnsi="Arial"/>
                <w:sz w:val="13"/>
                <w:szCs w:val="13"/>
                <w:color w:val="3E3935"/>
              </w:rPr>
              <w:t>86,062</w:t>
            </w:r>
            <w:r>
              <w:rPr>
                <w:rFonts w:ascii="Arial" w:cs="Arial" w:eastAsia="Arial" w:hAnsi="Arial"/>
                <w:sz w:val="18"/>
                <w:szCs w:val="18"/>
                <w:color w:val="3E3935"/>
                <w:vertAlign w:val="superscript"/>
              </w:rPr>
              <w:t>(2)</w:t>
            </w:r>
          </w:p>
        </w:tc>
        <w:tc>
          <w:tcPr>
            <w:tcW w:w="740" w:type="dxa"/>
            <w:vAlign w:val="bottom"/>
            <w:tcBorders>
              <w:bottom w:val="single" w:sz="8" w:color="3E3935"/>
            </w:tcBorders>
          </w:tcPr>
          <w:p>
            <w:pPr>
              <w:jc w:val="right"/>
              <w:ind w:right="57"/>
              <w:spacing w:after="0"/>
              <w:rPr>
                <w:sz w:val="20"/>
                <w:szCs w:val="20"/>
                <w:color w:val="auto"/>
              </w:rPr>
            </w:pPr>
            <w:r>
              <w:rPr>
                <w:rFonts w:ascii="Arial" w:cs="Arial" w:eastAsia="Arial" w:hAnsi="Arial"/>
                <w:sz w:val="13"/>
                <w:szCs w:val="13"/>
                <w:color w:val="3E3935"/>
              </w:rPr>
              <w:t>49.46</w:t>
            </w:r>
          </w:p>
        </w:tc>
        <w:tc>
          <w:tcPr>
            <w:tcW w:w="780" w:type="dxa"/>
            <w:vAlign w:val="bottom"/>
            <w:tcBorders>
              <w:bottom w:val="single" w:sz="8" w:color="3E3935"/>
            </w:tcBorders>
          </w:tcPr>
          <w:p>
            <w:pPr>
              <w:jc w:val="right"/>
              <w:spacing w:after="0"/>
              <w:rPr>
                <w:sz w:val="20"/>
                <w:szCs w:val="20"/>
                <w:color w:val="auto"/>
              </w:rPr>
            </w:pPr>
            <w:r>
              <w:rPr>
                <w:rFonts w:ascii="Arial" w:cs="Arial" w:eastAsia="Arial" w:hAnsi="Arial"/>
                <w:sz w:val="13"/>
                <w:szCs w:val="13"/>
                <w:color w:val="3E3935"/>
              </w:rPr>
              <w:t>2/8/2032</w:t>
            </w:r>
          </w:p>
        </w:tc>
        <w:tc>
          <w:tcPr>
            <w:tcW w:w="180" w:type="dxa"/>
            <w:vAlign w:val="bottom"/>
            <w:tcBorders>
              <w:bottom w:val="single" w:sz="8" w:color="3E3935"/>
            </w:tcBorders>
          </w:tcPr>
          <w:p>
            <w:pPr>
              <w:spacing w:after="0"/>
              <w:rPr>
                <w:sz w:val="21"/>
                <w:szCs w:val="21"/>
                <w:color w:val="auto"/>
              </w:rPr>
            </w:pPr>
          </w:p>
        </w:tc>
        <w:tc>
          <w:tcPr>
            <w:tcW w:w="1000" w:type="dxa"/>
            <w:vAlign w:val="bottom"/>
            <w:tcBorders>
              <w:bottom w:val="single" w:sz="8" w:color="3E3935"/>
            </w:tcBorders>
          </w:tcPr>
          <w:p>
            <w:pPr>
              <w:spacing w:after="0"/>
              <w:rPr>
                <w:sz w:val="21"/>
                <w:szCs w:val="21"/>
                <w:color w:val="auto"/>
              </w:rPr>
            </w:pPr>
          </w:p>
        </w:tc>
        <w:tc>
          <w:tcPr>
            <w:tcW w:w="900" w:type="dxa"/>
            <w:vAlign w:val="bottom"/>
            <w:tcBorders>
              <w:bottom w:val="single" w:sz="8" w:color="3E3935"/>
            </w:tcBorders>
          </w:tcPr>
          <w:p>
            <w:pPr>
              <w:spacing w:after="0"/>
              <w:rPr>
                <w:sz w:val="21"/>
                <w:szCs w:val="21"/>
                <w:color w:val="auto"/>
              </w:rPr>
            </w:pPr>
          </w:p>
        </w:tc>
        <w:tc>
          <w:tcPr>
            <w:tcW w:w="1260" w:type="dxa"/>
            <w:vAlign w:val="bottom"/>
            <w:tcBorders>
              <w:bottom w:val="single" w:sz="8" w:color="3E3935"/>
            </w:tcBorders>
          </w:tcPr>
          <w:p>
            <w:pPr>
              <w:jc w:val="right"/>
              <w:ind w:right="19"/>
              <w:spacing w:after="0"/>
              <w:rPr>
                <w:sz w:val="20"/>
                <w:szCs w:val="20"/>
                <w:color w:val="auto"/>
              </w:rPr>
            </w:pPr>
            <w:r>
              <w:rPr>
                <w:rFonts w:ascii="Arial" w:cs="Arial" w:eastAsia="Arial" w:hAnsi="Arial"/>
                <w:sz w:val="13"/>
                <w:szCs w:val="13"/>
                <w:color w:val="3E3935"/>
              </w:rPr>
              <w:t>88,744</w:t>
            </w:r>
            <w:r>
              <w:rPr>
                <w:rFonts w:ascii="Arial" w:cs="Arial" w:eastAsia="Arial" w:hAnsi="Arial"/>
                <w:sz w:val="18"/>
                <w:szCs w:val="18"/>
                <w:color w:val="3E3935"/>
                <w:vertAlign w:val="superscript"/>
              </w:rPr>
              <w:t>(7)(8)</w:t>
            </w:r>
          </w:p>
        </w:tc>
        <w:tc>
          <w:tcPr>
            <w:tcW w:w="1080" w:type="dxa"/>
            <w:vAlign w:val="bottom"/>
            <w:tcBorders>
              <w:bottom w:val="single" w:sz="8" w:color="3E3935"/>
            </w:tcBorders>
          </w:tcPr>
          <w:p>
            <w:pPr>
              <w:ind w:left="360"/>
              <w:spacing w:after="0"/>
              <w:rPr>
                <w:sz w:val="20"/>
                <w:szCs w:val="20"/>
                <w:color w:val="auto"/>
              </w:rPr>
            </w:pPr>
            <w:r>
              <w:rPr>
                <w:rFonts w:ascii="Arial" w:cs="Arial" w:eastAsia="Arial" w:hAnsi="Arial"/>
                <w:sz w:val="13"/>
                <w:szCs w:val="13"/>
                <w:color w:val="3E3935"/>
                <w:w w:val="96"/>
              </w:rPr>
              <w:t>2,985,348</w:t>
            </w:r>
            <w:r>
              <w:rPr>
                <w:rFonts w:ascii="Arial" w:cs="Arial" w:eastAsia="Arial" w:hAnsi="Arial"/>
                <w:sz w:val="18"/>
                <w:szCs w:val="18"/>
                <w:color w:val="3E3935"/>
                <w:w w:val="96"/>
                <w:vertAlign w:val="superscript"/>
              </w:rPr>
              <w:t>(8)</w:t>
            </w:r>
          </w:p>
        </w:tc>
        <w:tc>
          <w:tcPr>
            <w:tcW w:w="0" w:type="dxa"/>
            <w:vAlign w:val="bottom"/>
          </w:tcPr>
          <w:p>
            <w:pPr>
              <w:spacing w:after="0"/>
              <w:rPr>
                <w:sz w:val="1"/>
                <w:szCs w:val="1"/>
                <w:color w:val="auto"/>
              </w:rPr>
            </w:pPr>
          </w:p>
        </w:tc>
      </w:tr>
      <w:tr>
        <w:trPr>
          <w:trHeight w:val="250"/>
        </w:trPr>
        <w:tc>
          <w:tcPr>
            <w:tcW w:w="2000" w:type="dxa"/>
            <w:vAlign w:val="bottom"/>
          </w:tcPr>
          <w:p>
            <w:pPr>
              <w:spacing w:after="0"/>
              <w:rPr>
                <w:sz w:val="21"/>
                <w:szCs w:val="21"/>
                <w:color w:val="auto"/>
              </w:rPr>
            </w:pPr>
          </w:p>
        </w:tc>
        <w:tc>
          <w:tcPr>
            <w:tcW w:w="900" w:type="dxa"/>
            <w:vAlign w:val="bottom"/>
            <w:tcBorders>
              <w:bottom w:val="single" w:sz="8" w:color="3E3935"/>
            </w:tcBorders>
            <w:gridSpan w:val="2"/>
          </w:tcPr>
          <w:p>
            <w:pPr>
              <w:jc w:val="right"/>
              <w:ind w:right="37"/>
              <w:spacing w:after="0"/>
              <w:rPr>
                <w:sz w:val="20"/>
                <w:szCs w:val="20"/>
                <w:color w:val="auto"/>
              </w:rPr>
            </w:pPr>
            <w:r>
              <w:rPr>
                <w:rFonts w:ascii="Arial" w:cs="Arial" w:eastAsia="Arial" w:hAnsi="Arial"/>
                <w:sz w:val="13"/>
                <w:szCs w:val="13"/>
                <w:color w:val="3E3935"/>
              </w:rPr>
              <w:t>2/18/2021</w:t>
            </w:r>
          </w:p>
        </w:tc>
        <w:tc>
          <w:tcPr>
            <w:tcW w:w="940" w:type="dxa"/>
            <w:vAlign w:val="bottom"/>
            <w:tcBorders>
              <w:bottom w:val="single" w:sz="8" w:color="3E3935"/>
            </w:tcBorders>
          </w:tcPr>
          <w:p>
            <w:pPr>
              <w:jc w:val="right"/>
              <w:ind w:right="17"/>
              <w:spacing w:after="0"/>
              <w:rPr>
                <w:sz w:val="20"/>
                <w:szCs w:val="20"/>
                <w:color w:val="auto"/>
              </w:rPr>
            </w:pPr>
            <w:r>
              <w:rPr>
                <w:rFonts w:ascii="Arial" w:cs="Arial" w:eastAsia="Arial" w:hAnsi="Arial"/>
                <w:sz w:val="13"/>
                <w:szCs w:val="13"/>
                <w:color w:val="3E3935"/>
              </w:rPr>
              <w:t>20,545</w:t>
            </w:r>
          </w:p>
        </w:tc>
        <w:tc>
          <w:tcPr>
            <w:tcW w:w="1240" w:type="dxa"/>
            <w:vAlign w:val="bottom"/>
            <w:tcBorders>
              <w:bottom w:val="single" w:sz="8" w:color="3E3935"/>
            </w:tcBorders>
          </w:tcPr>
          <w:p>
            <w:pPr>
              <w:jc w:val="right"/>
              <w:ind w:right="57"/>
              <w:spacing w:after="0"/>
              <w:rPr>
                <w:sz w:val="20"/>
                <w:szCs w:val="20"/>
                <w:color w:val="auto"/>
              </w:rPr>
            </w:pPr>
            <w:r>
              <w:rPr>
                <w:rFonts w:ascii="Arial" w:cs="Arial" w:eastAsia="Arial" w:hAnsi="Arial"/>
                <w:sz w:val="13"/>
                <w:szCs w:val="13"/>
                <w:color w:val="3E3935"/>
              </w:rPr>
              <w:t>41,090</w:t>
            </w:r>
            <w:r>
              <w:rPr>
                <w:rFonts w:ascii="Arial" w:cs="Arial" w:eastAsia="Arial" w:hAnsi="Arial"/>
                <w:sz w:val="18"/>
                <w:szCs w:val="18"/>
                <w:color w:val="3E3935"/>
                <w:vertAlign w:val="superscript"/>
              </w:rPr>
              <w:t>(3)</w:t>
            </w:r>
          </w:p>
        </w:tc>
        <w:tc>
          <w:tcPr>
            <w:tcW w:w="740" w:type="dxa"/>
            <w:vAlign w:val="bottom"/>
            <w:tcBorders>
              <w:bottom w:val="single" w:sz="8" w:color="3E3935"/>
            </w:tcBorders>
          </w:tcPr>
          <w:p>
            <w:pPr>
              <w:jc w:val="right"/>
              <w:ind w:right="57"/>
              <w:spacing w:after="0"/>
              <w:rPr>
                <w:sz w:val="20"/>
                <w:szCs w:val="20"/>
                <w:color w:val="auto"/>
              </w:rPr>
            </w:pPr>
            <w:r>
              <w:rPr>
                <w:rFonts w:ascii="Arial" w:cs="Arial" w:eastAsia="Arial" w:hAnsi="Arial"/>
                <w:sz w:val="13"/>
                <w:szCs w:val="13"/>
                <w:color w:val="3E3935"/>
              </w:rPr>
              <w:t>52.16</w:t>
            </w:r>
          </w:p>
        </w:tc>
        <w:tc>
          <w:tcPr>
            <w:tcW w:w="780" w:type="dxa"/>
            <w:vAlign w:val="bottom"/>
            <w:tcBorders>
              <w:bottom w:val="single" w:sz="8" w:color="3E3935"/>
            </w:tcBorders>
          </w:tcPr>
          <w:p>
            <w:pPr>
              <w:jc w:val="right"/>
              <w:spacing w:after="0"/>
              <w:rPr>
                <w:sz w:val="20"/>
                <w:szCs w:val="20"/>
                <w:color w:val="auto"/>
              </w:rPr>
            </w:pPr>
            <w:r>
              <w:rPr>
                <w:rFonts w:ascii="Arial" w:cs="Arial" w:eastAsia="Arial" w:hAnsi="Arial"/>
                <w:sz w:val="13"/>
                <w:szCs w:val="13"/>
                <w:color w:val="3E3935"/>
              </w:rPr>
              <w:t>2/18/2031</w:t>
            </w:r>
          </w:p>
        </w:tc>
        <w:tc>
          <w:tcPr>
            <w:tcW w:w="180" w:type="dxa"/>
            <w:vAlign w:val="bottom"/>
            <w:tcBorders>
              <w:bottom w:val="single" w:sz="8" w:color="3E3935"/>
            </w:tcBorders>
          </w:tcPr>
          <w:p>
            <w:pPr>
              <w:spacing w:after="0"/>
              <w:rPr>
                <w:sz w:val="21"/>
                <w:szCs w:val="21"/>
                <w:color w:val="auto"/>
              </w:rPr>
            </w:pPr>
          </w:p>
        </w:tc>
        <w:tc>
          <w:tcPr>
            <w:tcW w:w="1000" w:type="dxa"/>
            <w:vAlign w:val="bottom"/>
            <w:tcBorders>
              <w:bottom w:val="single" w:sz="8" w:color="3E3935"/>
            </w:tcBorders>
          </w:tcPr>
          <w:p>
            <w:pPr>
              <w:spacing w:after="0"/>
              <w:rPr>
                <w:sz w:val="21"/>
                <w:szCs w:val="21"/>
                <w:color w:val="auto"/>
              </w:rPr>
            </w:pPr>
          </w:p>
        </w:tc>
        <w:tc>
          <w:tcPr>
            <w:tcW w:w="900" w:type="dxa"/>
            <w:vAlign w:val="bottom"/>
            <w:tcBorders>
              <w:bottom w:val="single" w:sz="8" w:color="3E3935"/>
            </w:tcBorders>
          </w:tcPr>
          <w:p>
            <w:pPr>
              <w:spacing w:after="0"/>
              <w:rPr>
                <w:sz w:val="21"/>
                <w:szCs w:val="21"/>
                <w:color w:val="auto"/>
              </w:rPr>
            </w:pPr>
          </w:p>
        </w:tc>
        <w:tc>
          <w:tcPr>
            <w:tcW w:w="1260" w:type="dxa"/>
            <w:vAlign w:val="bottom"/>
            <w:tcBorders>
              <w:bottom w:val="single" w:sz="8" w:color="3E3935"/>
            </w:tcBorders>
          </w:tcPr>
          <w:p>
            <w:pPr>
              <w:jc w:val="right"/>
              <w:ind w:right="19"/>
              <w:spacing w:after="0"/>
              <w:rPr>
                <w:sz w:val="20"/>
                <w:szCs w:val="20"/>
                <w:color w:val="auto"/>
              </w:rPr>
            </w:pPr>
            <w:r>
              <w:rPr>
                <w:rFonts w:ascii="Arial" w:cs="Arial" w:eastAsia="Arial" w:hAnsi="Arial"/>
                <w:sz w:val="13"/>
                <w:szCs w:val="13"/>
                <w:color w:val="3E3935"/>
              </w:rPr>
              <w:t>71,715</w:t>
            </w:r>
            <w:r>
              <w:rPr>
                <w:rFonts w:ascii="Arial" w:cs="Arial" w:eastAsia="Arial" w:hAnsi="Arial"/>
                <w:sz w:val="18"/>
                <w:szCs w:val="18"/>
                <w:color w:val="3E3935"/>
                <w:vertAlign w:val="superscript"/>
              </w:rPr>
              <w:t>(7)(8)</w:t>
            </w:r>
          </w:p>
        </w:tc>
        <w:tc>
          <w:tcPr>
            <w:tcW w:w="1080" w:type="dxa"/>
            <w:vAlign w:val="bottom"/>
            <w:tcBorders>
              <w:bottom w:val="single" w:sz="8" w:color="3E3935"/>
            </w:tcBorders>
          </w:tcPr>
          <w:p>
            <w:pPr>
              <w:ind w:left="360"/>
              <w:spacing w:after="0"/>
              <w:rPr>
                <w:sz w:val="20"/>
                <w:szCs w:val="20"/>
                <w:color w:val="auto"/>
              </w:rPr>
            </w:pPr>
            <w:r>
              <w:rPr>
                <w:rFonts w:ascii="Arial" w:cs="Arial" w:eastAsia="Arial" w:hAnsi="Arial"/>
                <w:sz w:val="13"/>
                <w:szCs w:val="13"/>
                <w:color w:val="3E3935"/>
                <w:w w:val="96"/>
              </w:rPr>
              <w:t>2,412,493</w:t>
            </w:r>
            <w:r>
              <w:rPr>
                <w:rFonts w:ascii="Arial" w:cs="Arial" w:eastAsia="Arial" w:hAnsi="Arial"/>
                <w:sz w:val="18"/>
                <w:szCs w:val="18"/>
                <w:color w:val="3E3935"/>
                <w:w w:val="96"/>
                <w:vertAlign w:val="superscript"/>
              </w:rPr>
              <w:t>(8)</w:t>
            </w:r>
          </w:p>
        </w:tc>
        <w:tc>
          <w:tcPr>
            <w:tcW w:w="0" w:type="dxa"/>
            <w:vAlign w:val="bottom"/>
          </w:tcPr>
          <w:p>
            <w:pPr>
              <w:spacing w:after="0"/>
              <w:rPr>
                <w:sz w:val="1"/>
                <w:szCs w:val="1"/>
                <w:color w:val="auto"/>
              </w:rPr>
            </w:pPr>
          </w:p>
        </w:tc>
      </w:tr>
      <w:tr>
        <w:trPr>
          <w:trHeight w:val="250"/>
        </w:trPr>
        <w:tc>
          <w:tcPr>
            <w:tcW w:w="2000" w:type="dxa"/>
            <w:vAlign w:val="bottom"/>
          </w:tcPr>
          <w:p>
            <w:pPr>
              <w:spacing w:after="0"/>
              <w:rPr>
                <w:sz w:val="21"/>
                <w:szCs w:val="21"/>
                <w:color w:val="auto"/>
              </w:rPr>
            </w:pPr>
          </w:p>
        </w:tc>
        <w:tc>
          <w:tcPr>
            <w:tcW w:w="900" w:type="dxa"/>
            <w:vAlign w:val="bottom"/>
            <w:tcBorders>
              <w:bottom w:val="single" w:sz="8" w:color="3E3935"/>
            </w:tcBorders>
            <w:gridSpan w:val="2"/>
          </w:tcPr>
          <w:p>
            <w:pPr>
              <w:jc w:val="right"/>
              <w:ind w:right="37"/>
              <w:spacing w:after="0"/>
              <w:rPr>
                <w:sz w:val="20"/>
                <w:szCs w:val="20"/>
                <w:color w:val="auto"/>
              </w:rPr>
            </w:pPr>
            <w:r>
              <w:rPr>
                <w:rFonts w:ascii="Arial" w:cs="Arial" w:eastAsia="Arial" w:hAnsi="Arial"/>
                <w:sz w:val="13"/>
                <w:szCs w:val="13"/>
                <w:color w:val="3E3935"/>
              </w:rPr>
              <w:t>10/1/2020</w:t>
            </w:r>
          </w:p>
        </w:tc>
        <w:tc>
          <w:tcPr>
            <w:tcW w:w="940" w:type="dxa"/>
            <w:vAlign w:val="bottom"/>
            <w:tcBorders>
              <w:bottom w:val="single" w:sz="8" w:color="3E3935"/>
            </w:tcBorders>
          </w:tcPr>
          <w:p>
            <w:pPr>
              <w:jc w:val="right"/>
              <w:ind w:right="17"/>
              <w:spacing w:after="0"/>
              <w:rPr>
                <w:sz w:val="20"/>
                <w:szCs w:val="20"/>
                <w:color w:val="auto"/>
              </w:rPr>
            </w:pPr>
            <w:r>
              <w:rPr>
                <w:rFonts w:ascii="Arial" w:cs="Arial" w:eastAsia="Arial" w:hAnsi="Arial"/>
                <w:sz w:val="13"/>
                <w:szCs w:val="13"/>
                <w:color w:val="3E3935"/>
              </w:rPr>
              <w:t>22,278</w:t>
            </w:r>
          </w:p>
        </w:tc>
        <w:tc>
          <w:tcPr>
            <w:tcW w:w="1240" w:type="dxa"/>
            <w:vAlign w:val="bottom"/>
            <w:tcBorders>
              <w:bottom w:val="single" w:sz="8" w:color="3E3935"/>
            </w:tcBorders>
          </w:tcPr>
          <w:p>
            <w:pPr>
              <w:jc w:val="right"/>
              <w:ind w:right="57"/>
              <w:spacing w:after="0"/>
              <w:rPr>
                <w:sz w:val="20"/>
                <w:szCs w:val="20"/>
                <w:color w:val="auto"/>
              </w:rPr>
            </w:pPr>
            <w:r>
              <w:rPr>
                <w:rFonts w:ascii="Arial" w:cs="Arial" w:eastAsia="Arial" w:hAnsi="Arial"/>
                <w:sz w:val="13"/>
                <w:szCs w:val="13"/>
                <w:color w:val="3E3935"/>
              </w:rPr>
              <w:t>11,139</w:t>
            </w:r>
            <w:r>
              <w:rPr>
                <w:rFonts w:ascii="Arial" w:cs="Arial" w:eastAsia="Arial" w:hAnsi="Arial"/>
                <w:sz w:val="18"/>
                <w:szCs w:val="18"/>
                <w:color w:val="3E3935"/>
                <w:vertAlign w:val="superscript"/>
              </w:rPr>
              <w:t>(4)</w:t>
            </w:r>
          </w:p>
        </w:tc>
        <w:tc>
          <w:tcPr>
            <w:tcW w:w="740" w:type="dxa"/>
            <w:vAlign w:val="bottom"/>
            <w:tcBorders>
              <w:bottom w:val="single" w:sz="8" w:color="3E3935"/>
            </w:tcBorders>
          </w:tcPr>
          <w:p>
            <w:pPr>
              <w:jc w:val="right"/>
              <w:ind w:right="57"/>
              <w:spacing w:after="0"/>
              <w:rPr>
                <w:sz w:val="20"/>
                <w:szCs w:val="20"/>
                <w:color w:val="auto"/>
              </w:rPr>
            </w:pPr>
            <w:r>
              <w:rPr>
                <w:rFonts w:ascii="Arial" w:cs="Arial" w:eastAsia="Arial" w:hAnsi="Arial"/>
                <w:sz w:val="13"/>
                <w:szCs w:val="13"/>
                <w:color w:val="3E3935"/>
              </w:rPr>
              <w:t>30.38</w:t>
            </w:r>
          </w:p>
        </w:tc>
        <w:tc>
          <w:tcPr>
            <w:tcW w:w="780" w:type="dxa"/>
            <w:vAlign w:val="bottom"/>
            <w:tcBorders>
              <w:bottom w:val="single" w:sz="8" w:color="3E3935"/>
            </w:tcBorders>
          </w:tcPr>
          <w:p>
            <w:pPr>
              <w:jc w:val="right"/>
              <w:spacing w:after="0"/>
              <w:rPr>
                <w:sz w:val="20"/>
                <w:szCs w:val="20"/>
                <w:color w:val="auto"/>
              </w:rPr>
            </w:pPr>
            <w:r>
              <w:rPr>
                <w:rFonts w:ascii="Arial" w:cs="Arial" w:eastAsia="Arial" w:hAnsi="Arial"/>
                <w:sz w:val="13"/>
                <w:szCs w:val="13"/>
                <w:color w:val="3E3935"/>
              </w:rPr>
              <w:t>2/12/2030</w:t>
            </w:r>
          </w:p>
        </w:tc>
        <w:tc>
          <w:tcPr>
            <w:tcW w:w="180" w:type="dxa"/>
            <w:vAlign w:val="bottom"/>
            <w:tcBorders>
              <w:bottom w:val="single" w:sz="8" w:color="3E3935"/>
            </w:tcBorders>
          </w:tcPr>
          <w:p>
            <w:pPr>
              <w:spacing w:after="0"/>
              <w:rPr>
                <w:sz w:val="21"/>
                <w:szCs w:val="21"/>
                <w:color w:val="auto"/>
              </w:rPr>
            </w:pPr>
          </w:p>
        </w:tc>
        <w:tc>
          <w:tcPr>
            <w:tcW w:w="1000" w:type="dxa"/>
            <w:vAlign w:val="bottom"/>
            <w:tcBorders>
              <w:bottom w:val="single" w:sz="8" w:color="3E3935"/>
            </w:tcBorders>
          </w:tcPr>
          <w:p>
            <w:pPr>
              <w:jc w:val="right"/>
              <w:ind w:right="157"/>
              <w:spacing w:after="0"/>
              <w:rPr>
                <w:sz w:val="20"/>
                <w:szCs w:val="20"/>
                <w:color w:val="auto"/>
              </w:rPr>
            </w:pPr>
            <w:r>
              <w:rPr>
                <w:rFonts w:ascii="Arial" w:cs="Arial" w:eastAsia="Arial" w:hAnsi="Arial"/>
                <w:sz w:val="13"/>
                <w:szCs w:val="13"/>
                <w:color w:val="3E3935"/>
              </w:rPr>
              <w:t>45,686</w:t>
            </w:r>
            <w:r>
              <w:rPr>
                <w:rFonts w:ascii="Arial" w:cs="Arial" w:eastAsia="Arial" w:hAnsi="Arial"/>
                <w:sz w:val="18"/>
                <w:szCs w:val="18"/>
                <w:color w:val="3E3935"/>
                <w:vertAlign w:val="superscript"/>
              </w:rPr>
              <w:t>(5)</w:t>
            </w:r>
          </w:p>
        </w:tc>
        <w:tc>
          <w:tcPr>
            <w:tcW w:w="900" w:type="dxa"/>
            <w:vAlign w:val="bottom"/>
            <w:tcBorders>
              <w:bottom w:val="single" w:sz="8" w:color="3E3935"/>
            </w:tcBorders>
          </w:tcPr>
          <w:p>
            <w:pPr>
              <w:jc w:val="right"/>
              <w:ind w:right="57"/>
              <w:spacing w:after="0"/>
              <w:rPr>
                <w:sz w:val="20"/>
                <w:szCs w:val="20"/>
                <w:color w:val="auto"/>
              </w:rPr>
            </w:pPr>
            <w:r>
              <w:rPr>
                <w:rFonts w:ascii="Arial" w:cs="Arial" w:eastAsia="Arial" w:hAnsi="Arial"/>
                <w:sz w:val="13"/>
                <w:szCs w:val="13"/>
                <w:color w:val="3E3935"/>
              </w:rPr>
              <w:t>1,536,877</w:t>
            </w:r>
          </w:p>
        </w:tc>
        <w:tc>
          <w:tcPr>
            <w:tcW w:w="1260" w:type="dxa"/>
            <w:vAlign w:val="bottom"/>
            <w:tcBorders>
              <w:bottom w:val="single" w:sz="8" w:color="3E3935"/>
            </w:tcBorders>
          </w:tcPr>
          <w:p>
            <w:pPr>
              <w:spacing w:after="0"/>
              <w:rPr>
                <w:sz w:val="21"/>
                <w:szCs w:val="21"/>
                <w:color w:val="auto"/>
              </w:rPr>
            </w:pPr>
          </w:p>
        </w:tc>
        <w:tc>
          <w:tcPr>
            <w:tcW w:w="1080" w:type="dxa"/>
            <w:vAlign w:val="bottom"/>
            <w:tcBorders>
              <w:bottom w:val="single" w:sz="8" w:color="3E3935"/>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000" w:type="dxa"/>
            <w:vAlign w:val="bottom"/>
            <w:tcBorders>
              <w:bottom w:val="single" w:sz="8" w:color="3E3935"/>
            </w:tcBorders>
          </w:tcPr>
          <w:p>
            <w:pPr>
              <w:spacing w:after="0"/>
              <w:rPr>
                <w:sz w:val="21"/>
                <w:szCs w:val="21"/>
                <w:color w:val="auto"/>
              </w:rPr>
            </w:pPr>
          </w:p>
        </w:tc>
        <w:tc>
          <w:tcPr>
            <w:tcW w:w="900" w:type="dxa"/>
            <w:vAlign w:val="bottom"/>
            <w:tcBorders>
              <w:bottom w:val="single" w:sz="8" w:color="3E3935"/>
            </w:tcBorders>
            <w:gridSpan w:val="2"/>
          </w:tcPr>
          <w:p>
            <w:pPr>
              <w:jc w:val="right"/>
              <w:ind w:right="37"/>
              <w:spacing w:after="0"/>
              <w:rPr>
                <w:sz w:val="20"/>
                <w:szCs w:val="20"/>
                <w:color w:val="auto"/>
              </w:rPr>
            </w:pPr>
            <w:r>
              <w:rPr>
                <w:rFonts w:ascii="Arial" w:cs="Arial" w:eastAsia="Arial" w:hAnsi="Arial"/>
                <w:sz w:val="13"/>
                <w:szCs w:val="13"/>
                <w:color w:val="3E3935"/>
              </w:rPr>
              <w:t>2/12/2020</w:t>
            </w:r>
          </w:p>
        </w:tc>
        <w:tc>
          <w:tcPr>
            <w:tcW w:w="940" w:type="dxa"/>
            <w:vAlign w:val="bottom"/>
            <w:tcBorders>
              <w:bottom w:val="single" w:sz="8" w:color="3E3935"/>
            </w:tcBorders>
          </w:tcPr>
          <w:p>
            <w:pPr>
              <w:jc w:val="right"/>
              <w:ind w:right="17"/>
              <w:spacing w:after="0"/>
              <w:rPr>
                <w:sz w:val="20"/>
                <w:szCs w:val="20"/>
                <w:color w:val="auto"/>
              </w:rPr>
            </w:pPr>
            <w:r>
              <w:rPr>
                <w:rFonts w:ascii="Arial" w:cs="Arial" w:eastAsia="Arial" w:hAnsi="Arial"/>
                <w:sz w:val="13"/>
                <w:szCs w:val="13"/>
                <w:color w:val="3E3935"/>
              </w:rPr>
              <w:t>91,145</w:t>
            </w:r>
          </w:p>
        </w:tc>
        <w:tc>
          <w:tcPr>
            <w:tcW w:w="1240" w:type="dxa"/>
            <w:vAlign w:val="bottom"/>
            <w:tcBorders>
              <w:bottom w:val="single" w:sz="8" w:color="3E3935"/>
            </w:tcBorders>
          </w:tcPr>
          <w:p>
            <w:pPr>
              <w:jc w:val="right"/>
              <w:ind w:right="57"/>
              <w:spacing w:after="0"/>
              <w:rPr>
                <w:sz w:val="20"/>
                <w:szCs w:val="20"/>
                <w:color w:val="auto"/>
              </w:rPr>
            </w:pPr>
            <w:r>
              <w:rPr>
                <w:rFonts w:ascii="Arial" w:cs="Arial" w:eastAsia="Arial" w:hAnsi="Arial"/>
                <w:sz w:val="13"/>
                <w:szCs w:val="13"/>
                <w:color w:val="3E3935"/>
              </w:rPr>
              <w:t>45,572</w:t>
            </w:r>
            <w:r>
              <w:rPr>
                <w:rFonts w:ascii="Arial" w:cs="Arial" w:eastAsia="Arial" w:hAnsi="Arial"/>
                <w:sz w:val="18"/>
                <w:szCs w:val="18"/>
                <w:color w:val="3E3935"/>
                <w:vertAlign w:val="superscript"/>
              </w:rPr>
              <w:t>(4)</w:t>
            </w:r>
          </w:p>
        </w:tc>
        <w:tc>
          <w:tcPr>
            <w:tcW w:w="740" w:type="dxa"/>
            <w:vAlign w:val="bottom"/>
            <w:tcBorders>
              <w:bottom w:val="single" w:sz="8" w:color="3E3935"/>
            </w:tcBorders>
          </w:tcPr>
          <w:p>
            <w:pPr>
              <w:jc w:val="right"/>
              <w:ind w:right="57"/>
              <w:spacing w:after="0"/>
              <w:rPr>
                <w:sz w:val="20"/>
                <w:szCs w:val="20"/>
                <w:color w:val="auto"/>
              </w:rPr>
            </w:pPr>
            <w:r>
              <w:rPr>
                <w:rFonts w:ascii="Arial" w:cs="Arial" w:eastAsia="Arial" w:hAnsi="Arial"/>
                <w:sz w:val="13"/>
                <w:szCs w:val="13"/>
                <w:color w:val="3E3935"/>
              </w:rPr>
              <w:t>35.49</w:t>
            </w:r>
          </w:p>
        </w:tc>
        <w:tc>
          <w:tcPr>
            <w:tcW w:w="780" w:type="dxa"/>
            <w:vAlign w:val="bottom"/>
            <w:tcBorders>
              <w:bottom w:val="single" w:sz="8" w:color="3E3935"/>
            </w:tcBorders>
          </w:tcPr>
          <w:p>
            <w:pPr>
              <w:jc w:val="right"/>
              <w:spacing w:after="0"/>
              <w:rPr>
                <w:sz w:val="20"/>
                <w:szCs w:val="20"/>
                <w:color w:val="auto"/>
              </w:rPr>
            </w:pPr>
            <w:r>
              <w:rPr>
                <w:rFonts w:ascii="Arial" w:cs="Arial" w:eastAsia="Arial" w:hAnsi="Arial"/>
                <w:sz w:val="13"/>
                <w:szCs w:val="13"/>
                <w:color w:val="3E3935"/>
              </w:rPr>
              <w:t>2/12/2030</w:t>
            </w:r>
          </w:p>
        </w:tc>
        <w:tc>
          <w:tcPr>
            <w:tcW w:w="180" w:type="dxa"/>
            <w:vAlign w:val="bottom"/>
            <w:tcBorders>
              <w:bottom w:val="single" w:sz="8" w:color="3E3935"/>
            </w:tcBorders>
          </w:tcPr>
          <w:p>
            <w:pPr>
              <w:spacing w:after="0"/>
              <w:rPr>
                <w:sz w:val="21"/>
                <w:szCs w:val="21"/>
                <w:color w:val="auto"/>
              </w:rPr>
            </w:pPr>
          </w:p>
        </w:tc>
        <w:tc>
          <w:tcPr>
            <w:tcW w:w="1000" w:type="dxa"/>
            <w:vAlign w:val="bottom"/>
            <w:tcBorders>
              <w:bottom w:val="single" w:sz="8" w:color="3E3935"/>
            </w:tcBorders>
          </w:tcPr>
          <w:p>
            <w:pPr>
              <w:jc w:val="right"/>
              <w:ind w:right="157"/>
              <w:spacing w:after="0"/>
              <w:rPr>
                <w:sz w:val="20"/>
                <w:szCs w:val="20"/>
                <w:color w:val="auto"/>
              </w:rPr>
            </w:pPr>
            <w:r>
              <w:rPr>
                <w:rFonts w:ascii="Arial" w:cs="Arial" w:eastAsia="Arial" w:hAnsi="Arial"/>
                <w:sz w:val="13"/>
                <w:szCs w:val="13"/>
                <w:color w:val="3E3935"/>
              </w:rPr>
              <w:t>80,962</w:t>
            </w:r>
            <w:r>
              <w:rPr>
                <w:rFonts w:ascii="Arial" w:cs="Arial" w:eastAsia="Arial" w:hAnsi="Arial"/>
                <w:sz w:val="18"/>
                <w:szCs w:val="18"/>
                <w:color w:val="3E3935"/>
                <w:vertAlign w:val="superscript"/>
              </w:rPr>
              <w:t>(5)</w:t>
            </w:r>
          </w:p>
        </w:tc>
        <w:tc>
          <w:tcPr>
            <w:tcW w:w="900" w:type="dxa"/>
            <w:vAlign w:val="bottom"/>
            <w:tcBorders>
              <w:bottom w:val="single" w:sz="8" w:color="3E3935"/>
            </w:tcBorders>
          </w:tcPr>
          <w:p>
            <w:pPr>
              <w:jc w:val="right"/>
              <w:ind w:right="57"/>
              <w:spacing w:after="0"/>
              <w:rPr>
                <w:sz w:val="20"/>
                <w:szCs w:val="20"/>
                <w:color w:val="auto"/>
              </w:rPr>
            </w:pPr>
            <w:r>
              <w:rPr>
                <w:rFonts w:ascii="Arial" w:cs="Arial" w:eastAsia="Arial" w:hAnsi="Arial"/>
                <w:sz w:val="13"/>
                <w:szCs w:val="13"/>
                <w:color w:val="3E3935"/>
              </w:rPr>
              <w:t>2,723,562</w:t>
            </w:r>
          </w:p>
        </w:tc>
        <w:tc>
          <w:tcPr>
            <w:tcW w:w="1260" w:type="dxa"/>
            <w:vAlign w:val="bottom"/>
            <w:tcBorders>
              <w:bottom w:val="single" w:sz="8" w:color="3E3935"/>
            </w:tcBorders>
          </w:tcPr>
          <w:p>
            <w:pPr>
              <w:spacing w:after="0"/>
              <w:rPr>
                <w:sz w:val="21"/>
                <w:szCs w:val="21"/>
                <w:color w:val="auto"/>
              </w:rPr>
            </w:pPr>
          </w:p>
        </w:tc>
        <w:tc>
          <w:tcPr>
            <w:tcW w:w="1080" w:type="dxa"/>
            <w:vAlign w:val="bottom"/>
            <w:tcBorders>
              <w:bottom w:val="single" w:sz="8" w:color="3E3935"/>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000" w:type="dxa"/>
            <w:vAlign w:val="bottom"/>
          </w:tcPr>
          <w:p>
            <w:pPr>
              <w:ind w:left="60"/>
              <w:spacing w:after="0"/>
              <w:rPr>
                <w:sz w:val="20"/>
                <w:szCs w:val="20"/>
                <w:color w:val="auto"/>
              </w:rPr>
            </w:pPr>
            <w:r>
              <w:rPr>
                <w:rFonts w:ascii="Arial" w:cs="Arial" w:eastAsia="Arial" w:hAnsi="Arial"/>
                <w:sz w:val="13"/>
                <w:szCs w:val="13"/>
                <w:color w:val="3E3935"/>
              </w:rPr>
              <w:t>Stephen K. Carlisle</w:t>
            </w:r>
          </w:p>
        </w:tc>
        <w:tc>
          <w:tcPr>
            <w:tcW w:w="900" w:type="dxa"/>
            <w:vAlign w:val="bottom"/>
            <w:tcBorders>
              <w:bottom w:val="single" w:sz="8" w:color="3E3935"/>
            </w:tcBorders>
            <w:gridSpan w:val="2"/>
          </w:tcPr>
          <w:p>
            <w:pPr>
              <w:jc w:val="right"/>
              <w:ind w:right="37"/>
              <w:spacing w:after="0"/>
              <w:rPr>
                <w:sz w:val="20"/>
                <w:szCs w:val="20"/>
                <w:color w:val="auto"/>
              </w:rPr>
            </w:pPr>
            <w:r>
              <w:rPr>
                <w:rFonts w:ascii="Arial" w:cs="Arial" w:eastAsia="Arial" w:hAnsi="Arial"/>
                <w:sz w:val="13"/>
                <w:szCs w:val="13"/>
                <w:color w:val="3E3935"/>
              </w:rPr>
              <w:t>2/8/2022</w:t>
            </w:r>
          </w:p>
        </w:tc>
        <w:tc>
          <w:tcPr>
            <w:tcW w:w="940" w:type="dxa"/>
            <w:vAlign w:val="bottom"/>
            <w:tcBorders>
              <w:bottom w:val="single" w:sz="8" w:color="3E3935"/>
            </w:tcBorders>
          </w:tcPr>
          <w:p>
            <w:pPr>
              <w:jc w:val="right"/>
              <w:ind w:right="17"/>
              <w:spacing w:after="0"/>
              <w:rPr>
                <w:sz w:val="20"/>
                <w:szCs w:val="20"/>
                <w:color w:val="auto"/>
              </w:rPr>
            </w:pPr>
            <w:r>
              <w:rPr>
                <w:rFonts w:ascii="Arial" w:cs="Arial" w:eastAsia="Arial" w:hAnsi="Arial"/>
                <w:sz w:val="13"/>
                <w:szCs w:val="13"/>
                <w:color w:val="3E3935"/>
              </w:rPr>
              <w:t>—</w:t>
            </w:r>
          </w:p>
        </w:tc>
        <w:tc>
          <w:tcPr>
            <w:tcW w:w="1240" w:type="dxa"/>
            <w:vAlign w:val="bottom"/>
            <w:tcBorders>
              <w:bottom w:val="single" w:sz="8" w:color="3E3935"/>
            </w:tcBorders>
          </w:tcPr>
          <w:p>
            <w:pPr>
              <w:jc w:val="right"/>
              <w:ind w:right="57"/>
              <w:spacing w:after="0"/>
              <w:rPr>
                <w:sz w:val="20"/>
                <w:szCs w:val="20"/>
                <w:color w:val="auto"/>
              </w:rPr>
            </w:pPr>
            <w:r>
              <w:rPr>
                <w:rFonts w:ascii="Arial" w:cs="Arial" w:eastAsia="Arial" w:hAnsi="Arial"/>
                <w:sz w:val="13"/>
                <w:szCs w:val="13"/>
                <w:color w:val="3E3935"/>
              </w:rPr>
              <w:t>86,062</w:t>
            </w:r>
            <w:r>
              <w:rPr>
                <w:rFonts w:ascii="Arial" w:cs="Arial" w:eastAsia="Arial" w:hAnsi="Arial"/>
                <w:sz w:val="18"/>
                <w:szCs w:val="18"/>
                <w:color w:val="3E3935"/>
                <w:vertAlign w:val="superscript"/>
              </w:rPr>
              <w:t>(2)</w:t>
            </w:r>
          </w:p>
        </w:tc>
        <w:tc>
          <w:tcPr>
            <w:tcW w:w="740" w:type="dxa"/>
            <w:vAlign w:val="bottom"/>
            <w:tcBorders>
              <w:bottom w:val="single" w:sz="8" w:color="3E3935"/>
            </w:tcBorders>
          </w:tcPr>
          <w:p>
            <w:pPr>
              <w:jc w:val="right"/>
              <w:ind w:right="57"/>
              <w:spacing w:after="0"/>
              <w:rPr>
                <w:sz w:val="20"/>
                <w:szCs w:val="20"/>
                <w:color w:val="auto"/>
              </w:rPr>
            </w:pPr>
            <w:r>
              <w:rPr>
                <w:rFonts w:ascii="Arial" w:cs="Arial" w:eastAsia="Arial" w:hAnsi="Arial"/>
                <w:sz w:val="13"/>
                <w:szCs w:val="13"/>
                <w:color w:val="3E3935"/>
              </w:rPr>
              <w:t>49.46</w:t>
            </w:r>
          </w:p>
        </w:tc>
        <w:tc>
          <w:tcPr>
            <w:tcW w:w="780" w:type="dxa"/>
            <w:vAlign w:val="bottom"/>
            <w:tcBorders>
              <w:bottom w:val="single" w:sz="8" w:color="3E3935"/>
            </w:tcBorders>
          </w:tcPr>
          <w:p>
            <w:pPr>
              <w:jc w:val="right"/>
              <w:spacing w:after="0"/>
              <w:rPr>
                <w:sz w:val="20"/>
                <w:szCs w:val="20"/>
                <w:color w:val="auto"/>
              </w:rPr>
            </w:pPr>
            <w:r>
              <w:rPr>
                <w:rFonts w:ascii="Arial" w:cs="Arial" w:eastAsia="Arial" w:hAnsi="Arial"/>
                <w:sz w:val="13"/>
                <w:szCs w:val="13"/>
                <w:color w:val="3E3935"/>
              </w:rPr>
              <w:t>2/8/2032</w:t>
            </w:r>
          </w:p>
        </w:tc>
        <w:tc>
          <w:tcPr>
            <w:tcW w:w="180" w:type="dxa"/>
            <w:vAlign w:val="bottom"/>
            <w:tcBorders>
              <w:bottom w:val="single" w:sz="8" w:color="3E3935"/>
            </w:tcBorders>
          </w:tcPr>
          <w:p>
            <w:pPr>
              <w:spacing w:after="0"/>
              <w:rPr>
                <w:sz w:val="21"/>
                <w:szCs w:val="21"/>
                <w:color w:val="auto"/>
              </w:rPr>
            </w:pPr>
          </w:p>
        </w:tc>
        <w:tc>
          <w:tcPr>
            <w:tcW w:w="1000" w:type="dxa"/>
            <w:vAlign w:val="bottom"/>
            <w:tcBorders>
              <w:bottom w:val="single" w:sz="8" w:color="3E3935"/>
            </w:tcBorders>
          </w:tcPr>
          <w:p>
            <w:pPr>
              <w:spacing w:after="0"/>
              <w:rPr>
                <w:sz w:val="21"/>
                <w:szCs w:val="21"/>
                <w:color w:val="auto"/>
              </w:rPr>
            </w:pPr>
          </w:p>
        </w:tc>
        <w:tc>
          <w:tcPr>
            <w:tcW w:w="900" w:type="dxa"/>
            <w:vAlign w:val="bottom"/>
            <w:tcBorders>
              <w:bottom w:val="single" w:sz="8" w:color="3E3935"/>
            </w:tcBorders>
          </w:tcPr>
          <w:p>
            <w:pPr>
              <w:spacing w:after="0"/>
              <w:rPr>
                <w:sz w:val="21"/>
                <w:szCs w:val="21"/>
                <w:color w:val="auto"/>
              </w:rPr>
            </w:pPr>
          </w:p>
        </w:tc>
        <w:tc>
          <w:tcPr>
            <w:tcW w:w="1260" w:type="dxa"/>
            <w:vAlign w:val="bottom"/>
            <w:tcBorders>
              <w:bottom w:val="single" w:sz="8" w:color="3E3935"/>
            </w:tcBorders>
          </w:tcPr>
          <w:p>
            <w:pPr>
              <w:jc w:val="right"/>
              <w:ind w:right="19"/>
              <w:spacing w:after="0" w:line="250" w:lineRule="exact"/>
              <w:rPr>
                <w:sz w:val="20"/>
                <w:szCs w:val="20"/>
                <w:color w:val="auto"/>
              </w:rPr>
            </w:pPr>
            <w:r>
              <w:rPr>
                <w:rFonts w:ascii="Arial" w:cs="Arial" w:eastAsia="Arial" w:hAnsi="Arial"/>
                <w:sz w:val="25"/>
                <w:szCs w:val="25"/>
                <w:color w:val="3E3935"/>
                <w:vertAlign w:val="subscript"/>
              </w:rPr>
              <w:t>88,744</w:t>
            </w:r>
            <w:r>
              <w:rPr>
                <w:rFonts w:ascii="Arial" w:cs="Arial" w:eastAsia="Arial" w:hAnsi="Arial"/>
                <w:sz w:val="9"/>
                <w:szCs w:val="9"/>
                <w:color w:val="3E3935"/>
              </w:rPr>
              <w:t>(7)(8)</w:t>
            </w:r>
          </w:p>
        </w:tc>
        <w:tc>
          <w:tcPr>
            <w:tcW w:w="1080" w:type="dxa"/>
            <w:vAlign w:val="bottom"/>
            <w:tcBorders>
              <w:bottom w:val="single" w:sz="8" w:color="3E3935"/>
            </w:tcBorders>
          </w:tcPr>
          <w:p>
            <w:pPr>
              <w:ind w:left="360"/>
              <w:spacing w:after="0"/>
              <w:rPr>
                <w:sz w:val="20"/>
                <w:szCs w:val="20"/>
                <w:color w:val="auto"/>
              </w:rPr>
            </w:pPr>
            <w:r>
              <w:rPr>
                <w:rFonts w:ascii="Arial" w:cs="Arial" w:eastAsia="Arial" w:hAnsi="Arial"/>
                <w:sz w:val="13"/>
                <w:szCs w:val="13"/>
                <w:color w:val="3E3935"/>
                <w:w w:val="96"/>
              </w:rPr>
              <w:t>2,985,348</w:t>
            </w:r>
            <w:r>
              <w:rPr>
                <w:rFonts w:ascii="Arial" w:cs="Arial" w:eastAsia="Arial" w:hAnsi="Arial"/>
                <w:sz w:val="18"/>
                <w:szCs w:val="18"/>
                <w:color w:val="3E3935"/>
                <w:w w:val="96"/>
                <w:vertAlign w:val="superscript"/>
              </w:rPr>
              <w:t>(8)</w:t>
            </w:r>
          </w:p>
        </w:tc>
        <w:tc>
          <w:tcPr>
            <w:tcW w:w="0" w:type="dxa"/>
            <w:vAlign w:val="bottom"/>
          </w:tcPr>
          <w:p>
            <w:pPr>
              <w:spacing w:after="0"/>
              <w:rPr>
                <w:sz w:val="1"/>
                <w:szCs w:val="1"/>
                <w:color w:val="auto"/>
              </w:rPr>
            </w:pPr>
          </w:p>
        </w:tc>
      </w:tr>
      <w:tr>
        <w:trPr>
          <w:trHeight w:val="250"/>
        </w:trPr>
        <w:tc>
          <w:tcPr>
            <w:tcW w:w="2000" w:type="dxa"/>
            <w:vAlign w:val="bottom"/>
          </w:tcPr>
          <w:p>
            <w:pPr>
              <w:spacing w:after="0"/>
              <w:rPr>
                <w:sz w:val="21"/>
                <w:szCs w:val="21"/>
                <w:color w:val="auto"/>
              </w:rPr>
            </w:pPr>
          </w:p>
        </w:tc>
        <w:tc>
          <w:tcPr>
            <w:tcW w:w="900" w:type="dxa"/>
            <w:vAlign w:val="bottom"/>
            <w:tcBorders>
              <w:bottom w:val="single" w:sz="8" w:color="3E3935"/>
            </w:tcBorders>
            <w:gridSpan w:val="2"/>
          </w:tcPr>
          <w:p>
            <w:pPr>
              <w:jc w:val="right"/>
              <w:ind w:right="37"/>
              <w:spacing w:after="0"/>
              <w:rPr>
                <w:sz w:val="20"/>
                <w:szCs w:val="20"/>
                <w:color w:val="auto"/>
              </w:rPr>
            </w:pPr>
            <w:r>
              <w:rPr>
                <w:rFonts w:ascii="Arial" w:cs="Arial" w:eastAsia="Arial" w:hAnsi="Arial"/>
                <w:sz w:val="13"/>
                <w:szCs w:val="13"/>
                <w:color w:val="3E3935"/>
              </w:rPr>
              <w:t>2/18/2021</w:t>
            </w:r>
          </w:p>
        </w:tc>
        <w:tc>
          <w:tcPr>
            <w:tcW w:w="940" w:type="dxa"/>
            <w:vAlign w:val="bottom"/>
            <w:tcBorders>
              <w:bottom w:val="single" w:sz="8" w:color="3E3935"/>
            </w:tcBorders>
          </w:tcPr>
          <w:p>
            <w:pPr>
              <w:jc w:val="right"/>
              <w:ind w:right="17"/>
              <w:spacing w:after="0"/>
              <w:rPr>
                <w:sz w:val="20"/>
                <w:szCs w:val="20"/>
                <w:color w:val="auto"/>
              </w:rPr>
            </w:pPr>
            <w:r>
              <w:rPr>
                <w:rFonts w:ascii="Arial" w:cs="Arial" w:eastAsia="Arial" w:hAnsi="Arial"/>
                <w:sz w:val="13"/>
                <w:szCs w:val="13"/>
                <w:color w:val="3E3935"/>
              </w:rPr>
              <w:t>20,545</w:t>
            </w:r>
          </w:p>
        </w:tc>
        <w:tc>
          <w:tcPr>
            <w:tcW w:w="1240" w:type="dxa"/>
            <w:vAlign w:val="bottom"/>
            <w:tcBorders>
              <w:bottom w:val="single" w:sz="8" w:color="3E3935"/>
            </w:tcBorders>
          </w:tcPr>
          <w:p>
            <w:pPr>
              <w:jc w:val="right"/>
              <w:ind w:right="57"/>
              <w:spacing w:after="0"/>
              <w:rPr>
                <w:sz w:val="20"/>
                <w:szCs w:val="20"/>
                <w:color w:val="auto"/>
              </w:rPr>
            </w:pPr>
            <w:r>
              <w:rPr>
                <w:rFonts w:ascii="Arial" w:cs="Arial" w:eastAsia="Arial" w:hAnsi="Arial"/>
                <w:sz w:val="13"/>
                <w:szCs w:val="13"/>
                <w:color w:val="3E3935"/>
              </w:rPr>
              <w:t>41,090</w:t>
            </w:r>
            <w:r>
              <w:rPr>
                <w:rFonts w:ascii="Arial" w:cs="Arial" w:eastAsia="Arial" w:hAnsi="Arial"/>
                <w:sz w:val="18"/>
                <w:szCs w:val="18"/>
                <w:color w:val="3E3935"/>
                <w:vertAlign w:val="superscript"/>
              </w:rPr>
              <w:t>(3)</w:t>
            </w:r>
          </w:p>
        </w:tc>
        <w:tc>
          <w:tcPr>
            <w:tcW w:w="740" w:type="dxa"/>
            <w:vAlign w:val="bottom"/>
            <w:tcBorders>
              <w:bottom w:val="single" w:sz="8" w:color="3E3935"/>
            </w:tcBorders>
          </w:tcPr>
          <w:p>
            <w:pPr>
              <w:jc w:val="right"/>
              <w:ind w:right="57"/>
              <w:spacing w:after="0"/>
              <w:rPr>
                <w:sz w:val="20"/>
                <w:szCs w:val="20"/>
                <w:color w:val="auto"/>
              </w:rPr>
            </w:pPr>
            <w:r>
              <w:rPr>
                <w:rFonts w:ascii="Arial" w:cs="Arial" w:eastAsia="Arial" w:hAnsi="Arial"/>
                <w:sz w:val="13"/>
                <w:szCs w:val="13"/>
                <w:color w:val="3E3935"/>
              </w:rPr>
              <w:t>52.16</w:t>
            </w:r>
          </w:p>
        </w:tc>
        <w:tc>
          <w:tcPr>
            <w:tcW w:w="780" w:type="dxa"/>
            <w:vAlign w:val="bottom"/>
            <w:tcBorders>
              <w:bottom w:val="single" w:sz="8" w:color="3E3935"/>
            </w:tcBorders>
          </w:tcPr>
          <w:p>
            <w:pPr>
              <w:jc w:val="right"/>
              <w:spacing w:after="0"/>
              <w:rPr>
                <w:sz w:val="20"/>
                <w:szCs w:val="20"/>
                <w:color w:val="auto"/>
              </w:rPr>
            </w:pPr>
            <w:r>
              <w:rPr>
                <w:rFonts w:ascii="Arial" w:cs="Arial" w:eastAsia="Arial" w:hAnsi="Arial"/>
                <w:sz w:val="13"/>
                <w:szCs w:val="13"/>
                <w:color w:val="3E3935"/>
              </w:rPr>
              <w:t>2/18/2031</w:t>
            </w:r>
          </w:p>
        </w:tc>
        <w:tc>
          <w:tcPr>
            <w:tcW w:w="180" w:type="dxa"/>
            <w:vAlign w:val="bottom"/>
            <w:tcBorders>
              <w:bottom w:val="single" w:sz="8" w:color="3E3935"/>
            </w:tcBorders>
          </w:tcPr>
          <w:p>
            <w:pPr>
              <w:spacing w:after="0"/>
              <w:rPr>
                <w:sz w:val="21"/>
                <w:szCs w:val="21"/>
                <w:color w:val="auto"/>
              </w:rPr>
            </w:pPr>
          </w:p>
        </w:tc>
        <w:tc>
          <w:tcPr>
            <w:tcW w:w="1000" w:type="dxa"/>
            <w:vAlign w:val="bottom"/>
            <w:tcBorders>
              <w:bottom w:val="single" w:sz="8" w:color="3E3935"/>
            </w:tcBorders>
          </w:tcPr>
          <w:p>
            <w:pPr>
              <w:spacing w:after="0"/>
              <w:rPr>
                <w:sz w:val="21"/>
                <w:szCs w:val="21"/>
                <w:color w:val="auto"/>
              </w:rPr>
            </w:pPr>
          </w:p>
        </w:tc>
        <w:tc>
          <w:tcPr>
            <w:tcW w:w="900" w:type="dxa"/>
            <w:vAlign w:val="bottom"/>
            <w:tcBorders>
              <w:bottom w:val="single" w:sz="8" w:color="3E3935"/>
            </w:tcBorders>
          </w:tcPr>
          <w:p>
            <w:pPr>
              <w:spacing w:after="0"/>
              <w:rPr>
                <w:sz w:val="21"/>
                <w:szCs w:val="21"/>
                <w:color w:val="auto"/>
              </w:rPr>
            </w:pPr>
          </w:p>
        </w:tc>
        <w:tc>
          <w:tcPr>
            <w:tcW w:w="1260" w:type="dxa"/>
            <w:vAlign w:val="bottom"/>
            <w:tcBorders>
              <w:bottom w:val="single" w:sz="8" w:color="3E3935"/>
            </w:tcBorders>
          </w:tcPr>
          <w:p>
            <w:pPr>
              <w:jc w:val="right"/>
              <w:ind w:right="19"/>
              <w:spacing w:after="0" w:line="250" w:lineRule="exact"/>
              <w:rPr>
                <w:sz w:val="20"/>
                <w:szCs w:val="20"/>
                <w:color w:val="auto"/>
              </w:rPr>
            </w:pPr>
            <w:r>
              <w:rPr>
                <w:rFonts w:ascii="Arial" w:cs="Arial" w:eastAsia="Arial" w:hAnsi="Arial"/>
                <w:sz w:val="25"/>
                <w:szCs w:val="25"/>
                <w:color w:val="3E3935"/>
                <w:vertAlign w:val="subscript"/>
              </w:rPr>
              <w:t>71,715</w:t>
            </w:r>
            <w:r>
              <w:rPr>
                <w:rFonts w:ascii="Arial" w:cs="Arial" w:eastAsia="Arial" w:hAnsi="Arial"/>
                <w:sz w:val="9"/>
                <w:szCs w:val="9"/>
                <w:color w:val="3E3935"/>
              </w:rPr>
              <w:t>(7)(8)</w:t>
            </w:r>
          </w:p>
        </w:tc>
        <w:tc>
          <w:tcPr>
            <w:tcW w:w="1080" w:type="dxa"/>
            <w:vAlign w:val="bottom"/>
            <w:tcBorders>
              <w:bottom w:val="single" w:sz="8" w:color="3E3935"/>
            </w:tcBorders>
          </w:tcPr>
          <w:p>
            <w:pPr>
              <w:ind w:left="360"/>
              <w:spacing w:after="0"/>
              <w:rPr>
                <w:sz w:val="20"/>
                <w:szCs w:val="20"/>
                <w:color w:val="auto"/>
              </w:rPr>
            </w:pPr>
            <w:r>
              <w:rPr>
                <w:rFonts w:ascii="Arial" w:cs="Arial" w:eastAsia="Arial" w:hAnsi="Arial"/>
                <w:sz w:val="13"/>
                <w:szCs w:val="13"/>
                <w:color w:val="3E3935"/>
                <w:w w:val="96"/>
              </w:rPr>
              <w:t>2,412,493</w:t>
            </w:r>
            <w:r>
              <w:rPr>
                <w:rFonts w:ascii="Arial" w:cs="Arial" w:eastAsia="Arial" w:hAnsi="Arial"/>
                <w:sz w:val="18"/>
                <w:szCs w:val="18"/>
                <w:color w:val="3E3935"/>
                <w:w w:val="96"/>
                <w:vertAlign w:val="superscript"/>
              </w:rPr>
              <w:t>(8)</w:t>
            </w:r>
          </w:p>
        </w:tc>
        <w:tc>
          <w:tcPr>
            <w:tcW w:w="0" w:type="dxa"/>
            <w:vAlign w:val="bottom"/>
          </w:tcPr>
          <w:p>
            <w:pPr>
              <w:spacing w:after="0"/>
              <w:rPr>
                <w:sz w:val="1"/>
                <w:szCs w:val="1"/>
                <w:color w:val="auto"/>
              </w:rPr>
            </w:pPr>
          </w:p>
        </w:tc>
      </w:tr>
      <w:tr>
        <w:trPr>
          <w:trHeight w:val="250"/>
        </w:trPr>
        <w:tc>
          <w:tcPr>
            <w:tcW w:w="2000" w:type="dxa"/>
            <w:vAlign w:val="bottom"/>
          </w:tcPr>
          <w:p>
            <w:pPr>
              <w:spacing w:after="0"/>
              <w:rPr>
                <w:sz w:val="21"/>
                <w:szCs w:val="21"/>
                <w:color w:val="auto"/>
              </w:rPr>
            </w:pPr>
          </w:p>
        </w:tc>
        <w:tc>
          <w:tcPr>
            <w:tcW w:w="900" w:type="dxa"/>
            <w:vAlign w:val="bottom"/>
            <w:tcBorders>
              <w:bottom w:val="single" w:sz="8" w:color="3E3935"/>
            </w:tcBorders>
            <w:gridSpan w:val="2"/>
          </w:tcPr>
          <w:p>
            <w:pPr>
              <w:jc w:val="right"/>
              <w:ind w:right="37"/>
              <w:spacing w:after="0"/>
              <w:rPr>
                <w:sz w:val="20"/>
                <w:szCs w:val="20"/>
                <w:color w:val="auto"/>
              </w:rPr>
            </w:pPr>
            <w:r>
              <w:rPr>
                <w:rFonts w:ascii="Arial" w:cs="Arial" w:eastAsia="Arial" w:hAnsi="Arial"/>
                <w:sz w:val="13"/>
                <w:szCs w:val="13"/>
                <w:color w:val="3E3935"/>
              </w:rPr>
              <w:t>12/1/2020</w:t>
            </w:r>
          </w:p>
        </w:tc>
        <w:tc>
          <w:tcPr>
            <w:tcW w:w="940" w:type="dxa"/>
            <w:vAlign w:val="bottom"/>
            <w:tcBorders>
              <w:bottom w:val="single" w:sz="8" w:color="3E3935"/>
            </w:tcBorders>
          </w:tcPr>
          <w:p>
            <w:pPr>
              <w:spacing w:after="0"/>
              <w:rPr>
                <w:sz w:val="21"/>
                <w:szCs w:val="21"/>
                <w:color w:val="auto"/>
              </w:rPr>
            </w:pPr>
          </w:p>
        </w:tc>
        <w:tc>
          <w:tcPr>
            <w:tcW w:w="1240" w:type="dxa"/>
            <w:vAlign w:val="bottom"/>
            <w:tcBorders>
              <w:bottom w:val="single" w:sz="8" w:color="3E3935"/>
            </w:tcBorders>
          </w:tcPr>
          <w:p>
            <w:pPr>
              <w:spacing w:after="0"/>
              <w:rPr>
                <w:sz w:val="21"/>
                <w:szCs w:val="21"/>
                <w:color w:val="auto"/>
              </w:rPr>
            </w:pPr>
          </w:p>
        </w:tc>
        <w:tc>
          <w:tcPr>
            <w:tcW w:w="740" w:type="dxa"/>
            <w:vAlign w:val="bottom"/>
            <w:tcBorders>
              <w:bottom w:val="single" w:sz="8" w:color="3E3935"/>
            </w:tcBorders>
          </w:tcPr>
          <w:p>
            <w:pPr>
              <w:spacing w:after="0"/>
              <w:rPr>
                <w:sz w:val="21"/>
                <w:szCs w:val="21"/>
                <w:color w:val="auto"/>
              </w:rPr>
            </w:pPr>
          </w:p>
        </w:tc>
        <w:tc>
          <w:tcPr>
            <w:tcW w:w="780" w:type="dxa"/>
            <w:vAlign w:val="bottom"/>
            <w:tcBorders>
              <w:bottom w:val="single" w:sz="8" w:color="3E3935"/>
            </w:tcBorders>
          </w:tcPr>
          <w:p>
            <w:pPr>
              <w:spacing w:after="0"/>
              <w:rPr>
                <w:sz w:val="21"/>
                <w:szCs w:val="21"/>
                <w:color w:val="auto"/>
              </w:rPr>
            </w:pPr>
          </w:p>
        </w:tc>
        <w:tc>
          <w:tcPr>
            <w:tcW w:w="180" w:type="dxa"/>
            <w:vAlign w:val="bottom"/>
            <w:tcBorders>
              <w:bottom w:val="single" w:sz="8" w:color="3E3935"/>
            </w:tcBorders>
          </w:tcPr>
          <w:p>
            <w:pPr>
              <w:spacing w:after="0"/>
              <w:rPr>
                <w:sz w:val="21"/>
                <w:szCs w:val="21"/>
                <w:color w:val="auto"/>
              </w:rPr>
            </w:pPr>
          </w:p>
        </w:tc>
        <w:tc>
          <w:tcPr>
            <w:tcW w:w="1000" w:type="dxa"/>
            <w:vAlign w:val="bottom"/>
            <w:tcBorders>
              <w:bottom w:val="single" w:sz="8" w:color="3E3935"/>
            </w:tcBorders>
          </w:tcPr>
          <w:p>
            <w:pPr>
              <w:jc w:val="right"/>
              <w:ind w:right="157"/>
              <w:spacing w:after="0"/>
              <w:rPr>
                <w:sz w:val="20"/>
                <w:szCs w:val="20"/>
                <w:color w:val="auto"/>
              </w:rPr>
            </w:pPr>
            <w:r>
              <w:rPr>
                <w:rFonts w:ascii="Arial" w:cs="Arial" w:eastAsia="Arial" w:hAnsi="Arial"/>
                <w:sz w:val="13"/>
                <w:szCs w:val="13"/>
                <w:color w:val="3E3935"/>
              </w:rPr>
              <w:t>9,334</w:t>
            </w:r>
            <w:r>
              <w:rPr>
                <w:rFonts w:ascii="Arial" w:cs="Arial" w:eastAsia="Arial" w:hAnsi="Arial"/>
                <w:sz w:val="18"/>
                <w:szCs w:val="18"/>
                <w:color w:val="3E3935"/>
                <w:vertAlign w:val="superscript"/>
              </w:rPr>
              <w:t>(5)</w:t>
            </w:r>
          </w:p>
        </w:tc>
        <w:tc>
          <w:tcPr>
            <w:tcW w:w="900" w:type="dxa"/>
            <w:vAlign w:val="bottom"/>
            <w:tcBorders>
              <w:bottom w:val="single" w:sz="8" w:color="3E3935"/>
            </w:tcBorders>
          </w:tcPr>
          <w:p>
            <w:pPr>
              <w:jc w:val="right"/>
              <w:ind w:right="57"/>
              <w:spacing w:after="0"/>
              <w:rPr>
                <w:sz w:val="20"/>
                <w:szCs w:val="20"/>
                <w:color w:val="auto"/>
              </w:rPr>
            </w:pPr>
            <w:r>
              <w:rPr>
                <w:rFonts w:ascii="Arial" w:cs="Arial" w:eastAsia="Arial" w:hAnsi="Arial"/>
                <w:sz w:val="13"/>
                <w:szCs w:val="13"/>
                <w:color w:val="3E3935"/>
              </w:rPr>
              <w:t>313,996</w:t>
            </w:r>
          </w:p>
        </w:tc>
        <w:tc>
          <w:tcPr>
            <w:tcW w:w="1260" w:type="dxa"/>
            <w:vAlign w:val="bottom"/>
            <w:tcBorders>
              <w:bottom w:val="single" w:sz="8" w:color="3E3935"/>
            </w:tcBorders>
          </w:tcPr>
          <w:p>
            <w:pPr>
              <w:spacing w:after="0"/>
              <w:rPr>
                <w:sz w:val="21"/>
                <w:szCs w:val="21"/>
                <w:color w:val="auto"/>
              </w:rPr>
            </w:pPr>
          </w:p>
        </w:tc>
        <w:tc>
          <w:tcPr>
            <w:tcW w:w="1080" w:type="dxa"/>
            <w:vAlign w:val="bottom"/>
            <w:tcBorders>
              <w:bottom w:val="single" w:sz="8" w:color="3E3935"/>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000" w:type="dxa"/>
            <w:vAlign w:val="bottom"/>
          </w:tcPr>
          <w:p>
            <w:pPr>
              <w:spacing w:after="0"/>
              <w:rPr>
                <w:sz w:val="21"/>
                <w:szCs w:val="21"/>
                <w:color w:val="auto"/>
              </w:rPr>
            </w:pPr>
          </w:p>
        </w:tc>
        <w:tc>
          <w:tcPr>
            <w:tcW w:w="900" w:type="dxa"/>
            <w:vAlign w:val="bottom"/>
            <w:tcBorders>
              <w:bottom w:val="single" w:sz="8" w:color="3E3935"/>
            </w:tcBorders>
            <w:gridSpan w:val="2"/>
          </w:tcPr>
          <w:p>
            <w:pPr>
              <w:jc w:val="right"/>
              <w:ind w:right="37"/>
              <w:spacing w:after="0"/>
              <w:rPr>
                <w:sz w:val="20"/>
                <w:szCs w:val="20"/>
                <w:color w:val="auto"/>
              </w:rPr>
            </w:pPr>
            <w:r>
              <w:rPr>
                <w:rFonts w:ascii="Arial" w:cs="Arial" w:eastAsia="Arial" w:hAnsi="Arial"/>
                <w:sz w:val="13"/>
                <w:szCs w:val="13"/>
                <w:color w:val="3E3935"/>
              </w:rPr>
              <w:t>10/1/2020</w:t>
            </w:r>
          </w:p>
        </w:tc>
        <w:tc>
          <w:tcPr>
            <w:tcW w:w="940" w:type="dxa"/>
            <w:vAlign w:val="bottom"/>
            <w:tcBorders>
              <w:bottom w:val="single" w:sz="8" w:color="3E3935"/>
            </w:tcBorders>
          </w:tcPr>
          <w:p>
            <w:pPr>
              <w:jc w:val="right"/>
              <w:ind w:right="17"/>
              <w:spacing w:after="0"/>
              <w:rPr>
                <w:sz w:val="20"/>
                <w:szCs w:val="20"/>
                <w:color w:val="auto"/>
              </w:rPr>
            </w:pPr>
            <w:r>
              <w:rPr>
                <w:rFonts w:ascii="Arial" w:cs="Arial" w:eastAsia="Arial" w:hAnsi="Arial"/>
                <w:sz w:val="13"/>
                <w:szCs w:val="13"/>
                <w:color w:val="3E3935"/>
              </w:rPr>
              <w:t>16,524</w:t>
            </w:r>
          </w:p>
        </w:tc>
        <w:tc>
          <w:tcPr>
            <w:tcW w:w="1240" w:type="dxa"/>
            <w:vAlign w:val="bottom"/>
            <w:tcBorders>
              <w:bottom w:val="single" w:sz="8" w:color="3E3935"/>
            </w:tcBorders>
          </w:tcPr>
          <w:p>
            <w:pPr>
              <w:jc w:val="right"/>
              <w:ind w:right="57"/>
              <w:spacing w:after="0"/>
              <w:rPr>
                <w:sz w:val="20"/>
                <w:szCs w:val="20"/>
                <w:color w:val="auto"/>
              </w:rPr>
            </w:pPr>
            <w:r>
              <w:rPr>
                <w:rFonts w:ascii="Arial" w:cs="Arial" w:eastAsia="Arial" w:hAnsi="Arial"/>
                <w:sz w:val="13"/>
                <w:szCs w:val="13"/>
                <w:color w:val="3E3935"/>
              </w:rPr>
              <w:t>16,525</w:t>
            </w:r>
            <w:r>
              <w:rPr>
                <w:rFonts w:ascii="Arial" w:cs="Arial" w:eastAsia="Arial" w:hAnsi="Arial"/>
                <w:sz w:val="18"/>
                <w:szCs w:val="18"/>
                <w:color w:val="3E3935"/>
                <w:vertAlign w:val="superscript"/>
              </w:rPr>
              <w:t>(4)</w:t>
            </w:r>
          </w:p>
        </w:tc>
        <w:tc>
          <w:tcPr>
            <w:tcW w:w="740" w:type="dxa"/>
            <w:vAlign w:val="bottom"/>
            <w:tcBorders>
              <w:bottom w:val="single" w:sz="8" w:color="3E3935"/>
            </w:tcBorders>
          </w:tcPr>
          <w:p>
            <w:pPr>
              <w:jc w:val="right"/>
              <w:ind w:right="57"/>
              <w:spacing w:after="0"/>
              <w:rPr>
                <w:sz w:val="20"/>
                <w:szCs w:val="20"/>
                <w:color w:val="auto"/>
              </w:rPr>
            </w:pPr>
            <w:r>
              <w:rPr>
                <w:rFonts w:ascii="Arial" w:cs="Arial" w:eastAsia="Arial" w:hAnsi="Arial"/>
                <w:sz w:val="13"/>
                <w:szCs w:val="13"/>
                <w:color w:val="3E3935"/>
              </w:rPr>
              <w:t>30.38</w:t>
            </w:r>
          </w:p>
        </w:tc>
        <w:tc>
          <w:tcPr>
            <w:tcW w:w="780" w:type="dxa"/>
            <w:vAlign w:val="bottom"/>
            <w:tcBorders>
              <w:bottom w:val="single" w:sz="8" w:color="3E3935"/>
            </w:tcBorders>
          </w:tcPr>
          <w:p>
            <w:pPr>
              <w:jc w:val="right"/>
              <w:spacing w:after="0"/>
              <w:rPr>
                <w:sz w:val="20"/>
                <w:szCs w:val="20"/>
                <w:color w:val="auto"/>
              </w:rPr>
            </w:pPr>
            <w:r>
              <w:rPr>
                <w:rFonts w:ascii="Arial" w:cs="Arial" w:eastAsia="Arial" w:hAnsi="Arial"/>
                <w:sz w:val="13"/>
                <w:szCs w:val="13"/>
                <w:color w:val="3E3935"/>
              </w:rPr>
              <w:t>2/12/2030</w:t>
            </w:r>
          </w:p>
        </w:tc>
        <w:tc>
          <w:tcPr>
            <w:tcW w:w="180" w:type="dxa"/>
            <w:vAlign w:val="bottom"/>
            <w:tcBorders>
              <w:bottom w:val="single" w:sz="8" w:color="3E3935"/>
            </w:tcBorders>
          </w:tcPr>
          <w:p>
            <w:pPr>
              <w:spacing w:after="0"/>
              <w:rPr>
                <w:sz w:val="21"/>
                <w:szCs w:val="21"/>
                <w:color w:val="auto"/>
              </w:rPr>
            </w:pPr>
          </w:p>
        </w:tc>
        <w:tc>
          <w:tcPr>
            <w:tcW w:w="1000" w:type="dxa"/>
            <w:vAlign w:val="bottom"/>
            <w:tcBorders>
              <w:bottom w:val="single" w:sz="8" w:color="3E3935"/>
            </w:tcBorders>
          </w:tcPr>
          <w:p>
            <w:pPr>
              <w:jc w:val="right"/>
              <w:ind w:right="157"/>
              <w:spacing w:after="0"/>
              <w:rPr>
                <w:sz w:val="20"/>
                <w:szCs w:val="20"/>
                <w:color w:val="auto"/>
              </w:rPr>
            </w:pPr>
            <w:r>
              <w:rPr>
                <w:rFonts w:ascii="Arial" w:cs="Arial" w:eastAsia="Arial" w:hAnsi="Arial"/>
                <w:sz w:val="13"/>
                <w:szCs w:val="13"/>
                <w:color w:val="3E3935"/>
              </w:rPr>
              <w:t>67,774</w:t>
            </w:r>
            <w:r>
              <w:rPr>
                <w:rFonts w:ascii="Arial" w:cs="Arial" w:eastAsia="Arial" w:hAnsi="Arial"/>
                <w:sz w:val="18"/>
                <w:szCs w:val="18"/>
                <w:color w:val="3E3935"/>
                <w:vertAlign w:val="superscript"/>
              </w:rPr>
              <w:t>(5)</w:t>
            </w:r>
          </w:p>
        </w:tc>
        <w:tc>
          <w:tcPr>
            <w:tcW w:w="900" w:type="dxa"/>
            <w:vAlign w:val="bottom"/>
            <w:tcBorders>
              <w:bottom w:val="single" w:sz="8" w:color="3E3935"/>
            </w:tcBorders>
          </w:tcPr>
          <w:p>
            <w:pPr>
              <w:jc w:val="right"/>
              <w:ind w:right="57"/>
              <w:spacing w:after="0"/>
              <w:rPr>
                <w:sz w:val="20"/>
                <w:szCs w:val="20"/>
                <w:color w:val="auto"/>
              </w:rPr>
            </w:pPr>
            <w:r>
              <w:rPr>
                <w:rFonts w:ascii="Arial" w:cs="Arial" w:eastAsia="Arial" w:hAnsi="Arial"/>
                <w:sz w:val="13"/>
                <w:szCs w:val="13"/>
                <w:color w:val="3E3935"/>
              </w:rPr>
              <w:t>2,279,917</w:t>
            </w:r>
          </w:p>
        </w:tc>
        <w:tc>
          <w:tcPr>
            <w:tcW w:w="1260" w:type="dxa"/>
            <w:vAlign w:val="bottom"/>
            <w:tcBorders>
              <w:bottom w:val="single" w:sz="8" w:color="3E3935"/>
            </w:tcBorders>
          </w:tcPr>
          <w:p>
            <w:pPr>
              <w:spacing w:after="0"/>
              <w:rPr>
                <w:sz w:val="21"/>
                <w:szCs w:val="21"/>
                <w:color w:val="auto"/>
              </w:rPr>
            </w:pPr>
          </w:p>
        </w:tc>
        <w:tc>
          <w:tcPr>
            <w:tcW w:w="1080" w:type="dxa"/>
            <w:vAlign w:val="bottom"/>
            <w:tcBorders>
              <w:bottom w:val="single" w:sz="8" w:color="3E3935"/>
            </w:tcBorders>
          </w:tcPr>
          <w:p>
            <w:pPr>
              <w:spacing w:after="0"/>
              <w:rPr>
                <w:sz w:val="21"/>
                <w:szCs w:val="21"/>
                <w:color w:val="auto"/>
              </w:rPr>
            </w:pPr>
          </w:p>
        </w:tc>
        <w:tc>
          <w:tcPr>
            <w:tcW w:w="0" w:type="dxa"/>
            <w:vAlign w:val="bottom"/>
          </w:tcPr>
          <w:p>
            <w:pPr>
              <w:spacing w:after="0"/>
              <w:rPr>
                <w:sz w:val="1"/>
                <w:szCs w:val="1"/>
                <w:color w:val="auto"/>
              </w:rPr>
            </w:pPr>
          </w:p>
        </w:tc>
      </w:tr>
      <w:tr>
        <w:trPr>
          <w:trHeight w:val="287"/>
        </w:trPr>
        <w:tc>
          <w:tcPr>
            <w:tcW w:w="2000" w:type="dxa"/>
            <w:vAlign w:val="bottom"/>
          </w:tcPr>
          <w:p>
            <w:pPr>
              <w:spacing w:after="0"/>
              <w:rPr>
                <w:sz w:val="24"/>
                <w:szCs w:val="24"/>
                <w:color w:val="auto"/>
              </w:rPr>
            </w:pPr>
          </w:p>
        </w:tc>
        <w:tc>
          <w:tcPr>
            <w:tcW w:w="900" w:type="dxa"/>
            <w:vAlign w:val="bottom"/>
            <w:gridSpan w:val="2"/>
          </w:tcPr>
          <w:p>
            <w:pPr>
              <w:jc w:val="right"/>
              <w:ind w:right="37"/>
              <w:spacing w:after="0"/>
              <w:rPr>
                <w:sz w:val="20"/>
                <w:szCs w:val="20"/>
                <w:color w:val="auto"/>
              </w:rPr>
            </w:pPr>
            <w:r>
              <w:rPr>
                <w:rFonts w:ascii="Arial" w:cs="Arial" w:eastAsia="Arial" w:hAnsi="Arial"/>
                <w:sz w:val="13"/>
                <w:szCs w:val="13"/>
                <w:color w:val="3E3935"/>
              </w:rPr>
              <w:t>2/12/2020</w:t>
            </w:r>
          </w:p>
        </w:tc>
        <w:tc>
          <w:tcPr>
            <w:tcW w:w="940" w:type="dxa"/>
            <w:vAlign w:val="bottom"/>
          </w:tcPr>
          <w:p>
            <w:pPr>
              <w:jc w:val="right"/>
              <w:ind w:right="17"/>
              <w:spacing w:after="0"/>
              <w:rPr>
                <w:sz w:val="20"/>
                <w:szCs w:val="20"/>
                <w:color w:val="auto"/>
              </w:rPr>
            </w:pPr>
            <w:r>
              <w:rPr>
                <w:rFonts w:ascii="Arial" w:cs="Arial" w:eastAsia="Arial" w:hAnsi="Arial"/>
                <w:sz w:val="13"/>
                <w:szCs w:val="13"/>
                <w:color w:val="3E3935"/>
              </w:rPr>
              <w:t>25,215</w:t>
            </w:r>
          </w:p>
        </w:tc>
        <w:tc>
          <w:tcPr>
            <w:tcW w:w="1240" w:type="dxa"/>
            <w:vAlign w:val="bottom"/>
          </w:tcPr>
          <w:p>
            <w:pPr>
              <w:jc w:val="right"/>
              <w:ind w:right="57"/>
              <w:spacing w:after="0"/>
              <w:rPr>
                <w:sz w:val="20"/>
                <w:szCs w:val="20"/>
                <w:color w:val="auto"/>
              </w:rPr>
            </w:pPr>
            <w:r>
              <w:rPr>
                <w:rFonts w:ascii="Arial" w:cs="Arial" w:eastAsia="Arial" w:hAnsi="Arial"/>
                <w:sz w:val="13"/>
                <w:szCs w:val="13"/>
                <w:color w:val="3E3935"/>
              </w:rPr>
              <w:t>25,215</w:t>
            </w:r>
            <w:r>
              <w:rPr>
                <w:rFonts w:ascii="Arial" w:cs="Arial" w:eastAsia="Arial" w:hAnsi="Arial"/>
                <w:sz w:val="18"/>
                <w:szCs w:val="18"/>
                <w:color w:val="3E3935"/>
                <w:vertAlign w:val="superscript"/>
              </w:rPr>
              <w:t>(4)</w:t>
            </w:r>
          </w:p>
        </w:tc>
        <w:tc>
          <w:tcPr>
            <w:tcW w:w="740" w:type="dxa"/>
            <w:vAlign w:val="bottom"/>
          </w:tcPr>
          <w:p>
            <w:pPr>
              <w:jc w:val="right"/>
              <w:ind w:right="57"/>
              <w:spacing w:after="0"/>
              <w:rPr>
                <w:sz w:val="20"/>
                <w:szCs w:val="20"/>
                <w:color w:val="auto"/>
              </w:rPr>
            </w:pPr>
            <w:r>
              <w:rPr>
                <w:rFonts w:ascii="Arial" w:cs="Arial" w:eastAsia="Arial" w:hAnsi="Arial"/>
                <w:sz w:val="13"/>
                <w:szCs w:val="13"/>
                <w:color w:val="3E3935"/>
              </w:rPr>
              <w:t>35.49</w:t>
            </w:r>
          </w:p>
        </w:tc>
        <w:tc>
          <w:tcPr>
            <w:tcW w:w="780" w:type="dxa"/>
            <w:vAlign w:val="bottom"/>
          </w:tcPr>
          <w:p>
            <w:pPr>
              <w:jc w:val="right"/>
              <w:spacing w:after="0"/>
              <w:rPr>
                <w:sz w:val="20"/>
                <w:szCs w:val="20"/>
                <w:color w:val="auto"/>
              </w:rPr>
            </w:pPr>
            <w:r>
              <w:rPr>
                <w:rFonts w:ascii="Arial" w:cs="Arial" w:eastAsia="Arial" w:hAnsi="Arial"/>
                <w:sz w:val="13"/>
                <w:szCs w:val="13"/>
                <w:color w:val="3E3935"/>
              </w:rPr>
              <w:t>2/12/2030</w:t>
            </w:r>
          </w:p>
        </w:tc>
        <w:tc>
          <w:tcPr>
            <w:tcW w:w="180" w:type="dxa"/>
            <w:vAlign w:val="bottom"/>
          </w:tcPr>
          <w:p>
            <w:pPr>
              <w:spacing w:after="0"/>
              <w:rPr>
                <w:sz w:val="24"/>
                <w:szCs w:val="24"/>
                <w:color w:val="auto"/>
              </w:rPr>
            </w:pPr>
          </w:p>
        </w:tc>
        <w:tc>
          <w:tcPr>
            <w:tcW w:w="1000" w:type="dxa"/>
            <w:vAlign w:val="bottom"/>
          </w:tcPr>
          <w:p>
            <w:pPr>
              <w:jc w:val="right"/>
              <w:ind w:right="157"/>
              <w:spacing w:after="0"/>
              <w:rPr>
                <w:sz w:val="20"/>
                <w:szCs w:val="20"/>
                <w:color w:val="auto"/>
              </w:rPr>
            </w:pPr>
            <w:r>
              <w:rPr>
                <w:rFonts w:ascii="Arial" w:cs="Arial" w:eastAsia="Arial" w:hAnsi="Arial"/>
                <w:sz w:val="13"/>
                <w:szCs w:val="13"/>
                <w:color w:val="3E3935"/>
              </w:rPr>
              <w:t>44,797</w:t>
            </w:r>
            <w:r>
              <w:rPr>
                <w:rFonts w:ascii="Arial" w:cs="Arial" w:eastAsia="Arial" w:hAnsi="Arial"/>
                <w:sz w:val="18"/>
                <w:szCs w:val="18"/>
                <w:color w:val="3E3935"/>
                <w:vertAlign w:val="superscript"/>
              </w:rPr>
              <w:t>(5)</w:t>
            </w:r>
          </w:p>
        </w:tc>
        <w:tc>
          <w:tcPr>
            <w:tcW w:w="900" w:type="dxa"/>
            <w:vAlign w:val="bottom"/>
          </w:tcPr>
          <w:p>
            <w:pPr>
              <w:jc w:val="right"/>
              <w:ind w:right="57"/>
              <w:spacing w:after="0"/>
              <w:rPr>
                <w:sz w:val="20"/>
                <w:szCs w:val="20"/>
                <w:color w:val="auto"/>
              </w:rPr>
            </w:pPr>
            <w:r>
              <w:rPr>
                <w:rFonts w:ascii="Arial" w:cs="Arial" w:eastAsia="Arial" w:hAnsi="Arial"/>
                <w:sz w:val="13"/>
                <w:szCs w:val="13"/>
                <w:color w:val="3E3935"/>
              </w:rPr>
              <w:t>1,506,971</w:t>
            </w:r>
          </w:p>
        </w:tc>
        <w:tc>
          <w:tcPr>
            <w:tcW w:w="1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-22860</wp:posOffset>
            </wp:positionV>
            <wp:extent cx="6995160" cy="889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1" w:lineRule="exact"/>
        <w:rPr>
          <w:sz w:val="20"/>
          <w:szCs w:val="20"/>
          <w:color w:val="auto"/>
        </w:rPr>
      </w:pPr>
    </w:p>
    <w:p>
      <w:pPr>
        <w:ind w:left="540" w:hanging="424"/>
        <w:spacing w:after="0"/>
        <w:tabs>
          <w:tab w:leader="none" w:pos="540" w:val="left"/>
        </w:tabs>
        <w:numPr>
          <w:ilvl w:val="0"/>
          <w:numId w:val="127"/>
        </w:numPr>
        <w:rPr>
          <w:rFonts w:ascii="Arial" w:cs="Arial" w:eastAsia="Arial" w:hAnsi="Arial"/>
          <w:sz w:val="18"/>
          <w:szCs w:val="18"/>
          <w:i w:val="1"/>
          <w:iCs w:val="1"/>
          <w:color w:val="3E3935"/>
        </w:rPr>
      </w:pPr>
      <w:r>
        <w:rPr>
          <w:rFonts w:ascii="Arial" w:cs="Arial" w:eastAsia="Arial" w:hAnsi="Arial"/>
          <w:sz w:val="18"/>
          <w:szCs w:val="18"/>
          <w:i w:val="1"/>
          <w:iCs w:val="1"/>
          <w:color w:val="3E3935"/>
        </w:rPr>
        <w:t>The awards are valued based on the closing price of GM common stock on the NYSE on December 30, 2022, which was $33.64.</w:t>
      </w:r>
    </w:p>
    <w:p>
      <w:pPr>
        <w:spacing w:after="0" w:line="76" w:lineRule="exact"/>
        <w:rPr>
          <w:rFonts w:ascii="Arial" w:cs="Arial" w:eastAsia="Arial" w:hAnsi="Arial"/>
          <w:sz w:val="18"/>
          <w:szCs w:val="18"/>
          <w:i w:val="1"/>
          <w:iCs w:val="1"/>
          <w:color w:val="3E3935"/>
        </w:rPr>
      </w:pPr>
    </w:p>
    <w:p>
      <w:pPr>
        <w:ind w:left="540" w:hanging="424"/>
        <w:spacing w:after="0"/>
        <w:tabs>
          <w:tab w:leader="none" w:pos="540" w:val="left"/>
        </w:tabs>
        <w:numPr>
          <w:ilvl w:val="0"/>
          <w:numId w:val="127"/>
        </w:numPr>
        <w:rPr>
          <w:rFonts w:ascii="Arial" w:cs="Arial" w:eastAsia="Arial" w:hAnsi="Arial"/>
          <w:sz w:val="18"/>
          <w:szCs w:val="18"/>
          <w:i w:val="1"/>
          <w:iCs w:val="1"/>
          <w:color w:val="3E3935"/>
        </w:rPr>
      </w:pPr>
      <w:r>
        <w:rPr>
          <w:rFonts w:ascii="Arial" w:cs="Arial" w:eastAsia="Arial" w:hAnsi="Arial"/>
          <w:sz w:val="18"/>
          <w:szCs w:val="18"/>
          <w:i w:val="1"/>
          <w:iCs w:val="1"/>
          <w:color w:val="3E3935"/>
        </w:rPr>
        <w:t>Stock options granted on February 8, 2022, vest ratably each February 8 of 2023, 2024, and 2025.</w:t>
      </w:r>
    </w:p>
    <w:p>
      <w:pPr>
        <w:spacing w:after="0" w:line="76" w:lineRule="exact"/>
        <w:rPr>
          <w:rFonts w:ascii="Arial" w:cs="Arial" w:eastAsia="Arial" w:hAnsi="Arial"/>
          <w:sz w:val="18"/>
          <w:szCs w:val="18"/>
          <w:i w:val="1"/>
          <w:iCs w:val="1"/>
          <w:color w:val="3E3935"/>
        </w:rPr>
      </w:pPr>
    </w:p>
    <w:p>
      <w:pPr>
        <w:ind w:left="540" w:hanging="424"/>
        <w:spacing w:after="0"/>
        <w:tabs>
          <w:tab w:leader="none" w:pos="540" w:val="left"/>
        </w:tabs>
        <w:numPr>
          <w:ilvl w:val="0"/>
          <w:numId w:val="127"/>
        </w:numPr>
        <w:rPr>
          <w:rFonts w:ascii="Arial" w:cs="Arial" w:eastAsia="Arial" w:hAnsi="Arial"/>
          <w:sz w:val="18"/>
          <w:szCs w:val="18"/>
          <w:i w:val="1"/>
          <w:iCs w:val="1"/>
          <w:color w:val="3E3935"/>
        </w:rPr>
      </w:pPr>
      <w:r>
        <w:rPr>
          <w:rFonts w:ascii="Arial" w:cs="Arial" w:eastAsia="Arial" w:hAnsi="Arial"/>
          <w:sz w:val="18"/>
          <w:szCs w:val="18"/>
          <w:i w:val="1"/>
          <w:iCs w:val="1"/>
          <w:color w:val="3E3935"/>
        </w:rPr>
        <w:t>Stock options granted on February 18, 2021, vest ratably each February 18 of 2022, 2023, and 2024.</w:t>
      </w:r>
    </w:p>
    <w:p>
      <w:pPr>
        <w:spacing w:after="0" w:line="76" w:lineRule="exact"/>
        <w:rPr>
          <w:rFonts w:ascii="Arial" w:cs="Arial" w:eastAsia="Arial" w:hAnsi="Arial"/>
          <w:sz w:val="18"/>
          <w:szCs w:val="18"/>
          <w:i w:val="1"/>
          <w:iCs w:val="1"/>
          <w:color w:val="3E3935"/>
        </w:rPr>
      </w:pPr>
    </w:p>
    <w:p>
      <w:pPr>
        <w:ind w:left="540" w:right="20" w:hanging="424"/>
        <w:spacing w:after="0" w:line="269" w:lineRule="auto"/>
        <w:tabs>
          <w:tab w:leader="none" w:pos="540" w:val="left"/>
        </w:tabs>
        <w:numPr>
          <w:ilvl w:val="0"/>
          <w:numId w:val="127"/>
        </w:numPr>
        <w:rPr>
          <w:rFonts w:ascii="Arial" w:cs="Arial" w:eastAsia="Arial" w:hAnsi="Arial"/>
          <w:sz w:val="18"/>
          <w:szCs w:val="18"/>
          <w:i w:val="1"/>
          <w:iCs w:val="1"/>
          <w:color w:val="3E3935"/>
        </w:rPr>
      </w:pPr>
      <w:r>
        <w:rPr>
          <w:rFonts w:ascii="Arial" w:cs="Arial" w:eastAsia="Arial" w:hAnsi="Arial"/>
          <w:sz w:val="18"/>
          <w:szCs w:val="18"/>
          <w:i w:val="1"/>
          <w:iCs w:val="1"/>
          <w:color w:val="3E3935"/>
        </w:rPr>
        <w:t>Stock options granted on February 12, 2020, October 1, 2020, and December 1, 2020, vest ratably each February 12 of 2021, 2022, and 2023.</w:t>
      </w:r>
    </w:p>
    <w:p>
      <w:pPr>
        <w:spacing w:after="0" w:line="22" w:lineRule="exact"/>
        <w:rPr>
          <w:rFonts w:ascii="Arial" w:cs="Arial" w:eastAsia="Arial" w:hAnsi="Arial"/>
          <w:sz w:val="18"/>
          <w:szCs w:val="18"/>
          <w:i w:val="1"/>
          <w:iCs w:val="1"/>
          <w:color w:val="3E3935"/>
        </w:rPr>
      </w:pPr>
    </w:p>
    <w:p>
      <w:pPr>
        <w:jc w:val="both"/>
        <w:ind w:left="540" w:right="20" w:hanging="424"/>
        <w:spacing w:after="0" w:line="252" w:lineRule="auto"/>
        <w:tabs>
          <w:tab w:leader="none" w:pos="540" w:val="left"/>
        </w:tabs>
        <w:numPr>
          <w:ilvl w:val="0"/>
          <w:numId w:val="127"/>
        </w:numPr>
        <w:rPr>
          <w:rFonts w:ascii="Arial" w:cs="Arial" w:eastAsia="Arial" w:hAnsi="Arial"/>
          <w:sz w:val="18"/>
          <w:szCs w:val="18"/>
          <w:i w:val="1"/>
          <w:iCs w:val="1"/>
          <w:color w:val="3E3935"/>
        </w:rPr>
      </w:pPr>
      <w:r>
        <w:rPr>
          <w:rFonts w:ascii="Arial" w:cs="Arial" w:eastAsia="Arial" w:hAnsi="Arial"/>
          <w:sz w:val="18"/>
          <w:szCs w:val="18"/>
          <w:i w:val="1"/>
          <w:iCs w:val="1"/>
          <w:color w:val="3E3935"/>
        </w:rPr>
        <w:t>2020-2022 PSU awards granted on February 12, 2020, October 1, 2020, and December 1, 2020, cliff-vested on February 13, 2023, upon determination of results for the performance period January 1, 2020–December 31, 2022. The final performance of the 2020– 2022 PSU award was 139% and is discussed on page 64.</w:t>
      </w:r>
    </w:p>
    <w:p>
      <w:pPr>
        <w:spacing w:after="0" w:line="36" w:lineRule="exact"/>
        <w:rPr>
          <w:rFonts w:ascii="Arial" w:cs="Arial" w:eastAsia="Arial" w:hAnsi="Arial"/>
          <w:sz w:val="18"/>
          <w:szCs w:val="18"/>
          <w:i w:val="1"/>
          <w:iCs w:val="1"/>
          <w:color w:val="3E3935"/>
        </w:rPr>
      </w:pPr>
    </w:p>
    <w:p>
      <w:pPr>
        <w:ind w:left="540" w:hanging="424"/>
        <w:spacing w:after="0"/>
        <w:tabs>
          <w:tab w:leader="none" w:pos="540" w:val="left"/>
        </w:tabs>
        <w:numPr>
          <w:ilvl w:val="0"/>
          <w:numId w:val="127"/>
        </w:numPr>
        <w:rPr>
          <w:rFonts w:ascii="Arial" w:cs="Arial" w:eastAsia="Arial" w:hAnsi="Arial"/>
          <w:sz w:val="18"/>
          <w:szCs w:val="18"/>
          <w:i w:val="1"/>
          <w:iCs w:val="1"/>
          <w:color w:val="3E3935"/>
        </w:rPr>
      </w:pPr>
      <w:r>
        <w:rPr>
          <w:rFonts w:ascii="Arial" w:cs="Arial" w:eastAsia="Arial" w:hAnsi="Arial"/>
          <w:sz w:val="18"/>
          <w:szCs w:val="18"/>
          <w:i w:val="1"/>
          <w:iCs w:val="1"/>
          <w:color w:val="3E3935"/>
        </w:rPr>
        <w:t>RSU awards granted to Mr. Jacobson on December 1, 2020, vest ratably each December 1 of 2022 and 2023.</w:t>
      </w:r>
    </w:p>
    <w:p>
      <w:pPr>
        <w:spacing w:after="0" w:line="76" w:lineRule="exact"/>
        <w:rPr>
          <w:rFonts w:ascii="Arial" w:cs="Arial" w:eastAsia="Arial" w:hAnsi="Arial"/>
          <w:sz w:val="18"/>
          <w:szCs w:val="18"/>
          <w:i w:val="1"/>
          <w:iCs w:val="1"/>
          <w:color w:val="3E3935"/>
        </w:rPr>
      </w:pPr>
    </w:p>
    <w:p>
      <w:pPr>
        <w:jc w:val="both"/>
        <w:ind w:left="540" w:hanging="424"/>
        <w:spacing w:after="0" w:line="252" w:lineRule="auto"/>
        <w:tabs>
          <w:tab w:leader="none" w:pos="540" w:val="left"/>
        </w:tabs>
        <w:numPr>
          <w:ilvl w:val="0"/>
          <w:numId w:val="127"/>
        </w:numPr>
        <w:rPr>
          <w:rFonts w:ascii="Arial" w:cs="Arial" w:eastAsia="Arial" w:hAnsi="Arial"/>
          <w:sz w:val="18"/>
          <w:szCs w:val="18"/>
          <w:i w:val="1"/>
          <w:iCs w:val="1"/>
          <w:color w:val="3E3935"/>
        </w:rPr>
      </w:pPr>
      <w:r>
        <w:rPr>
          <w:rFonts w:ascii="Arial" w:cs="Arial" w:eastAsia="Arial" w:hAnsi="Arial"/>
          <w:sz w:val="18"/>
          <w:szCs w:val="18"/>
          <w:i w:val="1"/>
          <w:iCs w:val="1"/>
          <w:color w:val="3E3935"/>
        </w:rPr>
        <w:t>2022-2024 PSU awards granted on February 8, 2022, cliff-vest on February 8, 2025, upon determination of results for the performance period January 1, 2022–December 31, 2024. 2021-2023 PSU awards granted on February 18, 2021, cliff-vest on February 18, 2024, upon determination of results for the performance period January 1, 2021–December 31, 2023.</w:t>
      </w:r>
    </w:p>
    <w:p>
      <w:pPr>
        <w:spacing w:after="0" w:line="36" w:lineRule="exact"/>
        <w:rPr>
          <w:rFonts w:ascii="Arial" w:cs="Arial" w:eastAsia="Arial" w:hAnsi="Arial"/>
          <w:sz w:val="18"/>
          <w:szCs w:val="18"/>
          <w:i w:val="1"/>
          <w:iCs w:val="1"/>
          <w:color w:val="3E3935"/>
        </w:rPr>
      </w:pPr>
    </w:p>
    <w:p>
      <w:pPr>
        <w:jc w:val="both"/>
        <w:ind w:left="540" w:hanging="424"/>
        <w:spacing w:after="0"/>
        <w:tabs>
          <w:tab w:leader="none" w:pos="540" w:val="left"/>
        </w:tabs>
        <w:numPr>
          <w:ilvl w:val="0"/>
          <w:numId w:val="127"/>
        </w:numPr>
        <w:rPr>
          <w:rFonts w:ascii="Arial" w:cs="Arial" w:eastAsia="Arial" w:hAnsi="Arial"/>
          <w:sz w:val="18"/>
          <w:szCs w:val="18"/>
          <w:i w:val="1"/>
          <w:iCs w:val="1"/>
          <w:color w:val="3E3935"/>
        </w:rPr>
      </w:pPr>
      <w:r>
        <w:rPr>
          <w:rFonts w:ascii="Arial" w:cs="Arial" w:eastAsia="Arial" w:hAnsi="Arial"/>
          <w:sz w:val="18"/>
          <w:szCs w:val="18"/>
          <w:i w:val="1"/>
          <w:iCs w:val="1"/>
          <w:color w:val="3E3935"/>
        </w:rPr>
        <w:t>Assumes target-level payout of PSU awards. The number of shares (and market value of such shares) for maximum-level payout with respect to unvested 2022–2024 PSUs granted on February 8, 2022, outstanding as of December 31, 2022, for Ms. Barra is 573,852 ($19,304,381); for Mr. Jacobson is 210,414 ($7,078,327); Mr. Reuss is 293,180 ($9,862,575); for Mr. Parks is 177,488 ($5,970,696); and for Mr. Carlisle is 177,488 ($5,970,696). The number of shares (and market value of such shares) for maximum-level payout with respect to unvested 2021–2023 PSUs granted on February 18, 2021, outstanding as of December 31, 2022, for Ms. Barra is 452,934 ($15,236,700); for Mr. Jacobson is 150,978 ($5,078,900); Mr. Reuss is 191,958 ($6,457,467); for Mr. Parks is 143,430 ($4,824,985); and for Mr. Carlisle is 143,430 ($4,824,985).</w:t>
      </w:r>
    </w:p>
    <w:p>
      <w:pPr>
        <w:spacing w:after="0" w:line="125" w:lineRule="exact"/>
        <w:rPr>
          <w:sz w:val="20"/>
          <w:szCs w:val="20"/>
          <w:color w:val="auto"/>
        </w:rPr>
      </w:pPr>
    </w:p>
    <w:p>
      <w:pPr>
        <w:ind w:left="10660"/>
        <w:spacing w:after="0"/>
        <w:rPr>
          <w:sz w:val="20"/>
          <w:szCs w:val="20"/>
          <w:color w:val="auto"/>
        </w:rPr>
      </w:pPr>
      <w:r>
        <w:rPr>
          <w:rFonts w:ascii="Arial" w:cs="Arial" w:eastAsia="Arial" w:hAnsi="Arial"/>
          <w:sz w:val="14"/>
          <w:szCs w:val="14"/>
          <w:color w:val="0071CE"/>
        </w:rPr>
        <w:t>77</w:t>
      </w:r>
    </w:p>
    <w:p>
      <w:pPr>
        <w:sectPr>
          <w:pgSz w:w="11900" w:h="16838" w:orient="portrait"/>
          <w:cols w:equalWidth="0" w:num="1">
            <w:col w:w="11140"/>
          </w:cols>
          <w:pgMar w:left="320" w:top="482" w:right="4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31"/>
          <w:szCs w:val="31"/>
          <w:color w:val="3E3935"/>
        </w:rPr>
        <w:t>Option Exercises and Stock Vested</w:t>
      </w:r>
    </w:p>
    <w:p>
      <w:pPr>
        <w:spacing w:after="0" w:line="263" w:lineRule="exact"/>
        <w:rPr>
          <w:sz w:val="20"/>
          <w:szCs w:val="20"/>
          <w:color w:val="auto"/>
        </w:rPr>
      </w:pPr>
    </w:p>
    <w:tbl>
      <w:tblPr>
        <w:tblLayout w:type="fixed"/>
        <w:tblInd w:w="120" w:type="dxa"/>
        <w:tblCellMar>
          <w:top w:w="0" w:type="dxa"/>
          <w:left w:w="0" w:type="dxa"/>
          <w:bottom w:w="0" w:type="dxa"/>
          <w:right w:w="0" w:type="dxa"/>
        </w:tblCellMar>
      </w:tblPr>
      <w:tr>
        <w:trPr>
          <w:trHeight w:val="243"/>
        </w:trPr>
        <w:tc>
          <w:tcPr>
            <w:tcW w:w="2120" w:type="dxa"/>
            <w:vAlign w:val="bottom"/>
            <w:tcBorders>
              <w:top w:val="single" w:sz="8" w:color="00C1DE"/>
            </w:tcBorders>
          </w:tcPr>
          <w:p>
            <w:pPr>
              <w:spacing w:after="0"/>
              <w:rPr>
                <w:sz w:val="21"/>
                <w:szCs w:val="21"/>
                <w:color w:val="auto"/>
              </w:rPr>
            </w:pPr>
          </w:p>
        </w:tc>
        <w:tc>
          <w:tcPr>
            <w:tcW w:w="4620" w:type="dxa"/>
            <w:vAlign w:val="bottom"/>
            <w:tcBorders>
              <w:top w:val="single" w:sz="8" w:color="00C1DE"/>
            </w:tcBorders>
            <w:gridSpan w:val="3"/>
          </w:tcPr>
          <w:p>
            <w:pPr>
              <w:ind w:left="1200"/>
              <w:spacing w:after="0" w:line="243" w:lineRule="exact"/>
              <w:rPr>
                <w:sz w:val="20"/>
                <w:szCs w:val="20"/>
                <w:color w:val="auto"/>
              </w:rPr>
            </w:pPr>
            <w:r>
              <w:rPr>
                <w:rFonts w:ascii="Arial" w:cs="Arial" w:eastAsia="Arial" w:hAnsi="Arial"/>
                <w:sz w:val="19"/>
                <w:szCs w:val="19"/>
                <w:b w:val="1"/>
                <w:bCs w:val="1"/>
                <w:color w:val="00C1DE"/>
              </w:rPr>
              <w:t>Option Awards</w:t>
            </w:r>
            <w:r>
              <w:rPr>
                <w:rFonts w:ascii="Arial" w:cs="Arial" w:eastAsia="Arial" w:hAnsi="Arial"/>
                <w:sz w:val="28"/>
                <w:szCs w:val="28"/>
                <w:b w:val="1"/>
                <w:bCs w:val="1"/>
                <w:color w:val="00C1DE"/>
                <w:vertAlign w:val="superscript"/>
              </w:rPr>
              <w:t>(1)</w:t>
            </w:r>
          </w:p>
        </w:tc>
        <w:tc>
          <w:tcPr>
            <w:tcW w:w="4280" w:type="dxa"/>
            <w:vAlign w:val="bottom"/>
            <w:tcBorders>
              <w:top w:val="single" w:sz="8" w:color="00C1DE"/>
            </w:tcBorders>
            <w:gridSpan w:val="2"/>
          </w:tcPr>
          <w:p>
            <w:pPr>
              <w:jc w:val="right"/>
              <w:ind w:right="1341"/>
              <w:spacing w:after="0" w:line="243" w:lineRule="exact"/>
              <w:rPr>
                <w:sz w:val="20"/>
                <w:szCs w:val="20"/>
                <w:color w:val="auto"/>
              </w:rPr>
            </w:pPr>
            <w:r>
              <w:rPr>
                <w:rFonts w:ascii="Arial" w:cs="Arial" w:eastAsia="Arial" w:hAnsi="Arial"/>
                <w:sz w:val="19"/>
                <w:szCs w:val="19"/>
                <w:b w:val="1"/>
                <w:bCs w:val="1"/>
                <w:color w:val="00C1DE"/>
              </w:rPr>
              <w:t>Stock Awards</w:t>
            </w:r>
            <w:r>
              <w:rPr>
                <w:rFonts w:ascii="Arial" w:cs="Arial" w:eastAsia="Arial" w:hAnsi="Arial"/>
                <w:sz w:val="28"/>
                <w:szCs w:val="28"/>
                <w:b w:val="1"/>
                <w:bCs w:val="1"/>
                <w:color w:val="00C1DE"/>
                <w:vertAlign w:val="superscript"/>
              </w:rPr>
              <w:t>(2)</w:t>
            </w:r>
          </w:p>
        </w:tc>
        <w:tc>
          <w:tcPr>
            <w:tcW w:w="0" w:type="dxa"/>
            <w:vAlign w:val="bottom"/>
          </w:tcPr>
          <w:p>
            <w:pPr>
              <w:spacing w:after="0"/>
              <w:rPr>
                <w:sz w:val="1"/>
                <w:szCs w:val="1"/>
                <w:color w:val="auto"/>
              </w:rPr>
            </w:pPr>
          </w:p>
        </w:tc>
      </w:tr>
      <w:tr>
        <w:trPr>
          <w:trHeight w:val="186"/>
        </w:trPr>
        <w:tc>
          <w:tcPr>
            <w:tcW w:w="2120" w:type="dxa"/>
            <w:vAlign w:val="bottom"/>
          </w:tcPr>
          <w:p>
            <w:pPr>
              <w:spacing w:after="0"/>
              <w:rPr>
                <w:sz w:val="16"/>
                <w:szCs w:val="16"/>
                <w:color w:val="auto"/>
              </w:rPr>
            </w:pPr>
          </w:p>
        </w:tc>
        <w:tc>
          <w:tcPr>
            <w:tcW w:w="2020" w:type="dxa"/>
            <w:vAlign w:val="bottom"/>
            <w:tcBorders>
              <w:top w:val="single" w:sz="8" w:color="00C1DE"/>
            </w:tcBorders>
          </w:tcPr>
          <w:p>
            <w:pPr>
              <w:jc w:val="right"/>
              <w:ind w:right="201"/>
              <w:spacing w:after="0" w:line="185" w:lineRule="exact"/>
              <w:rPr>
                <w:sz w:val="20"/>
                <w:szCs w:val="20"/>
                <w:color w:val="auto"/>
              </w:rPr>
            </w:pPr>
            <w:r>
              <w:rPr>
                <w:rFonts w:ascii="Arial" w:cs="Arial" w:eastAsia="Arial" w:hAnsi="Arial"/>
                <w:sz w:val="20"/>
                <w:szCs w:val="20"/>
                <w:b w:val="1"/>
                <w:bCs w:val="1"/>
                <w:color w:val="00C1DE"/>
                <w:w w:val="98"/>
              </w:rPr>
              <w:t>Number of Shares</w:t>
            </w:r>
          </w:p>
        </w:tc>
        <w:tc>
          <w:tcPr>
            <w:tcW w:w="2040" w:type="dxa"/>
            <w:vAlign w:val="bottom"/>
            <w:tcBorders>
              <w:top w:val="single" w:sz="8" w:color="00C1DE"/>
            </w:tcBorders>
          </w:tcPr>
          <w:p>
            <w:pPr>
              <w:jc w:val="right"/>
              <w:spacing w:after="0" w:line="185" w:lineRule="exact"/>
              <w:rPr>
                <w:sz w:val="20"/>
                <w:szCs w:val="20"/>
                <w:color w:val="auto"/>
              </w:rPr>
            </w:pPr>
            <w:r>
              <w:rPr>
                <w:rFonts w:ascii="Arial" w:cs="Arial" w:eastAsia="Arial" w:hAnsi="Arial"/>
                <w:sz w:val="20"/>
                <w:szCs w:val="20"/>
                <w:b w:val="1"/>
                <w:bCs w:val="1"/>
                <w:color w:val="00C1DE"/>
              </w:rPr>
              <w:t>Value Realized on</w:t>
            </w:r>
          </w:p>
        </w:tc>
        <w:tc>
          <w:tcPr>
            <w:tcW w:w="560" w:type="dxa"/>
            <w:vAlign w:val="bottom"/>
          </w:tcPr>
          <w:p>
            <w:pPr>
              <w:spacing w:after="0"/>
              <w:rPr>
                <w:sz w:val="16"/>
                <w:szCs w:val="16"/>
                <w:color w:val="auto"/>
              </w:rPr>
            </w:pPr>
          </w:p>
        </w:tc>
        <w:tc>
          <w:tcPr>
            <w:tcW w:w="2220" w:type="dxa"/>
            <w:vAlign w:val="bottom"/>
            <w:tcBorders>
              <w:top w:val="single" w:sz="8" w:color="00C1DE"/>
            </w:tcBorders>
          </w:tcPr>
          <w:p>
            <w:pPr>
              <w:jc w:val="right"/>
              <w:ind w:right="221"/>
              <w:spacing w:after="0" w:line="185" w:lineRule="exact"/>
              <w:rPr>
                <w:sz w:val="20"/>
                <w:szCs w:val="20"/>
                <w:color w:val="auto"/>
              </w:rPr>
            </w:pPr>
            <w:r>
              <w:rPr>
                <w:rFonts w:ascii="Arial" w:cs="Arial" w:eastAsia="Arial" w:hAnsi="Arial"/>
                <w:sz w:val="20"/>
                <w:szCs w:val="20"/>
                <w:b w:val="1"/>
                <w:bCs w:val="1"/>
                <w:color w:val="00C1DE"/>
              </w:rPr>
              <w:t>Number of Shares</w:t>
            </w:r>
          </w:p>
        </w:tc>
        <w:tc>
          <w:tcPr>
            <w:tcW w:w="2060" w:type="dxa"/>
            <w:vAlign w:val="bottom"/>
            <w:tcBorders>
              <w:top w:val="single" w:sz="8" w:color="00C1DE"/>
            </w:tcBorders>
          </w:tcPr>
          <w:p>
            <w:pPr>
              <w:jc w:val="right"/>
              <w:spacing w:after="0" w:line="185" w:lineRule="exact"/>
              <w:rPr>
                <w:sz w:val="20"/>
                <w:szCs w:val="20"/>
                <w:color w:val="auto"/>
              </w:rPr>
            </w:pPr>
            <w:r>
              <w:rPr>
                <w:rFonts w:ascii="Arial" w:cs="Arial" w:eastAsia="Arial" w:hAnsi="Arial"/>
                <w:sz w:val="20"/>
                <w:szCs w:val="20"/>
                <w:b w:val="1"/>
                <w:bCs w:val="1"/>
                <w:color w:val="00C1DE"/>
              </w:rPr>
              <w:t>Value Realized on</w:t>
            </w:r>
          </w:p>
        </w:tc>
        <w:tc>
          <w:tcPr>
            <w:tcW w:w="0" w:type="dxa"/>
            <w:vAlign w:val="bottom"/>
          </w:tcPr>
          <w:p>
            <w:pPr>
              <w:spacing w:after="0"/>
              <w:rPr>
                <w:sz w:val="1"/>
                <w:szCs w:val="1"/>
                <w:color w:val="auto"/>
              </w:rPr>
            </w:pPr>
          </w:p>
        </w:tc>
      </w:tr>
      <w:tr>
        <w:trPr>
          <w:trHeight w:val="216"/>
        </w:trPr>
        <w:tc>
          <w:tcPr>
            <w:tcW w:w="2120" w:type="dxa"/>
            <w:vAlign w:val="bottom"/>
            <w:vMerge w:val="restart"/>
          </w:tcPr>
          <w:p>
            <w:pPr>
              <w:ind w:left="100"/>
              <w:spacing w:after="0"/>
              <w:rPr>
                <w:sz w:val="20"/>
                <w:szCs w:val="20"/>
                <w:color w:val="auto"/>
              </w:rPr>
            </w:pPr>
            <w:r>
              <w:rPr>
                <w:rFonts w:ascii="Arial" w:cs="Arial" w:eastAsia="Arial" w:hAnsi="Arial"/>
                <w:sz w:val="20"/>
                <w:szCs w:val="20"/>
                <w:b w:val="1"/>
                <w:bCs w:val="1"/>
                <w:color w:val="00C1DE"/>
              </w:rPr>
              <w:t>Name</w:t>
            </w:r>
          </w:p>
        </w:tc>
        <w:tc>
          <w:tcPr>
            <w:tcW w:w="2020" w:type="dxa"/>
            <w:vAlign w:val="bottom"/>
          </w:tcPr>
          <w:p>
            <w:pPr>
              <w:jc w:val="right"/>
              <w:ind w:right="201"/>
              <w:spacing w:after="0" w:line="216" w:lineRule="exact"/>
              <w:rPr>
                <w:sz w:val="20"/>
                <w:szCs w:val="20"/>
                <w:color w:val="auto"/>
              </w:rPr>
            </w:pPr>
            <w:r>
              <w:rPr>
                <w:rFonts w:ascii="Arial" w:cs="Arial" w:eastAsia="Arial" w:hAnsi="Arial"/>
                <w:sz w:val="20"/>
                <w:szCs w:val="20"/>
                <w:b w:val="1"/>
                <w:bCs w:val="1"/>
                <w:color w:val="00C1DE"/>
              </w:rPr>
              <w:t>Acquired on</w:t>
            </w:r>
          </w:p>
        </w:tc>
        <w:tc>
          <w:tcPr>
            <w:tcW w:w="2600" w:type="dxa"/>
            <w:vAlign w:val="bottom"/>
            <w:gridSpan w:val="2"/>
          </w:tcPr>
          <w:p>
            <w:pPr>
              <w:jc w:val="right"/>
              <w:ind w:right="620"/>
              <w:spacing w:after="0" w:line="216" w:lineRule="exact"/>
              <w:rPr>
                <w:sz w:val="20"/>
                <w:szCs w:val="20"/>
                <w:color w:val="auto"/>
              </w:rPr>
            </w:pPr>
            <w:r>
              <w:rPr>
                <w:rFonts w:ascii="Arial" w:cs="Arial" w:eastAsia="Arial" w:hAnsi="Arial"/>
                <w:sz w:val="20"/>
                <w:szCs w:val="20"/>
                <w:b w:val="1"/>
                <w:bCs w:val="1"/>
                <w:color w:val="00C1DE"/>
              </w:rPr>
              <w:t>Exercise</w:t>
            </w:r>
          </w:p>
        </w:tc>
        <w:tc>
          <w:tcPr>
            <w:tcW w:w="2220" w:type="dxa"/>
            <w:vAlign w:val="bottom"/>
          </w:tcPr>
          <w:p>
            <w:pPr>
              <w:jc w:val="right"/>
              <w:ind w:right="221"/>
              <w:spacing w:after="0" w:line="216" w:lineRule="exact"/>
              <w:rPr>
                <w:sz w:val="20"/>
                <w:szCs w:val="20"/>
                <w:color w:val="auto"/>
              </w:rPr>
            </w:pPr>
            <w:r>
              <w:rPr>
                <w:rFonts w:ascii="Arial" w:cs="Arial" w:eastAsia="Arial" w:hAnsi="Arial"/>
                <w:sz w:val="20"/>
                <w:szCs w:val="20"/>
                <w:b w:val="1"/>
                <w:bCs w:val="1"/>
                <w:color w:val="00C1DE"/>
                <w:w w:val="96"/>
              </w:rPr>
              <w:t>Acquired on Vesting</w:t>
            </w:r>
          </w:p>
        </w:tc>
        <w:tc>
          <w:tcPr>
            <w:tcW w:w="2060" w:type="dxa"/>
            <w:vAlign w:val="bottom"/>
          </w:tcPr>
          <w:p>
            <w:pPr>
              <w:jc w:val="right"/>
              <w:spacing w:after="0" w:line="216" w:lineRule="exact"/>
              <w:rPr>
                <w:sz w:val="20"/>
                <w:szCs w:val="20"/>
                <w:color w:val="auto"/>
              </w:rPr>
            </w:pPr>
            <w:r>
              <w:rPr>
                <w:rFonts w:ascii="Arial" w:cs="Arial" w:eastAsia="Arial" w:hAnsi="Arial"/>
                <w:sz w:val="20"/>
                <w:szCs w:val="20"/>
                <w:b w:val="1"/>
                <w:bCs w:val="1"/>
                <w:color w:val="00C1DE"/>
              </w:rPr>
              <w:t>Vesting</w:t>
            </w:r>
          </w:p>
        </w:tc>
        <w:tc>
          <w:tcPr>
            <w:tcW w:w="0" w:type="dxa"/>
            <w:vAlign w:val="bottom"/>
          </w:tcPr>
          <w:p>
            <w:pPr>
              <w:spacing w:after="0"/>
              <w:rPr>
                <w:sz w:val="1"/>
                <w:szCs w:val="1"/>
                <w:color w:val="auto"/>
              </w:rPr>
            </w:pPr>
          </w:p>
        </w:tc>
      </w:tr>
      <w:tr>
        <w:trPr>
          <w:trHeight w:val="267"/>
        </w:trPr>
        <w:tc>
          <w:tcPr>
            <w:tcW w:w="2120" w:type="dxa"/>
            <w:vAlign w:val="bottom"/>
            <w:tcBorders>
              <w:bottom w:val="single" w:sz="8" w:color="00C1DE"/>
            </w:tcBorders>
            <w:vMerge w:val="continue"/>
          </w:tcPr>
          <w:p>
            <w:pPr>
              <w:spacing w:after="0"/>
              <w:rPr>
                <w:sz w:val="23"/>
                <w:szCs w:val="23"/>
                <w:color w:val="auto"/>
              </w:rPr>
            </w:pPr>
          </w:p>
        </w:tc>
        <w:tc>
          <w:tcPr>
            <w:tcW w:w="2020" w:type="dxa"/>
            <w:vAlign w:val="bottom"/>
            <w:tcBorders>
              <w:bottom w:val="single" w:sz="8" w:color="00C1DE"/>
            </w:tcBorders>
          </w:tcPr>
          <w:p>
            <w:pPr>
              <w:jc w:val="right"/>
              <w:ind w:right="201"/>
              <w:spacing w:after="0"/>
              <w:rPr>
                <w:sz w:val="20"/>
                <w:szCs w:val="20"/>
                <w:color w:val="auto"/>
              </w:rPr>
            </w:pPr>
            <w:r>
              <w:rPr>
                <w:rFonts w:ascii="Arial" w:cs="Arial" w:eastAsia="Arial" w:hAnsi="Arial"/>
                <w:sz w:val="20"/>
                <w:szCs w:val="20"/>
                <w:b w:val="1"/>
                <w:bCs w:val="1"/>
                <w:color w:val="00C1DE"/>
              </w:rPr>
              <w:t>Exercise (#)</w:t>
            </w:r>
          </w:p>
        </w:tc>
        <w:tc>
          <w:tcPr>
            <w:tcW w:w="2040" w:type="dxa"/>
            <w:vAlign w:val="bottom"/>
            <w:tcBorders>
              <w:bottom w:val="single" w:sz="8" w:color="00C1DE"/>
            </w:tcBorders>
          </w:tcPr>
          <w:p>
            <w:pPr>
              <w:jc w:val="right"/>
              <w:spacing w:after="0"/>
              <w:rPr>
                <w:sz w:val="20"/>
                <w:szCs w:val="20"/>
                <w:color w:val="auto"/>
              </w:rPr>
            </w:pPr>
            <w:r>
              <w:rPr>
                <w:rFonts w:ascii="Arial" w:cs="Arial" w:eastAsia="Arial" w:hAnsi="Arial"/>
                <w:sz w:val="20"/>
                <w:szCs w:val="20"/>
                <w:b w:val="1"/>
                <w:bCs w:val="1"/>
                <w:color w:val="00C1DE"/>
              </w:rPr>
              <w:t>($)</w:t>
            </w:r>
          </w:p>
        </w:tc>
        <w:tc>
          <w:tcPr>
            <w:tcW w:w="560" w:type="dxa"/>
            <w:vAlign w:val="bottom"/>
            <w:tcBorders>
              <w:bottom w:val="single" w:sz="8" w:color="00C1DE"/>
            </w:tcBorders>
          </w:tcPr>
          <w:p>
            <w:pPr>
              <w:spacing w:after="0"/>
              <w:rPr>
                <w:sz w:val="23"/>
                <w:szCs w:val="23"/>
                <w:color w:val="auto"/>
              </w:rPr>
            </w:pPr>
          </w:p>
        </w:tc>
        <w:tc>
          <w:tcPr>
            <w:tcW w:w="2220" w:type="dxa"/>
            <w:vAlign w:val="bottom"/>
            <w:tcBorders>
              <w:bottom w:val="single" w:sz="8" w:color="00C1DE"/>
            </w:tcBorders>
          </w:tcPr>
          <w:p>
            <w:pPr>
              <w:jc w:val="right"/>
              <w:ind w:right="221"/>
              <w:spacing w:after="0"/>
              <w:rPr>
                <w:sz w:val="20"/>
                <w:szCs w:val="20"/>
                <w:color w:val="auto"/>
              </w:rPr>
            </w:pPr>
            <w:r>
              <w:rPr>
                <w:rFonts w:ascii="Arial" w:cs="Arial" w:eastAsia="Arial" w:hAnsi="Arial"/>
                <w:sz w:val="20"/>
                <w:szCs w:val="20"/>
                <w:b w:val="1"/>
                <w:bCs w:val="1"/>
                <w:color w:val="00C1DE"/>
              </w:rPr>
              <w:t>(#)</w:t>
            </w:r>
          </w:p>
        </w:tc>
        <w:tc>
          <w:tcPr>
            <w:tcW w:w="2060" w:type="dxa"/>
            <w:vAlign w:val="bottom"/>
            <w:tcBorders>
              <w:bottom w:val="single" w:sz="8" w:color="00C1DE"/>
            </w:tcBorders>
          </w:tcPr>
          <w:p>
            <w:pPr>
              <w:jc w:val="right"/>
              <w:spacing w:after="0"/>
              <w:rPr>
                <w:sz w:val="20"/>
                <w:szCs w:val="20"/>
                <w:color w:val="auto"/>
              </w:rPr>
            </w:pPr>
            <w:r>
              <w:rPr>
                <w:rFonts w:ascii="Arial" w:cs="Arial" w:eastAsia="Arial" w:hAnsi="Arial"/>
                <w:sz w:val="20"/>
                <w:szCs w:val="20"/>
                <w:b w:val="1"/>
                <w:bCs w:val="1"/>
                <w:color w:val="00C1DE"/>
              </w:rPr>
              <w:t>($)</w:t>
            </w:r>
          </w:p>
        </w:tc>
        <w:tc>
          <w:tcPr>
            <w:tcW w:w="0" w:type="dxa"/>
            <w:vAlign w:val="bottom"/>
          </w:tcPr>
          <w:p>
            <w:pPr>
              <w:spacing w:after="0"/>
              <w:rPr>
                <w:sz w:val="1"/>
                <w:szCs w:val="1"/>
                <w:color w:val="auto"/>
              </w:rPr>
            </w:pPr>
          </w:p>
        </w:tc>
      </w:tr>
      <w:tr>
        <w:trPr>
          <w:trHeight w:val="301"/>
        </w:trPr>
        <w:tc>
          <w:tcPr>
            <w:tcW w:w="2120" w:type="dxa"/>
            <w:vAlign w:val="bottom"/>
          </w:tcPr>
          <w:p>
            <w:pPr>
              <w:ind w:left="80"/>
              <w:spacing w:after="0"/>
              <w:rPr>
                <w:sz w:val="20"/>
                <w:szCs w:val="20"/>
                <w:color w:val="auto"/>
              </w:rPr>
            </w:pPr>
            <w:r>
              <w:rPr>
                <w:rFonts w:ascii="Arial" w:cs="Arial" w:eastAsia="Arial" w:hAnsi="Arial"/>
                <w:sz w:val="20"/>
                <w:szCs w:val="20"/>
                <w:color w:val="3E3935"/>
              </w:rPr>
              <w:t>Mary T. Barra</w:t>
            </w:r>
          </w:p>
        </w:tc>
        <w:tc>
          <w:tcPr>
            <w:tcW w:w="2020" w:type="dxa"/>
            <w:vAlign w:val="bottom"/>
          </w:tcPr>
          <w:p>
            <w:pPr>
              <w:jc w:val="right"/>
              <w:ind w:right="201"/>
              <w:spacing w:after="0"/>
              <w:rPr>
                <w:sz w:val="20"/>
                <w:szCs w:val="20"/>
                <w:color w:val="auto"/>
              </w:rPr>
            </w:pPr>
            <w:r>
              <w:rPr>
                <w:rFonts w:ascii="Arial" w:cs="Arial" w:eastAsia="Arial" w:hAnsi="Arial"/>
                <w:sz w:val="20"/>
                <w:szCs w:val="20"/>
                <w:color w:val="3E3935"/>
              </w:rPr>
              <w:t>—</w:t>
            </w:r>
          </w:p>
        </w:tc>
        <w:tc>
          <w:tcPr>
            <w:tcW w:w="2600" w:type="dxa"/>
            <w:vAlign w:val="bottom"/>
            <w:gridSpan w:val="2"/>
          </w:tcPr>
          <w:p>
            <w:pPr>
              <w:jc w:val="right"/>
              <w:ind w:right="620"/>
              <w:spacing w:after="0"/>
              <w:rPr>
                <w:sz w:val="20"/>
                <w:szCs w:val="20"/>
                <w:color w:val="auto"/>
              </w:rPr>
            </w:pPr>
            <w:r>
              <w:rPr>
                <w:rFonts w:ascii="Arial" w:cs="Arial" w:eastAsia="Arial" w:hAnsi="Arial"/>
                <w:sz w:val="20"/>
                <w:szCs w:val="20"/>
                <w:color w:val="3E3935"/>
              </w:rPr>
              <w:t>—</w:t>
            </w:r>
          </w:p>
        </w:tc>
        <w:tc>
          <w:tcPr>
            <w:tcW w:w="2220" w:type="dxa"/>
            <w:vAlign w:val="bottom"/>
          </w:tcPr>
          <w:p>
            <w:pPr>
              <w:jc w:val="right"/>
              <w:ind w:right="221"/>
              <w:spacing w:after="0"/>
              <w:rPr>
                <w:sz w:val="20"/>
                <w:szCs w:val="20"/>
                <w:color w:val="auto"/>
              </w:rPr>
            </w:pPr>
            <w:r>
              <w:rPr>
                <w:rFonts w:ascii="Arial" w:cs="Arial" w:eastAsia="Arial" w:hAnsi="Arial"/>
                <w:sz w:val="20"/>
                <w:szCs w:val="20"/>
                <w:color w:val="3E3935"/>
              </w:rPr>
              <w:t>504,347</w:t>
            </w:r>
          </w:p>
        </w:tc>
        <w:tc>
          <w:tcPr>
            <w:tcW w:w="2060" w:type="dxa"/>
            <w:vAlign w:val="bottom"/>
          </w:tcPr>
          <w:p>
            <w:pPr>
              <w:jc w:val="right"/>
              <w:spacing w:after="0"/>
              <w:rPr>
                <w:sz w:val="20"/>
                <w:szCs w:val="20"/>
                <w:color w:val="auto"/>
              </w:rPr>
            </w:pPr>
            <w:r>
              <w:rPr>
                <w:rFonts w:ascii="Arial" w:cs="Arial" w:eastAsia="Arial" w:hAnsi="Arial"/>
                <w:sz w:val="20"/>
                <w:szCs w:val="20"/>
                <w:color w:val="3E3935"/>
              </w:rPr>
              <w:t>24,627,264</w:t>
            </w:r>
          </w:p>
        </w:tc>
        <w:tc>
          <w:tcPr>
            <w:tcW w:w="0" w:type="dxa"/>
            <w:vAlign w:val="bottom"/>
          </w:tcPr>
          <w:p>
            <w:pPr>
              <w:spacing w:after="0"/>
              <w:rPr>
                <w:sz w:val="1"/>
                <w:szCs w:val="1"/>
                <w:color w:val="auto"/>
              </w:rPr>
            </w:pPr>
          </w:p>
        </w:tc>
      </w:tr>
      <w:tr>
        <w:trPr>
          <w:trHeight w:val="58"/>
        </w:trPr>
        <w:tc>
          <w:tcPr>
            <w:tcW w:w="2120" w:type="dxa"/>
            <w:vAlign w:val="bottom"/>
            <w:tcBorders>
              <w:bottom w:val="single" w:sz="8" w:color="3E3935"/>
            </w:tcBorders>
          </w:tcPr>
          <w:p>
            <w:pPr>
              <w:spacing w:after="0"/>
              <w:rPr>
                <w:sz w:val="5"/>
                <w:szCs w:val="5"/>
                <w:color w:val="auto"/>
              </w:rPr>
            </w:pPr>
          </w:p>
        </w:tc>
        <w:tc>
          <w:tcPr>
            <w:tcW w:w="2020" w:type="dxa"/>
            <w:vAlign w:val="bottom"/>
            <w:tcBorders>
              <w:bottom w:val="single" w:sz="8" w:color="3E3935"/>
            </w:tcBorders>
          </w:tcPr>
          <w:p>
            <w:pPr>
              <w:spacing w:after="0"/>
              <w:rPr>
                <w:sz w:val="5"/>
                <w:szCs w:val="5"/>
                <w:color w:val="auto"/>
              </w:rPr>
            </w:pPr>
          </w:p>
        </w:tc>
        <w:tc>
          <w:tcPr>
            <w:tcW w:w="2040" w:type="dxa"/>
            <w:vAlign w:val="bottom"/>
            <w:tcBorders>
              <w:bottom w:val="single" w:sz="8" w:color="3E3935"/>
            </w:tcBorders>
          </w:tcPr>
          <w:p>
            <w:pPr>
              <w:spacing w:after="0"/>
              <w:rPr>
                <w:sz w:val="5"/>
                <w:szCs w:val="5"/>
                <w:color w:val="auto"/>
              </w:rPr>
            </w:pPr>
          </w:p>
        </w:tc>
        <w:tc>
          <w:tcPr>
            <w:tcW w:w="560" w:type="dxa"/>
            <w:vAlign w:val="bottom"/>
            <w:tcBorders>
              <w:bottom w:val="single" w:sz="8" w:color="3E3935"/>
            </w:tcBorders>
          </w:tcPr>
          <w:p>
            <w:pPr>
              <w:spacing w:after="0"/>
              <w:rPr>
                <w:sz w:val="5"/>
                <w:szCs w:val="5"/>
                <w:color w:val="auto"/>
              </w:rPr>
            </w:pPr>
          </w:p>
        </w:tc>
        <w:tc>
          <w:tcPr>
            <w:tcW w:w="2220" w:type="dxa"/>
            <w:vAlign w:val="bottom"/>
            <w:tcBorders>
              <w:bottom w:val="single" w:sz="8" w:color="3E3935"/>
            </w:tcBorders>
          </w:tcPr>
          <w:p>
            <w:pPr>
              <w:spacing w:after="0"/>
              <w:rPr>
                <w:sz w:val="5"/>
                <w:szCs w:val="5"/>
                <w:color w:val="auto"/>
              </w:rPr>
            </w:pPr>
          </w:p>
        </w:tc>
        <w:tc>
          <w:tcPr>
            <w:tcW w:w="2060" w:type="dxa"/>
            <w:vAlign w:val="bottom"/>
            <w:tcBorders>
              <w:bottom w:val="single" w:sz="8" w:color="3E3935"/>
            </w:tcBorders>
          </w:tcPr>
          <w:p>
            <w:pPr>
              <w:spacing w:after="0"/>
              <w:rPr>
                <w:sz w:val="5"/>
                <w:szCs w:val="5"/>
                <w:color w:val="auto"/>
              </w:rPr>
            </w:pPr>
          </w:p>
        </w:tc>
        <w:tc>
          <w:tcPr>
            <w:tcW w:w="0" w:type="dxa"/>
            <w:vAlign w:val="bottom"/>
          </w:tcPr>
          <w:p>
            <w:pPr>
              <w:spacing w:after="0"/>
              <w:rPr>
                <w:sz w:val="1"/>
                <w:szCs w:val="1"/>
                <w:color w:val="auto"/>
              </w:rPr>
            </w:pPr>
          </w:p>
        </w:tc>
      </w:tr>
      <w:tr>
        <w:trPr>
          <w:trHeight w:val="255"/>
        </w:trPr>
        <w:tc>
          <w:tcPr>
            <w:tcW w:w="2120" w:type="dxa"/>
            <w:vAlign w:val="bottom"/>
          </w:tcPr>
          <w:p>
            <w:pPr>
              <w:ind w:left="80"/>
              <w:spacing w:after="0"/>
              <w:rPr>
                <w:sz w:val="20"/>
                <w:szCs w:val="20"/>
                <w:color w:val="auto"/>
              </w:rPr>
            </w:pPr>
            <w:r>
              <w:rPr>
                <w:rFonts w:ascii="Arial" w:cs="Arial" w:eastAsia="Arial" w:hAnsi="Arial"/>
                <w:sz w:val="20"/>
                <w:szCs w:val="20"/>
                <w:color w:val="3E3935"/>
              </w:rPr>
              <w:t>Paul A.</w:t>
            </w:r>
          </w:p>
        </w:tc>
        <w:tc>
          <w:tcPr>
            <w:tcW w:w="2020" w:type="dxa"/>
            <w:vAlign w:val="bottom"/>
          </w:tcPr>
          <w:p>
            <w:pPr>
              <w:spacing w:after="0"/>
              <w:rPr>
                <w:sz w:val="22"/>
                <w:szCs w:val="22"/>
                <w:color w:val="auto"/>
              </w:rPr>
            </w:pPr>
          </w:p>
        </w:tc>
        <w:tc>
          <w:tcPr>
            <w:tcW w:w="20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220" w:type="dxa"/>
            <w:vAlign w:val="bottom"/>
          </w:tcPr>
          <w:p>
            <w:pPr>
              <w:spacing w:after="0"/>
              <w:rPr>
                <w:sz w:val="22"/>
                <w:szCs w:val="22"/>
                <w:color w:val="auto"/>
              </w:rPr>
            </w:pPr>
          </w:p>
        </w:tc>
        <w:tc>
          <w:tcPr>
            <w:tcW w:w="20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1"/>
        </w:trPr>
        <w:tc>
          <w:tcPr>
            <w:tcW w:w="2120" w:type="dxa"/>
            <w:vAlign w:val="bottom"/>
          </w:tcPr>
          <w:p>
            <w:pPr>
              <w:ind w:left="80"/>
              <w:spacing w:after="0"/>
              <w:rPr>
                <w:sz w:val="20"/>
                <w:szCs w:val="20"/>
                <w:color w:val="auto"/>
              </w:rPr>
            </w:pPr>
            <w:r>
              <w:rPr>
                <w:rFonts w:ascii="Arial" w:cs="Arial" w:eastAsia="Arial" w:hAnsi="Arial"/>
                <w:sz w:val="20"/>
                <w:szCs w:val="20"/>
                <w:color w:val="3E3935"/>
              </w:rPr>
              <w:t>Jacobson</w:t>
            </w:r>
          </w:p>
        </w:tc>
        <w:tc>
          <w:tcPr>
            <w:tcW w:w="2020" w:type="dxa"/>
            <w:vAlign w:val="bottom"/>
          </w:tcPr>
          <w:p>
            <w:pPr>
              <w:jc w:val="right"/>
              <w:ind w:right="201"/>
              <w:spacing w:after="0"/>
              <w:rPr>
                <w:sz w:val="20"/>
                <w:szCs w:val="20"/>
                <w:color w:val="auto"/>
              </w:rPr>
            </w:pPr>
            <w:r>
              <w:rPr>
                <w:rFonts w:ascii="Arial" w:cs="Arial" w:eastAsia="Arial" w:hAnsi="Arial"/>
                <w:sz w:val="20"/>
                <w:szCs w:val="20"/>
                <w:color w:val="3E3935"/>
              </w:rPr>
              <w:t>—</w:t>
            </w:r>
          </w:p>
        </w:tc>
        <w:tc>
          <w:tcPr>
            <w:tcW w:w="2600" w:type="dxa"/>
            <w:vAlign w:val="bottom"/>
            <w:gridSpan w:val="2"/>
          </w:tcPr>
          <w:p>
            <w:pPr>
              <w:jc w:val="right"/>
              <w:ind w:right="620"/>
              <w:spacing w:after="0"/>
              <w:rPr>
                <w:sz w:val="20"/>
                <w:szCs w:val="20"/>
                <w:color w:val="auto"/>
              </w:rPr>
            </w:pPr>
            <w:r>
              <w:rPr>
                <w:rFonts w:ascii="Arial" w:cs="Arial" w:eastAsia="Arial" w:hAnsi="Arial"/>
                <w:sz w:val="20"/>
                <w:szCs w:val="20"/>
                <w:color w:val="3E3935"/>
              </w:rPr>
              <w:t>—</w:t>
            </w:r>
          </w:p>
        </w:tc>
        <w:tc>
          <w:tcPr>
            <w:tcW w:w="2220" w:type="dxa"/>
            <w:vAlign w:val="bottom"/>
          </w:tcPr>
          <w:p>
            <w:pPr>
              <w:jc w:val="right"/>
              <w:ind w:right="221"/>
              <w:spacing w:after="0"/>
              <w:rPr>
                <w:sz w:val="20"/>
                <w:szCs w:val="20"/>
                <w:color w:val="auto"/>
              </w:rPr>
            </w:pPr>
            <w:r>
              <w:rPr>
                <w:rFonts w:ascii="Arial" w:cs="Arial" w:eastAsia="Arial" w:hAnsi="Arial"/>
                <w:sz w:val="20"/>
                <w:szCs w:val="20"/>
                <w:color w:val="3E3935"/>
              </w:rPr>
              <w:t>27,977</w:t>
            </w:r>
          </w:p>
        </w:tc>
        <w:tc>
          <w:tcPr>
            <w:tcW w:w="2060" w:type="dxa"/>
            <w:vAlign w:val="bottom"/>
          </w:tcPr>
          <w:p>
            <w:pPr>
              <w:jc w:val="right"/>
              <w:spacing w:after="0"/>
              <w:rPr>
                <w:sz w:val="20"/>
                <w:szCs w:val="20"/>
                <w:color w:val="auto"/>
              </w:rPr>
            </w:pPr>
            <w:r>
              <w:rPr>
                <w:rFonts w:ascii="Arial" w:cs="Arial" w:eastAsia="Arial" w:hAnsi="Arial"/>
                <w:sz w:val="20"/>
                <w:szCs w:val="20"/>
                <w:color w:val="3E3935"/>
              </w:rPr>
              <w:t>1,131,110</w:t>
            </w:r>
          </w:p>
        </w:tc>
        <w:tc>
          <w:tcPr>
            <w:tcW w:w="0" w:type="dxa"/>
            <w:vAlign w:val="bottom"/>
          </w:tcPr>
          <w:p>
            <w:pPr>
              <w:spacing w:after="0"/>
              <w:rPr>
                <w:sz w:val="1"/>
                <w:szCs w:val="1"/>
                <w:color w:val="auto"/>
              </w:rPr>
            </w:pPr>
          </w:p>
        </w:tc>
      </w:tr>
      <w:tr>
        <w:trPr>
          <w:trHeight w:val="58"/>
        </w:trPr>
        <w:tc>
          <w:tcPr>
            <w:tcW w:w="2120" w:type="dxa"/>
            <w:vAlign w:val="bottom"/>
            <w:tcBorders>
              <w:bottom w:val="single" w:sz="8" w:color="3E3935"/>
            </w:tcBorders>
          </w:tcPr>
          <w:p>
            <w:pPr>
              <w:spacing w:after="0"/>
              <w:rPr>
                <w:sz w:val="5"/>
                <w:szCs w:val="5"/>
                <w:color w:val="auto"/>
              </w:rPr>
            </w:pPr>
          </w:p>
        </w:tc>
        <w:tc>
          <w:tcPr>
            <w:tcW w:w="2020" w:type="dxa"/>
            <w:vAlign w:val="bottom"/>
            <w:tcBorders>
              <w:bottom w:val="single" w:sz="8" w:color="3E3935"/>
            </w:tcBorders>
          </w:tcPr>
          <w:p>
            <w:pPr>
              <w:spacing w:after="0"/>
              <w:rPr>
                <w:sz w:val="5"/>
                <w:szCs w:val="5"/>
                <w:color w:val="auto"/>
              </w:rPr>
            </w:pPr>
          </w:p>
        </w:tc>
        <w:tc>
          <w:tcPr>
            <w:tcW w:w="2040" w:type="dxa"/>
            <w:vAlign w:val="bottom"/>
            <w:tcBorders>
              <w:bottom w:val="single" w:sz="8" w:color="3E3935"/>
            </w:tcBorders>
          </w:tcPr>
          <w:p>
            <w:pPr>
              <w:spacing w:after="0"/>
              <w:rPr>
                <w:sz w:val="5"/>
                <w:szCs w:val="5"/>
                <w:color w:val="auto"/>
              </w:rPr>
            </w:pPr>
          </w:p>
        </w:tc>
        <w:tc>
          <w:tcPr>
            <w:tcW w:w="560" w:type="dxa"/>
            <w:vAlign w:val="bottom"/>
            <w:tcBorders>
              <w:bottom w:val="single" w:sz="8" w:color="3E3935"/>
            </w:tcBorders>
          </w:tcPr>
          <w:p>
            <w:pPr>
              <w:spacing w:after="0"/>
              <w:rPr>
                <w:sz w:val="5"/>
                <w:szCs w:val="5"/>
                <w:color w:val="auto"/>
              </w:rPr>
            </w:pPr>
          </w:p>
        </w:tc>
        <w:tc>
          <w:tcPr>
            <w:tcW w:w="2220" w:type="dxa"/>
            <w:vAlign w:val="bottom"/>
            <w:tcBorders>
              <w:bottom w:val="single" w:sz="8" w:color="3E3935"/>
            </w:tcBorders>
          </w:tcPr>
          <w:p>
            <w:pPr>
              <w:spacing w:after="0"/>
              <w:rPr>
                <w:sz w:val="5"/>
                <w:szCs w:val="5"/>
                <w:color w:val="auto"/>
              </w:rPr>
            </w:pPr>
          </w:p>
        </w:tc>
        <w:tc>
          <w:tcPr>
            <w:tcW w:w="2060" w:type="dxa"/>
            <w:vAlign w:val="bottom"/>
            <w:tcBorders>
              <w:bottom w:val="single" w:sz="8" w:color="3E3935"/>
            </w:tcBorders>
          </w:tcPr>
          <w:p>
            <w:pPr>
              <w:spacing w:after="0"/>
              <w:rPr>
                <w:sz w:val="5"/>
                <w:szCs w:val="5"/>
                <w:color w:val="auto"/>
              </w:rPr>
            </w:pPr>
          </w:p>
        </w:tc>
        <w:tc>
          <w:tcPr>
            <w:tcW w:w="0" w:type="dxa"/>
            <w:vAlign w:val="bottom"/>
          </w:tcPr>
          <w:p>
            <w:pPr>
              <w:spacing w:after="0"/>
              <w:rPr>
                <w:sz w:val="1"/>
                <w:szCs w:val="1"/>
                <w:color w:val="auto"/>
              </w:rPr>
            </w:pPr>
          </w:p>
        </w:tc>
      </w:tr>
      <w:tr>
        <w:trPr>
          <w:trHeight w:val="300"/>
        </w:trPr>
        <w:tc>
          <w:tcPr>
            <w:tcW w:w="2120" w:type="dxa"/>
            <w:vAlign w:val="bottom"/>
          </w:tcPr>
          <w:p>
            <w:pPr>
              <w:ind w:left="80"/>
              <w:spacing w:after="0"/>
              <w:rPr>
                <w:sz w:val="20"/>
                <w:szCs w:val="20"/>
                <w:color w:val="auto"/>
              </w:rPr>
            </w:pPr>
            <w:r>
              <w:rPr>
                <w:rFonts w:ascii="Arial" w:cs="Arial" w:eastAsia="Arial" w:hAnsi="Arial"/>
                <w:sz w:val="20"/>
                <w:szCs w:val="20"/>
                <w:color w:val="3E3935"/>
              </w:rPr>
              <w:t>Mark L. Reuss</w:t>
            </w:r>
          </w:p>
        </w:tc>
        <w:tc>
          <w:tcPr>
            <w:tcW w:w="2020" w:type="dxa"/>
            <w:vAlign w:val="bottom"/>
          </w:tcPr>
          <w:p>
            <w:pPr>
              <w:jc w:val="right"/>
              <w:ind w:right="201"/>
              <w:spacing w:after="0"/>
              <w:rPr>
                <w:sz w:val="20"/>
                <w:szCs w:val="20"/>
                <w:color w:val="auto"/>
              </w:rPr>
            </w:pPr>
            <w:r>
              <w:rPr>
                <w:rFonts w:ascii="Arial" w:cs="Arial" w:eastAsia="Arial" w:hAnsi="Arial"/>
                <w:sz w:val="20"/>
                <w:szCs w:val="20"/>
                <w:color w:val="3E3935"/>
              </w:rPr>
              <w:t>—</w:t>
            </w:r>
          </w:p>
        </w:tc>
        <w:tc>
          <w:tcPr>
            <w:tcW w:w="2600" w:type="dxa"/>
            <w:vAlign w:val="bottom"/>
            <w:gridSpan w:val="2"/>
          </w:tcPr>
          <w:p>
            <w:pPr>
              <w:jc w:val="right"/>
              <w:ind w:right="620"/>
              <w:spacing w:after="0"/>
              <w:rPr>
                <w:sz w:val="20"/>
                <w:szCs w:val="20"/>
                <w:color w:val="auto"/>
              </w:rPr>
            </w:pPr>
            <w:r>
              <w:rPr>
                <w:rFonts w:ascii="Arial" w:cs="Arial" w:eastAsia="Arial" w:hAnsi="Arial"/>
                <w:sz w:val="20"/>
                <w:szCs w:val="20"/>
                <w:color w:val="3E3935"/>
              </w:rPr>
              <w:t>—</w:t>
            </w:r>
          </w:p>
        </w:tc>
        <w:tc>
          <w:tcPr>
            <w:tcW w:w="2220" w:type="dxa"/>
            <w:vAlign w:val="bottom"/>
          </w:tcPr>
          <w:p>
            <w:pPr>
              <w:jc w:val="right"/>
              <w:ind w:right="221"/>
              <w:spacing w:after="0"/>
              <w:rPr>
                <w:sz w:val="20"/>
                <w:szCs w:val="20"/>
                <w:color w:val="auto"/>
              </w:rPr>
            </w:pPr>
            <w:r>
              <w:rPr>
                <w:rFonts w:ascii="Arial" w:cs="Arial" w:eastAsia="Arial" w:hAnsi="Arial"/>
                <w:sz w:val="20"/>
                <w:szCs w:val="20"/>
                <w:color w:val="3E3935"/>
              </w:rPr>
              <w:t>171,693</w:t>
            </w:r>
          </w:p>
        </w:tc>
        <w:tc>
          <w:tcPr>
            <w:tcW w:w="2060" w:type="dxa"/>
            <w:vAlign w:val="bottom"/>
          </w:tcPr>
          <w:p>
            <w:pPr>
              <w:jc w:val="right"/>
              <w:spacing w:after="0"/>
              <w:rPr>
                <w:sz w:val="20"/>
                <w:szCs w:val="20"/>
                <w:color w:val="auto"/>
              </w:rPr>
            </w:pPr>
            <w:r>
              <w:rPr>
                <w:rFonts w:ascii="Arial" w:cs="Arial" w:eastAsia="Arial" w:hAnsi="Arial"/>
                <w:sz w:val="20"/>
                <w:szCs w:val="20"/>
                <w:color w:val="3E3935"/>
              </w:rPr>
              <w:t>8,383,769</w:t>
            </w:r>
          </w:p>
        </w:tc>
        <w:tc>
          <w:tcPr>
            <w:tcW w:w="0" w:type="dxa"/>
            <w:vAlign w:val="bottom"/>
          </w:tcPr>
          <w:p>
            <w:pPr>
              <w:spacing w:after="0"/>
              <w:rPr>
                <w:sz w:val="1"/>
                <w:szCs w:val="1"/>
                <w:color w:val="auto"/>
              </w:rPr>
            </w:pPr>
          </w:p>
        </w:tc>
      </w:tr>
      <w:tr>
        <w:trPr>
          <w:trHeight w:val="58"/>
        </w:trPr>
        <w:tc>
          <w:tcPr>
            <w:tcW w:w="2120" w:type="dxa"/>
            <w:vAlign w:val="bottom"/>
            <w:tcBorders>
              <w:bottom w:val="single" w:sz="8" w:color="3E3935"/>
            </w:tcBorders>
          </w:tcPr>
          <w:p>
            <w:pPr>
              <w:spacing w:after="0"/>
              <w:rPr>
                <w:sz w:val="5"/>
                <w:szCs w:val="5"/>
                <w:color w:val="auto"/>
              </w:rPr>
            </w:pPr>
          </w:p>
        </w:tc>
        <w:tc>
          <w:tcPr>
            <w:tcW w:w="2020" w:type="dxa"/>
            <w:vAlign w:val="bottom"/>
            <w:tcBorders>
              <w:bottom w:val="single" w:sz="8" w:color="3E3935"/>
            </w:tcBorders>
          </w:tcPr>
          <w:p>
            <w:pPr>
              <w:spacing w:after="0"/>
              <w:rPr>
                <w:sz w:val="5"/>
                <w:szCs w:val="5"/>
                <w:color w:val="auto"/>
              </w:rPr>
            </w:pPr>
          </w:p>
        </w:tc>
        <w:tc>
          <w:tcPr>
            <w:tcW w:w="2040" w:type="dxa"/>
            <w:vAlign w:val="bottom"/>
            <w:tcBorders>
              <w:bottom w:val="single" w:sz="8" w:color="3E3935"/>
            </w:tcBorders>
          </w:tcPr>
          <w:p>
            <w:pPr>
              <w:spacing w:after="0"/>
              <w:rPr>
                <w:sz w:val="5"/>
                <w:szCs w:val="5"/>
                <w:color w:val="auto"/>
              </w:rPr>
            </w:pPr>
          </w:p>
        </w:tc>
        <w:tc>
          <w:tcPr>
            <w:tcW w:w="560" w:type="dxa"/>
            <w:vAlign w:val="bottom"/>
            <w:tcBorders>
              <w:bottom w:val="single" w:sz="8" w:color="3E3935"/>
            </w:tcBorders>
          </w:tcPr>
          <w:p>
            <w:pPr>
              <w:spacing w:after="0"/>
              <w:rPr>
                <w:sz w:val="5"/>
                <w:szCs w:val="5"/>
                <w:color w:val="auto"/>
              </w:rPr>
            </w:pPr>
          </w:p>
        </w:tc>
        <w:tc>
          <w:tcPr>
            <w:tcW w:w="2220" w:type="dxa"/>
            <w:vAlign w:val="bottom"/>
            <w:tcBorders>
              <w:bottom w:val="single" w:sz="8" w:color="3E3935"/>
            </w:tcBorders>
          </w:tcPr>
          <w:p>
            <w:pPr>
              <w:spacing w:after="0"/>
              <w:rPr>
                <w:sz w:val="5"/>
                <w:szCs w:val="5"/>
                <w:color w:val="auto"/>
              </w:rPr>
            </w:pPr>
          </w:p>
        </w:tc>
        <w:tc>
          <w:tcPr>
            <w:tcW w:w="2060" w:type="dxa"/>
            <w:vAlign w:val="bottom"/>
            <w:tcBorders>
              <w:bottom w:val="single" w:sz="8" w:color="3E3935"/>
            </w:tcBorders>
          </w:tcPr>
          <w:p>
            <w:pPr>
              <w:spacing w:after="0"/>
              <w:rPr>
                <w:sz w:val="5"/>
                <w:szCs w:val="5"/>
                <w:color w:val="auto"/>
              </w:rPr>
            </w:pPr>
          </w:p>
        </w:tc>
        <w:tc>
          <w:tcPr>
            <w:tcW w:w="0" w:type="dxa"/>
            <w:vAlign w:val="bottom"/>
          </w:tcPr>
          <w:p>
            <w:pPr>
              <w:spacing w:after="0"/>
              <w:rPr>
                <w:sz w:val="1"/>
                <w:szCs w:val="1"/>
                <w:color w:val="auto"/>
              </w:rPr>
            </w:pPr>
          </w:p>
        </w:tc>
      </w:tr>
      <w:tr>
        <w:trPr>
          <w:trHeight w:val="255"/>
        </w:trPr>
        <w:tc>
          <w:tcPr>
            <w:tcW w:w="2120" w:type="dxa"/>
            <w:vAlign w:val="bottom"/>
          </w:tcPr>
          <w:p>
            <w:pPr>
              <w:ind w:left="80"/>
              <w:spacing w:after="0"/>
              <w:rPr>
                <w:sz w:val="20"/>
                <w:szCs w:val="20"/>
                <w:color w:val="auto"/>
              </w:rPr>
            </w:pPr>
            <w:r>
              <w:rPr>
                <w:rFonts w:ascii="Arial" w:cs="Arial" w:eastAsia="Arial" w:hAnsi="Arial"/>
                <w:sz w:val="20"/>
                <w:szCs w:val="20"/>
                <w:color w:val="3E3935"/>
              </w:rPr>
              <w:t>Douglas L.</w:t>
            </w:r>
          </w:p>
        </w:tc>
        <w:tc>
          <w:tcPr>
            <w:tcW w:w="2020" w:type="dxa"/>
            <w:vAlign w:val="bottom"/>
          </w:tcPr>
          <w:p>
            <w:pPr>
              <w:spacing w:after="0"/>
              <w:rPr>
                <w:sz w:val="22"/>
                <w:szCs w:val="22"/>
                <w:color w:val="auto"/>
              </w:rPr>
            </w:pPr>
          </w:p>
        </w:tc>
        <w:tc>
          <w:tcPr>
            <w:tcW w:w="20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220" w:type="dxa"/>
            <w:vAlign w:val="bottom"/>
          </w:tcPr>
          <w:p>
            <w:pPr>
              <w:spacing w:after="0"/>
              <w:rPr>
                <w:sz w:val="22"/>
                <w:szCs w:val="22"/>
                <w:color w:val="auto"/>
              </w:rPr>
            </w:pPr>
          </w:p>
        </w:tc>
        <w:tc>
          <w:tcPr>
            <w:tcW w:w="20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1"/>
        </w:trPr>
        <w:tc>
          <w:tcPr>
            <w:tcW w:w="2120" w:type="dxa"/>
            <w:vAlign w:val="bottom"/>
          </w:tcPr>
          <w:p>
            <w:pPr>
              <w:ind w:left="80"/>
              <w:spacing w:after="0"/>
              <w:rPr>
                <w:sz w:val="20"/>
                <w:szCs w:val="20"/>
                <w:color w:val="auto"/>
              </w:rPr>
            </w:pPr>
            <w:r>
              <w:rPr>
                <w:rFonts w:ascii="Arial" w:cs="Arial" w:eastAsia="Arial" w:hAnsi="Arial"/>
                <w:sz w:val="20"/>
                <w:szCs w:val="20"/>
                <w:color w:val="3E3935"/>
              </w:rPr>
              <w:t>Parks</w:t>
            </w:r>
          </w:p>
        </w:tc>
        <w:tc>
          <w:tcPr>
            <w:tcW w:w="2020" w:type="dxa"/>
            <w:vAlign w:val="bottom"/>
          </w:tcPr>
          <w:p>
            <w:pPr>
              <w:jc w:val="right"/>
              <w:ind w:right="201"/>
              <w:spacing w:after="0"/>
              <w:rPr>
                <w:sz w:val="20"/>
                <w:szCs w:val="20"/>
                <w:color w:val="auto"/>
              </w:rPr>
            </w:pPr>
            <w:r>
              <w:rPr>
                <w:rFonts w:ascii="Arial" w:cs="Arial" w:eastAsia="Arial" w:hAnsi="Arial"/>
                <w:sz w:val="20"/>
                <w:szCs w:val="20"/>
                <w:color w:val="3E3935"/>
              </w:rPr>
              <w:t>—</w:t>
            </w:r>
          </w:p>
        </w:tc>
        <w:tc>
          <w:tcPr>
            <w:tcW w:w="2600" w:type="dxa"/>
            <w:vAlign w:val="bottom"/>
            <w:gridSpan w:val="2"/>
          </w:tcPr>
          <w:p>
            <w:pPr>
              <w:jc w:val="right"/>
              <w:ind w:right="620"/>
              <w:spacing w:after="0"/>
              <w:rPr>
                <w:sz w:val="20"/>
                <w:szCs w:val="20"/>
                <w:color w:val="auto"/>
              </w:rPr>
            </w:pPr>
            <w:r>
              <w:rPr>
                <w:rFonts w:ascii="Arial" w:cs="Arial" w:eastAsia="Arial" w:hAnsi="Arial"/>
                <w:sz w:val="20"/>
                <w:szCs w:val="20"/>
                <w:color w:val="3E3935"/>
              </w:rPr>
              <w:t>—</w:t>
            </w:r>
          </w:p>
        </w:tc>
        <w:tc>
          <w:tcPr>
            <w:tcW w:w="2220" w:type="dxa"/>
            <w:vAlign w:val="bottom"/>
          </w:tcPr>
          <w:p>
            <w:pPr>
              <w:jc w:val="right"/>
              <w:ind w:right="221"/>
              <w:spacing w:after="0"/>
              <w:rPr>
                <w:sz w:val="20"/>
                <w:szCs w:val="20"/>
                <w:color w:val="auto"/>
              </w:rPr>
            </w:pPr>
            <w:r>
              <w:rPr>
                <w:rFonts w:ascii="Arial" w:cs="Arial" w:eastAsia="Arial" w:hAnsi="Arial"/>
                <w:sz w:val="20"/>
                <w:szCs w:val="20"/>
                <w:color w:val="3E3935"/>
              </w:rPr>
              <w:t>26,292</w:t>
            </w:r>
          </w:p>
        </w:tc>
        <w:tc>
          <w:tcPr>
            <w:tcW w:w="2060" w:type="dxa"/>
            <w:vAlign w:val="bottom"/>
          </w:tcPr>
          <w:p>
            <w:pPr>
              <w:jc w:val="right"/>
              <w:spacing w:after="0"/>
              <w:rPr>
                <w:sz w:val="20"/>
                <w:szCs w:val="20"/>
                <w:color w:val="auto"/>
              </w:rPr>
            </w:pPr>
            <w:r>
              <w:rPr>
                <w:rFonts w:ascii="Arial" w:cs="Arial" w:eastAsia="Arial" w:hAnsi="Arial"/>
                <w:sz w:val="20"/>
                <w:szCs w:val="20"/>
                <w:color w:val="3E3935"/>
              </w:rPr>
              <w:t>1,283,838</w:t>
            </w:r>
          </w:p>
        </w:tc>
        <w:tc>
          <w:tcPr>
            <w:tcW w:w="0" w:type="dxa"/>
            <w:vAlign w:val="bottom"/>
          </w:tcPr>
          <w:p>
            <w:pPr>
              <w:spacing w:after="0"/>
              <w:rPr>
                <w:sz w:val="1"/>
                <w:szCs w:val="1"/>
                <w:color w:val="auto"/>
              </w:rPr>
            </w:pPr>
          </w:p>
        </w:tc>
      </w:tr>
      <w:tr>
        <w:trPr>
          <w:trHeight w:val="58"/>
        </w:trPr>
        <w:tc>
          <w:tcPr>
            <w:tcW w:w="2120" w:type="dxa"/>
            <w:vAlign w:val="bottom"/>
            <w:tcBorders>
              <w:bottom w:val="single" w:sz="8" w:color="3E3935"/>
            </w:tcBorders>
          </w:tcPr>
          <w:p>
            <w:pPr>
              <w:spacing w:after="0"/>
              <w:rPr>
                <w:sz w:val="5"/>
                <w:szCs w:val="5"/>
                <w:color w:val="auto"/>
              </w:rPr>
            </w:pPr>
          </w:p>
        </w:tc>
        <w:tc>
          <w:tcPr>
            <w:tcW w:w="2020" w:type="dxa"/>
            <w:vAlign w:val="bottom"/>
            <w:tcBorders>
              <w:bottom w:val="single" w:sz="8" w:color="3E3935"/>
            </w:tcBorders>
          </w:tcPr>
          <w:p>
            <w:pPr>
              <w:spacing w:after="0"/>
              <w:rPr>
                <w:sz w:val="5"/>
                <w:szCs w:val="5"/>
                <w:color w:val="auto"/>
              </w:rPr>
            </w:pPr>
          </w:p>
        </w:tc>
        <w:tc>
          <w:tcPr>
            <w:tcW w:w="2040" w:type="dxa"/>
            <w:vAlign w:val="bottom"/>
            <w:tcBorders>
              <w:bottom w:val="single" w:sz="8" w:color="3E3935"/>
            </w:tcBorders>
          </w:tcPr>
          <w:p>
            <w:pPr>
              <w:spacing w:after="0"/>
              <w:rPr>
                <w:sz w:val="5"/>
                <w:szCs w:val="5"/>
                <w:color w:val="auto"/>
              </w:rPr>
            </w:pPr>
          </w:p>
        </w:tc>
        <w:tc>
          <w:tcPr>
            <w:tcW w:w="560" w:type="dxa"/>
            <w:vAlign w:val="bottom"/>
            <w:tcBorders>
              <w:bottom w:val="single" w:sz="8" w:color="3E3935"/>
            </w:tcBorders>
          </w:tcPr>
          <w:p>
            <w:pPr>
              <w:spacing w:after="0"/>
              <w:rPr>
                <w:sz w:val="5"/>
                <w:szCs w:val="5"/>
                <w:color w:val="auto"/>
              </w:rPr>
            </w:pPr>
          </w:p>
        </w:tc>
        <w:tc>
          <w:tcPr>
            <w:tcW w:w="2220" w:type="dxa"/>
            <w:vAlign w:val="bottom"/>
            <w:tcBorders>
              <w:bottom w:val="single" w:sz="8" w:color="3E3935"/>
            </w:tcBorders>
          </w:tcPr>
          <w:p>
            <w:pPr>
              <w:spacing w:after="0"/>
              <w:rPr>
                <w:sz w:val="5"/>
                <w:szCs w:val="5"/>
                <w:color w:val="auto"/>
              </w:rPr>
            </w:pPr>
          </w:p>
        </w:tc>
        <w:tc>
          <w:tcPr>
            <w:tcW w:w="2060" w:type="dxa"/>
            <w:vAlign w:val="bottom"/>
            <w:tcBorders>
              <w:bottom w:val="single" w:sz="8" w:color="3E3935"/>
            </w:tcBorders>
          </w:tcPr>
          <w:p>
            <w:pPr>
              <w:spacing w:after="0"/>
              <w:rPr>
                <w:sz w:val="5"/>
                <w:szCs w:val="5"/>
                <w:color w:val="auto"/>
              </w:rPr>
            </w:pPr>
          </w:p>
        </w:tc>
        <w:tc>
          <w:tcPr>
            <w:tcW w:w="0" w:type="dxa"/>
            <w:vAlign w:val="bottom"/>
          </w:tcPr>
          <w:p>
            <w:pPr>
              <w:spacing w:after="0"/>
              <w:rPr>
                <w:sz w:val="1"/>
                <w:szCs w:val="1"/>
                <w:color w:val="auto"/>
              </w:rPr>
            </w:pPr>
          </w:p>
        </w:tc>
      </w:tr>
      <w:tr>
        <w:trPr>
          <w:trHeight w:val="255"/>
        </w:trPr>
        <w:tc>
          <w:tcPr>
            <w:tcW w:w="2120" w:type="dxa"/>
            <w:vAlign w:val="bottom"/>
          </w:tcPr>
          <w:p>
            <w:pPr>
              <w:ind w:left="80"/>
              <w:spacing w:after="0"/>
              <w:rPr>
                <w:sz w:val="20"/>
                <w:szCs w:val="20"/>
                <w:color w:val="auto"/>
              </w:rPr>
            </w:pPr>
            <w:r>
              <w:rPr>
                <w:rFonts w:ascii="Arial" w:cs="Arial" w:eastAsia="Arial" w:hAnsi="Arial"/>
                <w:sz w:val="20"/>
                <w:szCs w:val="20"/>
                <w:color w:val="3E3935"/>
              </w:rPr>
              <w:t>Stephen K.</w:t>
            </w:r>
          </w:p>
        </w:tc>
        <w:tc>
          <w:tcPr>
            <w:tcW w:w="2020" w:type="dxa"/>
            <w:vAlign w:val="bottom"/>
          </w:tcPr>
          <w:p>
            <w:pPr>
              <w:spacing w:after="0"/>
              <w:rPr>
                <w:sz w:val="22"/>
                <w:szCs w:val="22"/>
                <w:color w:val="auto"/>
              </w:rPr>
            </w:pPr>
          </w:p>
        </w:tc>
        <w:tc>
          <w:tcPr>
            <w:tcW w:w="20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220" w:type="dxa"/>
            <w:vAlign w:val="bottom"/>
          </w:tcPr>
          <w:p>
            <w:pPr>
              <w:spacing w:after="0"/>
              <w:rPr>
                <w:sz w:val="22"/>
                <w:szCs w:val="22"/>
                <w:color w:val="auto"/>
              </w:rPr>
            </w:pPr>
          </w:p>
        </w:tc>
        <w:tc>
          <w:tcPr>
            <w:tcW w:w="20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1"/>
        </w:trPr>
        <w:tc>
          <w:tcPr>
            <w:tcW w:w="2120" w:type="dxa"/>
            <w:vAlign w:val="bottom"/>
          </w:tcPr>
          <w:p>
            <w:pPr>
              <w:ind w:left="80"/>
              <w:spacing w:after="0"/>
              <w:rPr>
                <w:sz w:val="20"/>
                <w:szCs w:val="20"/>
                <w:color w:val="auto"/>
              </w:rPr>
            </w:pPr>
            <w:r>
              <w:rPr>
                <w:rFonts w:ascii="Arial" w:cs="Arial" w:eastAsia="Arial" w:hAnsi="Arial"/>
                <w:sz w:val="20"/>
                <w:szCs w:val="20"/>
                <w:color w:val="3E3935"/>
              </w:rPr>
              <w:t>Carlisle</w:t>
            </w:r>
          </w:p>
        </w:tc>
        <w:tc>
          <w:tcPr>
            <w:tcW w:w="2020" w:type="dxa"/>
            <w:vAlign w:val="bottom"/>
          </w:tcPr>
          <w:p>
            <w:pPr>
              <w:jc w:val="right"/>
              <w:ind w:right="201"/>
              <w:spacing w:after="0"/>
              <w:rPr>
                <w:sz w:val="20"/>
                <w:szCs w:val="20"/>
                <w:color w:val="auto"/>
              </w:rPr>
            </w:pPr>
            <w:r>
              <w:rPr>
                <w:rFonts w:ascii="Arial" w:cs="Arial" w:eastAsia="Arial" w:hAnsi="Arial"/>
                <w:sz w:val="20"/>
                <w:szCs w:val="20"/>
                <w:color w:val="3E3935"/>
              </w:rPr>
              <w:t>—</w:t>
            </w:r>
          </w:p>
        </w:tc>
        <w:tc>
          <w:tcPr>
            <w:tcW w:w="2600" w:type="dxa"/>
            <w:vAlign w:val="bottom"/>
            <w:gridSpan w:val="2"/>
          </w:tcPr>
          <w:p>
            <w:pPr>
              <w:jc w:val="right"/>
              <w:ind w:right="620"/>
              <w:spacing w:after="0"/>
              <w:rPr>
                <w:sz w:val="20"/>
                <w:szCs w:val="20"/>
                <w:color w:val="auto"/>
              </w:rPr>
            </w:pPr>
            <w:r>
              <w:rPr>
                <w:rFonts w:ascii="Arial" w:cs="Arial" w:eastAsia="Arial" w:hAnsi="Arial"/>
                <w:sz w:val="20"/>
                <w:szCs w:val="20"/>
                <w:color w:val="3E3935"/>
              </w:rPr>
              <w:t>—</w:t>
            </w:r>
          </w:p>
        </w:tc>
        <w:tc>
          <w:tcPr>
            <w:tcW w:w="2220" w:type="dxa"/>
            <w:vAlign w:val="bottom"/>
          </w:tcPr>
          <w:p>
            <w:pPr>
              <w:jc w:val="right"/>
              <w:ind w:right="221"/>
              <w:spacing w:after="0"/>
              <w:rPr>
                <w:sz w:val="20"/>
                <w:szCs w:val="20"/>
                <w:color w:val="auto"/>
              </w:rPr>
            </w:pPr>
            <w:r>
              <w:rPr>
                <w:rFonts w:ascii="Arial" w:cs="Arial" w:eastAsia="Arial" w:hAnsi="Arial"/>
                <w:sz w:val="20"/>
                <w:szCs w:val="20"/>
                <w:color w:val="3E3935"/>
              </w:rPr>
              <w:t>49,184</w:t>
            </w:r>
          </w:p>
        </w:tc>
        <w:tc>
          <w:tcPr>
            <w:tcW w:w="2060" w:type="dxa"/>
            <w:vAlign w:val="bottom"/>
          </w:tcPr>
          <w:p>
            <w:pPr>
              <w:jc w:val="right"/>
              <w:spacing w:after="0"/>
              <w:rPr>
                <w:sz w:val="20"/>
                <w:szCs w:val="20"/>
                <w:color w:val="auto"/>
              </w:rPr>
            </w:pPr>
            <w:r>
              <w:rPr>
                <w:rFonts w:ascii="Arial" w:cs="Arial" w:eastAsia="Arial" w:hAnsi="Arial"/>
                <w:sz w:val="20"/>
                <w:szCs w:val="20"/>
                <w:color w:val="3E3935"/>
              </w:rPr>
              <w:t>2,401,655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36830</wp:posOffset>
            </wp:positionV>
            <wp:extent cx="6995160" cy="825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15" w:lineRule="exact"/>
        <w:rPr>
          <w:sz w:val="20"/>
          <w:szCs w:val="20"/>
          <w:color w:val="auto"/>
        </w:rPr>
      </w:pPr>
    </w:p>
    <w:p>
      <w:pPr>
        <w:ind w:left="540" w:right="20" w:hanging="424"/>
        <w:spacing w:after="0" w:line="269" w:lineRule="auto"/>
        <w:tabs>
          <w:tab w:leader="none" w:pos="540" w:val="left"/>
        </w:tabs>
        <w:numPr>
          <w:ilvl w:val="0"/>
          <w:numId w:val="128"/>
        </w:numPr>
        <w:rPr>
          <w:rFonts w:ascii="Arial" w:cs="Arial" w:eastAsia="Arial" w:hAnsi="Arial"/>
          <w:sz w:val="18"/>
          <w:szCs w:val="18"/>
          <w:i w:val="1"/>
          <w:iCs w:val="1"/>
          <w:color w:val="3E3935"/>
        </w:rPr>
      </w:pPr>
      <w:r>
        <w:rPr>
          <w:rFonts w:ascii="Arial" w:cs="Arial" w:eastAsia="Arial" w:hAnsi="Arial"/>
          <w:sz w:val="18"/>
          <w:szCs w:val="18"/>
          <w:i w:val="1"/>
          <w:iCs w:val="1"/>
          <w:color w:val="3E3935"/>
        </w:rPr>
        <w:t>The aggregate dollar value realized upon exercise is computed by multiplying the number of shares at exercise by the difference between the market price of GM common stock and the exercise price of the options.</w:t>
      </w:r>
    </w:p>
    <w:p>
      <w:pPr>
        <w:spacing w:after="0" w:line="22" w:lineRule="exact"/>
        <w:rPr>
          <w:rFonts w:ascii="Arial" w:cs="Arial" w:eastAsia="Arial" w:hAnsi="Arial"/>
          <w:sz w:val="18"/>
          <w:szCs w:val="18"/>
          <w:i w:val="1"/>
          <w:iCs w:val="1"/>
          <w:color w:val="3E3935"/>
        </w:rPr>
      </w:pPr>
    </w:p>
    <w:p>
      <w:pPr>
        <w:ind w:left="540" w:right="20" w:hanging="424"/>
        <w:spacing w:after="0" w:line="269" w:lineRule="auto"/>
        <w:tabs>
          <w:tab w:leader="none" w:pos="540" w:val="left"/>
        </w:tabs>
        <w:numPr>
          <w:ilvl w:val="0"/>
          <w:numId w:val="128"/>
        </w:numPr>
        <w:rPr>
          <w:rFonts w:ascii="Arial" w:cs="Arial" w:eastAsia="Arial" w:hAnsi="Arial"/>
          <w:sz w:val="18"/>
          <w:szCs w:val="18"/>
          <w:i w:val="1"/>
          <w:iCs w:val="1"/>
          <w:color w:val="3E3935"/>
        </w:rPr>
      </w:pPr>
      <w:r>
        <w:rPr>
          <w:rFonts w:ascii="Arial" w:cs="Arial" w:eastAsia="Arial" w:hAnsi="Arial"/>
          <w:sz w:val="18"/>
          <w:szCs w:val="18"/>
          <w:i w:val="1"/>
          <w:iCs w:val="1"/>
          <w:color w:val="3E3935"/>
        </w:rPr>
        <w:t>The aggregate dollar value realized upon vesting is computed by multiplying the number of shares vested by the closing price of GM common stock on the vesting date.</w:t>
      </w:r>
    </w:p>
    <w:p>
      <w:pPr>
        <w:spacing w:after="0" w:line="223" w:lineRule="exact"/>
        <w:rPr>
          <w:sz w:val="20"/>
          <w:szCs w:val="20"/>
          <w:color w:val="auto"/>
        </w:rPr>
      </w:pPr>
    </w:p>
    <w:p>
      <w:pPr>
        <w:ind w:left="120"/>
        <w:spacing w:after="0"/>
        <w:rPr>
          <w:sz w:val="20"/>
          <w:szCs w:val="20"/>
          <w:color w:val="auto"/>
        </w:rPr>
      </w:pPr>
      <w:r>
        <w:rPr>
          <w:rFonts w:ascii="Arial" w:cs="Arial" w:eastAsia="Arial" w:hAnsi="Arial"/>
          <w:sz w:val="31"/>
          <w:szCs w:val="31"/>
          <w:color w:val="3E3935"/>
        </w:rPr>
        <w:t>Pension Benefits</w:t>
      </w:r>
    </w:p>
    <w:p>
      <w:pPr>
        <w:spacing w:after="0" w:line="166" w:lineRule="exact"/>
        <w:rPr>
          <w:sz w:val="20"/>
          <w:szCs w:val="20"/>
          <w:color w:val="auto"/>
        </w:rPr>
      </w:pPr>
    </w:p>
    <w:p>
      <w:pPr>
        <w:ind w:left="660" w:hanging="544"/>
        <w:spacing w:after="0"/>
        <w:tabs>
          <w:tab w:leader="none" w:pos="660" w:val="left"/>
        </w:tabs>
        <w:numPr>
          <w:ilvl w:val="0"/>
          <w:numId w:val="129"/>
        </w:numPr>
        <w:rPr>
          <w:rFonts w:ascii="Times New Roman" w:cs="Times New Roman" w:eastAsia="Times New Roman" w:hAnsi="Times New Roman"/>
          <w:sz w:val="19"/>
          <w:szCs w:val="19"/>
          <w:color w:val="0071CE"/>
        </w:rPr>
      </w:pPr>
      <w:r>
        <w:rPr>
          <w:rFonts w:ascii="Arial" w:cs="Arial" w:eastAsia="Arial" w:hAnsi="Arial"/>
          <w:sz w:val="25"/>
          <w:szCs w:val="25"/>
          <w:color w:val="3E3935"/>
        </w:rPr>
        <w:t>GM Salaried Retirement Plan</w:t>
      </w:r>
    </w:p>
    <w:p>
      <w:pPr>
        <w:spacing w:after="0" w:line="143" w:lineRule="exact"/>
        <w:rPr>
          <w:sz w:val="20"/>
          <w:szCs w:val="20"/>
          <w:color w:val="auto"/>
        </w:rPr>
      </w:pPr>
    </w:p>
    <w:p>
      <w:pPr>
        <w:jc w:val="both"/>
        <w:ind w:left="120"/>
        <w:spacing w:after="0" w:line="235" w:lineRule="auto"/>
        <w:rPr>
          <w:sz w:val="20"/>
          <w:szCs w:val="20"/>
          <w:color w:val="auto"/>
        </w:rPr>
      </w:pPr>
      <w:r>
        <w:rPr>
          <w:rFonts w:ascii="Arial" w:cs="Arial" w:eastAsia="Arial" w:hAnsi="Arial"/>
          <w:sz w:val="20"/>
          <w:szCs w:val="20"/>
          <w:b w:val="1"/>
          <w:bCs w:val="1"/>
          <w:color w:val="0071CE"/>
        </w:rPr>
        <w:t xml:space="preserve">Eligibility and Vesting: </w:t>
      </w:r>
      <w:r>
        <w:rPr>
          <w:rFonts w:ascii="Arial" w:cs="Arial" w:eastAsia="Arial" w:hAnsi="Arial"/>
          <w:sz w:val="20"/>
          <w:szCs w:val="20"/>
          <w:color w:val="3E3935"/>
        </w:rPr>
        <w:t>The GM Salaried Retirement Plan (“SRP”) is a funded, tax-qualified retirement plan that covers</w:t>
      </w:r>
      <w:r>
        <w:rPr>
          <w:rFonts w:ascii="Arial" w:cs="Arial" w:eastAsia="Arial" w:hAnsi="Arial"/>
          <w:sz w:val="20"/>
          <w:szCs w:val="20"/>
          <w:b w:val="1"/>
          <w:bCs w:val="1"/>
          <w:color w:val="0071CE"/>
        </w:rPr>
        <w:t xml:space="preserve"> </w:t>
      </w:r>
      <w:r>
        <w:rPr>
          <w:rFonts w:ascii="Arial" w:cs="Arial" w:eastAsia="Arial" w:hAnsi="Arial"/>
          <w:sz w:val="20"/>
          <w:szCs w:val="20"/>
          <w:color w:val="3E3935"/>
        </w:rPr>
        <w:t>eligible employees hired prior to January 1, 2007. Employees who commenced service on or after January 1, 2007, are eligible to participate only in DC plans. Employees are vested in the SRP after five years of qualifying service. The plan permitted employee contributions, which vested immediately, until December 31, 2006. All DB accruals were frozen on September 30, 2012, with service continuing towards eligibility to retire.</w:t>
      </w:r>
    </w:p>
    <w:p>
      <w:pPr>
        <w:spacing w:after="0" w:line="103"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3E3935"/>
        </w:rPr>
        <w:t>Benefit Formula:</w:t>
      </w:r>
    </w:p>
    <w:p>
      <w:pPr>
        <w:spacing w:after="0" w:line="135" w:lineRule="exact"/>
        <w:rPr>
          <w:sz w:val="20"/>
          <w:szCs w:val="20"/>
          <w:color w:val="auto"/>
        </w:rPr>
      </w:pPr>
    </w:p>
    <w:p>
      <w:pPr>
        <w:jc w:val="both"/>
        <w:ind w:left="120"/>
        <w:spacing w:after="0" w:line="235" w:lineRule="auto"/>
        <w:rPr>
          <w:sz w:val="20"/>
          <w:szCs w:val="20"/>
          <w:color w:val="auto"/>
        </w:rPr>
      </w:pPr>
      <w:r>
        <w:rPr>
          <w:rFonts w:ascii="Arial" w:cs="Arial" w:eastAsia="Arial" w:hAnsi="Arial"/>
          <w:sz w:val="20"/>
          <w:szCs w:val="20"/>
          <w:b w:val="1"/>
          <w:bCs w:val="1"/>
          <w:color w:val="0071CE"/>
        </w:rPr>
        <w:t xml:space="preserve">Service Prior to January 1, 2001: </w:t>
      </w:r>
      <w:r>
        <w:rPr>
          <w:rFonts w:ascii="Arial" w:cs="Arial" w:eastAsia="Arial" w:hAnsi="Arial"/>
          <w:sz w:val="20"/>
          <w:szCs w:val="20"/>
          <w:color w:val="3E3935"/>
        </w:rPr>
        <w:t>The plan provided benefits on both a contributory and noncontributory formula. The</w:t>
      </w:r>
      <w:r>
        <w:rPr>
          <w:rFonts w:ascii="Arial" w:cs="Arial" w:eastAsia="Arial" w:hAnsi="Arial"/>
          <w:sz w:val="20"/>
          <w:szCs w:val="20"/>
          <w:b w:val="1"/>
          <w:bCs w:val="1"/>
          <w:color w:val="0071CE"/>
        </w:rPr>
        <w:t xml:space="preserve"> </w:t>
      </w:r>
      <w:r>
        <w:rPr>
          <w:rFonts w:ascii="Arial" w:cs="Arial" w:eastAsia="Arial" w:hAnsi="Arial"/>
          <w:sz w:val="20"/>
          <w:szCs w:val="20"/>
          <w:color w:val="3E3935"/>
        </w:rPr>
        <w:t>contributory formula factors the contributions of the employee and earnings for each fiscal year. The formulas were frozen effective December 31, 2006, and effective January 1, 2007, employees continued to participate in the SRP under a new formula that provided a pension accrual equal to 1.25 percent of the employee’s eligible earnings up to the IRS-prescribed limits for tax-qualified plans. The 1.25 percent accruals were frozen September 30, 2012.</w:t>
      </w:r>
    </w:p>
    <w:p>
      <w:pPr>
        <w:spacing w:after="0" w:line="89" w:lineRule="exact"/>
        <w:rPr>
          <w:sz w:val="20"/>
          <w:szCs w:val="20"/>
          <w:color w:val="auto"/>
        </w:rPr>
      </w:pPr>
    </w:p>
    <w:p>
      <w:pPr>
        <w:jc w:val="both"/>
        <w:ind w:left="120" w:right="20"/>
        <w:spacing w:after="0" w:line="242" w:lineRule="auto"/>
        <w:rPr>
          <w:sz w:val="20"/>
          <w:szCs w:val="20"/>
          <w:color w:val="auto"/>
        </w:rPr>
      </w:pPr>
      <w:r>
        <w:rPr>
          <w:rFonts w:ascii="Arial" w:cs="Arial" w:eastAsia="Arial" w:hAnsi="Arial"/>
          <w:sz w:val="20"/>
          <w:szCs w:val="20"/>
          <w:b w:val="1"/>
          <w:bCs w:val="1"/>
          <w:color w:val="0071CE"/>
        </w:rPr>
        <w:t xml:space="preserve">Service from January 1, 2001, to December 31, 2006: </w:t>
      </w:r>
      <w:r>
        <w:rPr>
          <w:rFonts w:ascii="Arial" w:cs="Arial" w:eastAsia="Arial" w:hAnsi="Arial"/>
          <w:sz w:val="20"/>
          <w:szCs w:val="20"/>
          <w:color w:val="3E3935"/>
        </w:rPr>
        <w:t>The plan provided benefits under a cash balance formula with pay</w:t>
      </w:r>
      <w:r>
        <w:rPr>
          <w:rFonts w:ascii="Arial" w:cs="Arial" w:eastAsia="Arial" w:hAnsi="Arial"/>
          <w:sz w:val="20"/>
          <w:szCs w:val="20"/>
          <w:b w:val="1"/>
          <w:bCs w:val="1"/>
          <w:color w:val="0071CE"/>
        </w:rPr>
        <w:t xml:space="preserve"> </w:t>
      </w:r>
      <w:r>
        <w:rPr>
          <w:rFonts w:ascii="Arial" w:cs="Arial" w:eastAsia="Arial" w:hAnsi="Arial"/>
          <w:sz w:val="20"/>
          <w:szCs w:val="20"/>
          <w:color w:val="3E3935"/>
        </w:rPr>
        <w:t>credits based on age through December 31, 2006, when the formula was frozen, with balances continuing to earn interest credits thereafter.</w:t>
      </w:r>
    </w:p>
    <w:p>
      <w:pPr>
        <w:spacing w:after="0" w:line="101" w:lineRule="exact"/>
        <w:rPr>
          <w:sz w:val="20"/>
          <w:szCs w:val="20"/>
          <w:color w:val="auto"/>
        </w:rPr>
      </w:pPr>
    </w:p>
    <w:p>
      <w:pPr>
        <w:jc w:val="both"/>
        <w:ind w:left="120"/>
        <w:spacing w:after="0" w:line="242" w:lineRule="auto"/>
        <w:rPr>
          <w:sz w:val="20"/>
          <w:szCs w:val="20"/>
          <w:color w:val="auto"/>
        </w:rPr>
      </w:pPr>
      <w:r>
        <w:rPr>
          <w:rFonts w:ascii="Arial" w:cs="Arial" w:eastAsia="Arial" w:hAnsi="Arial"/>
          <w:sz w:val="19"/>
          <w:szCs w:val="19"/>
          <w:b w:val="1"/>
          <w:bCs w:val="1"/>
          <w:color w:val="0071CE"/>
        </w:rPr>
        <w:t xml:space="preserve">Time and Form of Payment: </w:t>
      </w:r>
      <w:r>
        <w:rPr>
          <w:rFonts w:ascii="Arial" w:cs="Arial" w:eastAsia="Arial" w:hAnsi="Arial"/>
          <w:sz w:val="19"/>
          <w:szCs w:val="19"/>
          <w:color w:val="3E3935"/>
        </w:rPr>
        <w:t>For employees hired prior to January 1, 2001, the accumulated benefit an employee earns over</w:t>
      </w:r>
      <w:r>
        <w:rPr>
          <w:rFonts w:ascii="Arial" w:cs="Arial" w:eastAsia="Arial" w:hAnsi="Arial"/>
          <w:sz w:val="19"/>
          <w:szCs w:val="19"/>
          <w:b w:val="1"/>
          <w:bCs w:val="1"/>
          <w:color w:val="0071CE"/>
        </w:rPr>
        <w:t xml:space="preserve"> </w:t>
      </w:r>
      <w:r>
        <w:rPr>
          <w:rFonts w:ascii="Arial" w:cs="Arial" w:eastAsia="Arial" w:hAnsi="Arial"/>
          <w:sz w:val="19"/>
          <w:szCs w:val="19"/>
          <w:color w:val="3E3935"/>
        </w:rPr>
        <w:t>his or her career with the Company is payable starting after retirement. Normal retirement age is defined as age 65. Employees who commenced service prior to 1988 may elect early retirement after 30 years of credited service or 85 points, based on combined age and service, or age 60 and 10 or more years of service, with certain age-reduction factors applied. As of December 31, 2022, Ms. Barra and Messrs. Reuss, Parks, and Carlisle were eligible for early retirement. The plan also provides Social Security supplements for those hired prior to 1988. For employees hired on or after January 1, 1988, and prior to December 31, 2000, Social Security supplements are not payable and age-reduction factors are greater for retirements prior to age 62. The plan provides a single-life annuity, a spousal joint and survivor annuity, a contingent annuitant optional form of payment, or a 100 percent lump sum option. For employees hired from January 1, 2001, to December 31, 2006, the plan provides a single-life annuity, a contingent annuitant optional form of payment, or a 100 percent lump sum option.</w:t>
      </w:r>
    </w:p>
    <w:p>
      <w:pPr>
        <w:spacing w:after="0" w:line="120" w:lineRule="exact"/>
        <w:rPr>
          <w:sz w:val="20"/>
          <w:szCs w:val="20"/>
          <w:color w:val="auto"/>
        </w:rPr>
      </w:pPr>
    </w:p>
    <w:p>
      <w:pPr>
        <w:ind w:left="120"/>
        <w:spacing w:after="0"/>
        <w:rPr>
          <w:sz w:val="20"/>
          <w:szCs w:val="20"/>
          <w:color w:val="auto"/>
        </w:rPr>
      </w:pPr>
      <w:r>
        <w:rPr>
          <w:rFonts w:ascii="Arial" w:cs="Arial" w:eastAsia="Arial" w:hAnsi="Arial"/>
          <w:sz w:val="14"/>
          <w:szCs w:val="14"/>
          <w:color w:val="0071CE"/>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wp:posOffset>
            </wp:positionH>
            <wp:positionV relativeFrom="paragraph">
              <wp:posOffset>-95885</wp:posOffset>
            </wp:positionV>
            <wp:extent cx="5983605" cy="10287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5983605" cy="102870"/>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4" w:lineRule="exact"/>
        <w:rPr>
          <w:sz w:val="20"/>
          <w:szCs w:val="20"/>
          <w:color w:val="auto"/>
        </w:rPr>
      </w:pPr>
    </w:p>
    <w:p>
      <w:pPr>
        <w:jc w:val="both"/>
        <w:ind w:left="120"/>
        <w:spacing w:after="0" w:line="237" w:lineRule="auto"/>
        <w:rPr>
          <w:sz w:val="20"/>
          <w:szCs w:val="20"/>
          <w:color w:val="auto"/>
        </w:rPr>
      </w:pPr>
      <w:r>
        <w:rPr>
          <w:rFonts w:ascii="Arial" w:cs="Arial" w:eastAsia="Arial" w:hAnsi="Arial"/>
          <w:sz w:val="20"/>
          <w:szCs w:val="20"/>
          <w:b w:val="1"/>
          <w:bCs w:val="1"/>
          <w:color w:val="0071CE"/>
        </w:rPr>
        <w:t xml:space="preserve">Tax Code Limitations on Benefits: </w:t>
      </w:r>
      <w:r>
        <w:rPr>
          <w:rFonts w:ascii="Arial" w:cs="Arial" w:eastAsia="Arial" w:hAnsi="Arial"/>
          <w:sz w:val="20"/>
          <w:szCs w:val="20"/>
          <w:color w:val="3E3935"/>
        </w:rPr>
        <w:t>Section 415(b)(1)(A) of the IRC limits the benefits payable under the SRP. For 2022, the</w:t>
      </w:r>
      <w:r>
        <w:rPr>
          <w:rFonts w:ascii="Arial" w:cs="Arial" w:eastAsia="Arial" w:hAnsi="Arial"/>
          <w:sz w:val="20"/>
          <w:szCs w:val="20"/>
          <w:b w:val="1"/>
          <w:bCs w:val="1"/>
          <w:color w:val="0071CE"/>
        </w:rPr>
        <w:t xml:space="preserve"> </w:t>
      </w:r>
      <w:r>
        <w:rPr>
          <w:rFonts w:ascii="Arial" w:cs="Arial" w:eastAsia="Arial" w:hAnsi="Arial"/>
          <w:sz w:val="20"/>
          <w:szCs w:val="20"/>
          <w:color w:val="3E3935"/>
        </w:rPr>
        <w:t>maximum single life annuity a NEO could have received under these limits was $245,000 per year. This ceiling is actuarially adjusted in accordance with IRS rules to reflect employee contributions, actual forms of distribution, and actual retirement dates.</w:t>
      </w:r>
    </w:p>
    <w:p>
      <w:pPr>
        <w:spacing w:after="0" w:line="105" w:lineRule="exact"/>
        <w:rPr>
          <w:sz w:val="20"/>
          <w:szCs w:val="20"/>
          <w:color w:val="auto"/>
        </w:rPr>
      </w:pPr>
    </w:p>
    <w:p>
      <w:pPr>
        <w:ind w:left="660" w:hanging="544"/>
        <w:spacing w:after="0"/>
        <w:tabs>
          <w:tab w:leader="none" w:pos="660" w:val="left"/>
        </w:tabs>
        <w:numPr>
          <w:ilvl w:val="0"/>
          <w:numId w:val="130"/>
        </w:numPr>
        <w:rPr>
          <w:rFonts w:ascii="Times New Roman" w:cs="Times New Roman" w:eastAsia="Times New Roman" w:hAnsi="Times New Roman"/>
          <w:sz w:val="19"/>
          <w:szCs w:val="19"/>
          <w:color w:val="0071CE"/>
        </w:rPr>
      </w:pPr>
      <w:r>
        <w:rPr>
          <w:rFonts w:ascii="Arial" w:cs="Arial" w:eastAsia="Arial" w:hAnsi="Arial"/>
          <w:sz w:val="25"/>
          <w:szCs w:val="25"/>
          <w:color w:val="3E3935"/>
        </w:rPr>
        <w:t>GM Executive Retirement Plan</w:t>
      </w:r>
    </w:p>
    <w:p>
      <w:pPr>
        <w:spacing w:after="0" w:line="157" w:lineRule="exact"/>
        <w:rPr>
          <w:sz w:val="20"/>
          <w:szCs w:val="20"/>
          <w:color w:val="auto"/>
        </w:rPr>
      </w:pPr>
    </w:p>
    <w:p>
      <w:pPr>
        <w:jc w:val="both"/>
        <w:ind w:left="120" w:right="20"/>
        <w:spacing w:after="0" w:line="259" w:lineRule="auto"/>
        <w:rPr>
          <w:sz w:val="20"/>
          <w:szCs w:val="20"/>
          <w:color w:val="auto"/>
        </w:rPr>
      </w:pPr>
      <w:r>
        <w:rPr>
          <w:rFonts w:ascii="Arial" w:cs="Arial" w:eastAsia="Arial" w:hAnsi="Arial"/>
          <w:sz w:val="20"/>
          <w:szCs w:val="20"/>
          <w:b w:val="1"/>
          <w:bCs w:val="1"/>
          <w:color w:val="0071CE"/>
        </w:rPr>
        <w:t xml:space="preserve">Eligibility and Vesting: </w:t>
      </w:r>
      <w:r>
        <w:rPr>
          <w:rFonts w:ascii="Arial" w:cs="Arial" w:eastAsia="Arial" w:hAnsi="Arial"/>
          <w:sz w:val="20"/>
          <w:szCs w:val="20"/>
          <w:color w:val="3E3935"/>
        </w:rPr>
        <w:t>The GM Executive Retirement Plan (“DB ERP”) is an unfunded, non-tax-qualified retirement plan that</w:t>
      </w:r>
      <w:r>
        <w:rPr>
          <w:rFonts w:ascii="Arial" w:cs="Arial" w:eastAsia="Arial" w:hAnsi="Arial"/>
          <w:sz w:val="20"/>
          <w:szCs w:val="20"/>
          <w:b w:val="1"/>
          <w:bCs w:val="1"/>
          <w:color w:val="0071CE"/>
        </w:rPr>
        <w:t xml:space="preserve"> </w:t>
      </w:r>
      <w:r>
        <w:rPr>
          <w:rFonts w:ascii="Arial" w:cs="Arial" w:eastAsia="Arial" w:hAnsi="Arial"/>
          <w:sz w:val="20"/>
          <w:szCs w:val="20"/>
          <w:color w:val="3E3935"/>
        </w:rPr>
        <w:t>covers eligible executives to provide retirement benefits above amounts available under our other pension programs.</w:t>
      </w:r>
    </w:p>
    <w:p>
      <w:pPr>
        <w:spacing w:after="0" w:line="84"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3E3935"/>
        </w:rPr>
        <w:t>Benefit Formula:</w:t>
      </w:r>
    </w:p>
    <w:p>
      <w:pPr>
        <w:spacing w:after="0" w:line="121" w:lineRule="exact"/>
        <w:rPr>
          <w:sz w:val="20"/>
          <w:szCs w:val="20"/>
          <w:color w:val="auto"/>
        </w:rPr>
      </w:pPr>
    </w:p>
    <w:p>
      <w:pPr>
        <w:jc w:val="both"/>
        <w:ind w:left="120" w:right="20"/>
        <w:spacing w:after="0" w:line="231" w:lineRule="auto"/>
        <w:rPr>
          <w:sz w:val="20"/>
          <w:szCs w:val="20"/>
          <w:color w:val="auto"/>
        </w:rPr>
      </w:pPr>
      <w:r>
        <w:rPr>
          <w:rFonts w:ascii="Arial" w:cs="Arial" w:eastAsia="Arial" w:hAnsi="Arial"/>
          <w:sz w:val="20"/>
          <w:szCs w:val="20"/>
          <w:b w:val="1"/>
          <w:bCs w:val="1"/>
          <w:color w:val="0071CE"/>
        </w:rPr>
        <w:t xml:space="preserve">Service Prior to January 1, 2007: </w:t>
      </w:r>
      <w:r>
        <w:rPr>
          <w:rFonts w:ascii="Arial" w:cs="Arial" w:eastAsia="Arial" w:hAnsi="Arial"/>
          <w:sz w:val="20"/>
          <w:szCs w:val="20"/>
          <w:color w:val="3E3935"/>
        </w:rPr>
        <w:t>The supplemental pension equals the greater of (a) 2 percent of the average monthly</w:t>
      </w:r>
      <w:r>
        <w:rPr>
          <w:rFonts w:ascii="Arial" w:cs="Arial" w:eastAsia="Arial" w:hAnsi="Arial"/>
          <w:sz w:val="20"/>
          <w:szCs w:val="20"/>
          <w:b w:val="1"/>
          <w:bCs w:val="1"/>
          <w:color w:val="0071CE"/>
        </w:rPr>
        <w:t xml:space="preserve"> </w:t>
      </w:r>
      <w:r>
        <w:rPr>
          <w:rFonts w:ascii="Arial" w:cs="Arial" w:eastAsia="Arial" w:hAnsi="Arial"/>
          <w:sz w:val="20"/>
          <w:szCs w:val="20"/>
          <w:color w:val="3E3935"/>
        </w:rPr>
        <w:t>base salary multiplied by all years of contributory service less the sum of all benefits payable under the SRP plus the maximum Social Security benefit as of January 2007 multiplied by all years of contributory service or (b) 1.5 percent of the average monthly base salary plus annual incentive plan compensation multiplied by all years of contributory service, up to a maximum of 35 years, less the sum of all benefits payable under the SRP plus 100 percent of the maximum Social Security benefit as of January 2007. In both cases, the base salary and annual incentive plan payments are determined using the highest 60 months out of the last 120 months as of December 31, 2006. These DB accruals were frozen on December 31, 2006, with service continuing towards eligibility to retire.</w:t>
      </w:r>
    </w:p>
    <w:p>
      <w:pPr>
        <w:spacing w:after="0" w:line="106" w:lineRule="exact"/>
        <w:rPr>
          <w:sz w:val="20"/>
          <w:szCs w:val="20"/>
          <w:color w:val="auto"/>
        </w:rPr>
      </w:pPr>
    </w:p>
    <w:p>
      <w:pPr>
        <w:jc w:val="both"/>
        <w:ind w:left="120"/>
        <w:spacing w:after="0" w:line="237" w:lineRule="auto"/>
        <w:rPr>
          <w:sz w:val="20"/>
          <w:szCs w:val="20"/>
          <w:color w:val="auto"/>
        </w:rPr>
      </w:pPr>
      <w:r>
        <w:rPr>
          <w:rFonts w:ascii="Arial" w:cs="Arial" w:eastAsia="Arial" w:hAnsi="Arial"/>
          <w:sz w:val="20"/>
          <w:szCs w:val="20"/>
          <w:b w:val="1"/>
          <w:bCs w:val="1"/>
          <w:color w:val="0071CE"/>
        </w:rPr>
        <w:t xml:space="preserve">Service from January 1, 2007, to September 30, 2012: </w:t>
      </w:r>
      <w:r>
        <w:rPr>
          <w:rFonts w:ascii="Arial" w:cs="Arial" w:eastAsia="Arial" w:hAnsi="Arial"/>
          <w:sz w:val="20"/>
          <w:szCs w:val="20"/>
          <w:color w:val="3E3935"/>
        </w:rPr>
        <w:t>For employees hired prior to January 1, 2001, the supplemental</w:t>
      </w:r>
      <w:r>
        <w:rPr>
          <w:rFonts w:ascii="Arial" w:cs="Arial" w:eastAsia="Arial" w:hAnsi="Arial"/>
          <w:sz w:val="20"/>
          <w:szCs w:val="20"/>
          <w:b w:val="1"/>
          <w:bCs w:val="1"/>
          <w:color w:val="0071CE"/>
        </w:rPr>
        <w:t xml:space="preserve"> </w:t>
      </w:r>
      <w:r>
        <w:rPr>
          <w:rFonts w:ascii="Arial" w:cs="Arial" w:eastAsia="Arial" w:hAnsi="Arial"/>
          <w:sz w:val="20"/>
          <w:szCs w:val="20"/>
          <w:color w:val="3E3935"/>
        </w:rPr>
        <w:t>pension equals 1.25 percent of annual base salary plus short-term incentive payments and is applicable to amounts in excess of the IRS-prescribed limit applicable to tax-qualified plans. These DB accruals were frozen on September 30, 2012, with service continuing towards eligibility to retire.</w:t>
      </w:r>
    </w:p>
    <w:p>
      <w:pPr>
        <w:spacing w:after="0" w:line="104" w:lineRule="exact"/>
        <w:rPr>
          <w:sz w:val="20"/>
          <w:szCs w:val="20"/>
          <w:color w:val="auto"/>
        </w:rPr>
      </w:pPr>
    </w:p>
    <w:p>
      <w:pPr>
        <w:jc w:val="both"/>
        <w:ind w:left="120"/>
        <w:spacing w:after="0" w:line="233" w:lineRule="auto"/>
        <w:rPr>
          <w:sz w:val="20"/>
          <w:szCs w:val="20"/>
          <w:color w:val="auto"/>
        </w:rPr>
      </w:pPr>
      <w:r>
        <w:rPr>
          <w:rFonts w:ascii="Arial" w:cs="Arial" w:eastAsia="Arial" w:hAnsi="Arial"/>
          <w:sz w:val="20"/>
          <w:szCs w:val="20"/>
          <w:b w:val="1"/>
          <w:bCs w:val="1"/>
          <w:color w:val="0071CE"/>
        </w:rPr>
        <w:t xml:space="preserve">Time and Form of Payment: </w:t>
      </w:r>
      <w:r>
        <w:rPr>
          <w:rFonts w:ascii="Arial" w:cs="Arial" w:eastAsia="Arial" w:hAnsi="Arial"/>
          <w:sz w:val="20"/>
          <w:szCs w:val="20"/>
          <w:color w:val="3E3935"/>
        </w:rPr>
        <w:t>Normal retirement age under the plan is age 65; however, employees who commenced service</w:t>
      </w:r>
      <w:r>
        <w:rPr>
          <w:rFonts w:ascii="Arial" w:cs="Arial" w:eastAsia="Arial" w:hAnsi="Arial"/>
          <w:sz w:val="20"/>
          <w:szCs w:val="20"/>
          <w:b w:val="1"/>
          <w:bCs w:val="1"/>
          <w:color w:val="0071CE"/>
        </w:rPr>
        <w:t xml:space="preserve"> </w:t>
      </w:r>
      <w:r>
        <w:rPr>
          <w:rFonts w:ascii="Arial" w:cs="Arial" w:eastAsia="Arial" w:hAnsi="Arial"/>
          <w:sz w:val="20"/>
          <w:szCs w:val="20"/>
          <w:color w:val="3E3935"/>
        </w:rPr>
        <w:t>prior to January 1, 2007, may retire at age 60 with 10 or more years of service without any reduction in benefits. Employees may also retire at age 55 with 10 or more years of service with benefits reduced using the same factors as are utilized for early retirement under the SRP. As of December 31, 2022, Ms. Barra and Messrs. Reuss, Parks, and Carlisle were eligible for early retirement. The DB ERP is payable as a five-year certain annuity, with payments starting upon the retirement of the executive and continuing for 60 months.</w:t>
      </w:r>
    </w:p>
    <w:p>
      <w:pPr>
        <w:spacing w:after="0" w:line="106" w:lineRule="exact"/>
        <w:rPr>
          <w:sz w:val="20"/>
          <w:szCs w:val="20"/>
          <w:color w:val="auto"/>
        </w:rPr>
      </w:pPr>
    </w:p>
    <w:p>
      <w:pPr>
        <w:ind w:left="660" w:hanging="544"/>
        <w:spacing w:after="0"/>
        <w:tabs>
          <w:tab w:leader="none" w:pos="660" w:val="left"/>
        </w:tabs>
        <w:numPr>
          <w:ilvl w:val="0"/>
          <w:numId w:val="131"/>
        </w:numPr>
        <w:rPr>
          <w:rFonts w:ascii="Times New Roman" w:cs="Times New Roman" w:eastAsia="Times New Roman" w:hAnsi="Times New Roman"/>
          <w:sz w:val="19"/>
          <w:szCs w:val="19"/>
          <w:color w:val="0071CE"/>
        </w:rPr>
      </w:pPr>
      <w:r>
        <w:rPr>
          <w:rFonts w:ascii="Arial" w:cs="Arial" w:eastAsia="Arial" w:hAnsi="Arial"/>
          <w:sz w:val="25"/>
          <w:szCs w:val="25"/>
          <w:color w:val="3E3935"/>
        </w:rPr>
        <w:t>GM Canadian Retirement Program for Salaried Employees</w:t>
      </w:r>
    </w:p>
    <w:p>
      <w:pPr>
        <w:spacing w:after="0" w:line="116" w:lineRule="exact"/>
        <w:rPr>
          <w:sz w:val="20"/>
          <w:szCs w:val="20"/>
          <w:color w:val="auto"/>
        </w:rPr>
      </w:pPr>
    </w:p>
    <w:p>
      <w:pPr>
        <w:jc w:val="both"/>
        <w:ind w:left="120" w:right="20"/>
        <w:spacing w:after="0" w:line="237" w:lineRule="auto"/>
        <w:rPr>
          <w:sz w:val="20"/>
          <w:szCs w:val="20"/>
          <w:color w:val="auto"/>
        </w:rPr>
      </w:pPr>
      <w:r>
        <w:rPr>
          <w:rFonts w:ascii="Arial" w:cs="Arial" w:eastAsia="Arial" w:hAnsi="Arial"/>
          <w:sz w:val="20"/>
          <w:szCs w:val="20"/>
          <w:b w:val="1"/>
          <w:bCs w:val="1"/>
          <w:color w:val="0071CE"/>
        </w:rPr>
        <w:t xml:space="preserve">Eligibility and Vesting: </w:t>
      </w:r>
      <w:r>
        <w:rPr>
          <w:rFonts w:ascii="Arial" w:cs="Arial" w:eastAsia="Arial" w:hAnsi="Arial"/>
          <w:sz w:val="20"/>
          <w:szCs w:val="20"/>
          <w:color w:val="3E3935"/>
        </w:rPr>
        <w:t>The GM Canadian Retirement Program for Salaried Employees (“GM Canada Salaried Plan”) is a</w:t>
      </w:r>
      <w:r>
        <w:rPr>
          <w:rFonts w:ascii="Arial" w:cs="Arial" w:eastAsia="Arial" w:hAnsi="Arial"/>
          <w:sz w:val="20"/>
          <w:szCs w:val="20"/>
          <w:b w:val="1"/>
          <w:bCs w:val="1"/>
          <w:color w:val="0071CE"/>
        </w:rPr>
        <w:t xml:space="preserve"> </w:t>
      </w:r>
      <w:r>
        <w:rPr>
          <w:rFonts w:ascii="Arial" w:cs="Arial" w:eastAsia="Arial" w:hAnsi="Arial"/>
          <w:sz w:val="20"/>
          <w:szCs w:val="20"/>
          <w:color w:val="3E3935"/>
        </w:rPr>
        <w:t>funded DB plan open to all GM Canada employees hired prior to January 1, 2007, when it closed to new entrants. The plan permitted employee contributions, which vested immediately, until December 31, 2012. All DB accruals were frozen on December 31, 2012, with service continuing towards eligibility to retire.</w:t>
      </w:r>
    </w:p>
    <w:p>
      <w:pPr>
        <w:spacing w:after="0" w:line="91"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3E3935"/>
        </w:rPr>
        <w:t>Benefit Formula:</w:t>
      </w:r>
    </w:p>
    <w:p>
      <w:pPr>
        <w:spacing w:after="0" w:line="135" w:lineRule="exact"/>
        <w:rPr>
          <w:sz w:val="20"/>
          <w:szCs w:val="20"/>
          <w:color w:val="auto"/>
        </w:rPr>
      </w:pPr>
    </w:p>
    <w:p>
      <w:pPr>
        <w:jc w:val="both"/>
        <w:ind w:left="120" w:right="20"/>
        <w:spacing w:after="0" w:line="249" w:lineRule="auto"/>
        <w:rPr>
          <w:sz w:val="20"/>
          <w:szCs w:val="20"/>
          <w:color w:val="auto"/>
        </w:rPr>
      </w:pPr>
      <w:r>
        <w:rPr>
          <w:rFonts w:ascii="Arial" w:cs="Arial" w:eastAsia="Arial" w:hAnsi="Arial"/>
          <w:sz w:val="19"/>
          <w:szCs w:val="19"/>
          <w:b w:val="1"/>
          <w:bCs w:val="1"/>
          <w:color w:val="0071CE"/>
        </w:rPr>
        <w:t xml:space="preserve">Service Prior to January 1, 2007: </w:t>
      </w:r>
      <w:r>
        <w:rPr>
          <w:rFonts w:ascii="Arial" w:cs="Arial" w:eastAsia="Arial" w:hAnsi="Arial"/>
          <w:sz w:val="19"/>
          <w:szCs w:val="19"/>
          <w:color w:val="3E3935"/>
        </w:rPr>
        <w:t>1.0 percent of final 3-year average pay plus 0.75 percent of final 3-year average pay in</w:t>
      </w:r>
      <w:r>
        <w:rPr>
          <w:rFonts w:ascii="Arial" w:cs="Arial" w:eastAsia="Arial" w:hAnsi="Arial"/>
          <w:sz w:val="19"/>
          <w:szCs w:val="19"/>
          <w:b w:val="1"/>
          <w:bCs w:val="1"/>
          <w:color w:val="0071CE"/>
        </w:rPr>
        <w:t xml:space="preserve"> </w:t>
      </w:r>
      <w:r>
        <w:rPr>
          <w:rFonts w:ascii="Arial" w:cs="Arial" w:eastAsia="Arial" w:hAnsi="Arial"/>
          <w:sz w:val="19"/>
          <w:szCs w:val="19"/>
          <w:color w:val="3E3935"/>
        </w:rPr>
        <w:t>excess of 3-year average Yearly Maximum Pensionable Earnings (“YMPE”) per year of contributory service (the 1.0 percent formula is subject to a Minimum Basic Benefit of $ 67 per month per year of contributory service prior to January 1, 2007, if retiring on or after October 1, 2006). Average pay and average YMPE were frozen as of December 31, 2006, for all those active as of December 31, 2006, except for Quebec active members, whose future earnings and YMPE growth are reflected.</w:t>
      </w:r>
    </w:p>
    <w:p>
      <w:pPr>
        <w:spacing w:after="0" w:line="95" w:lineRule="exact"/>
        <w:rPr>
          <w:sz w:val="20"/>
          <w:szCs w:val="20"/>
          <w:color w:val="auto"/>
        </w:rPr>
      </w:pPr>
    </w:p>
    <w:p>
      <w:pPr>
        <w:jc w:val="both"/>
        <w:ind w:left="120" w:right="20"/>
        <w:spacing w:after="0" w:line="242" w:lineRule="auto"/>
        <w:rPr>
          <w:sz w:val="20"/>
          <w:szCs w:val="20"/>
          <w:color w:val="auto"/>
        </w:rPr>
      </w:pPr>
      <w:r>
        <w:rPr>
          <w:rFonts w:ascii="Arial" w:cs="Arial" w:eastAsia="Arial" w:hAnsi="Arial"/>
          <w:sz w:val="20"/>
          <w:szCs w:val="20"/>
          <w:b w:val="1"/>
          <w:bCs w:val="1"/>
          <w:color w:val="0071CE"/>
        </w:rPr>
        <w:t xml:space="preserve">Time and Form of Payment: </w:t>
      </w:r>
      <w:r>
        <w:rPr>
          <w:rFonts w:ascii="Arial" w:cs="Arial" w:eastAsia="Arial" w:hAnsi="Arial"/>
          <w:sz w:val="20"/>
          <w:szCs w:val="20"/>
          <w:color w:val="3E3935"/>
        </w:rPr>
        <w:t>Normal retirement age is defined as age 65. Employees who commenced service prior to 1988</w:t>
      </w:r>
      <w:r>
        <w:rPr>
          <w:rFonts w:ascii="Arial" w:cs="Arial" w:eastAsia="Arial" w:hAnsi="Arial"/>
          <w:sz w:val="20"/>
          <w:szCs w:val="20"/>
          <w:b w:val="1"/>
          <w:bCs w:val="1"/>
          <w:color w:val="0071CE"/>
        </w:rPr>
        <w:t xml:space="preserve"> </w:t>
      </w:r>
      <w:r>
        <w:rPr>
          <w:rFonts w:ascii="Arial" w:cs="Arial" w:eastAsia="Arial" w:hAnsi="Arial"/>
          <w:sz w:val="20"/>
          <w:szCs w:val="20"/>
          <w:color w:val="3E3935"/>
        </w:rPr>
        <w:t>may elect early retirement after 30 years of credited service, 85 points, based on combined age and service, or age 60 and 10 or more years of service, with certain age-reduction factors</w:t>
      </w:r>
    </w:p>
    <w:p>
      <w:pPr>
        <w:spacing w:after="0" w:line="115" w:lineRule="exact"/>
        <w:rPr>
          <w:sz w:val="20"/>
          <w:szCs w:val="20"/>
          <w:color w:val="auto"/>
        </w:rPr>
      </w:pPr>
    </w:p>
    <w:p>
      <w:pPr>
        <w:ind w:left="10660"/>
        <w:spacing w:after="0"/>
        <w:rPr>
          <w:sz w:val="20"/>
          <w:szCs w:val="20"/>
          <w:color w:val="auto"/>
        </w:rPr>
      </w:pPr>
      <w:r>
        <w:rPr>
          <w:rFonts w:ascii="Arial" w:cs="Arial" w:eastAsia="Arial" w:hAnsi="Arial"/>
          <w:sz w:val="14"/>
          <w:szCs w:val="14"/>
          <w:color w:val="0071CE"/>
        </w:rPr>
        <w:t>79</w:t>
      </w:r>
    </w:p>
    <w:p>
      <w:pPr>
        <w:sectPr>
          <w:pgSz w:w="11900" w:h="16838" w:orient="portrait"/>
          <w:cols w:equalWidth="0" w:num="1">
            <w:col w:w="11140"/>
          </w:cols>
          <w:pgMar w:left="320" w:top="482" w:right="4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6" w:lineRule="exact"/>
        <w:rPr>
          <w:sz w:val="20"/>
          <w:szCs w:val="20"/>
          <w:color w:val="auto"/>
        </w:rPr>
      </w:pPr>
    </w:p>
    <w:p>
      <w:pPr>
        <w:jc w:val="both"/>
        <w:ind w:left="120"/>
        <w:spacing w:after="0" w:line="241" w:lineRule="auto"/>
        <w:rPr>
          <w:sz w:val="20"/>
          <w:szCs w:val="20"/>
          <w:color w:val="auto"/>
        </w:rPr>
      </w:pPr>
      <w:r>
        <w:rPr>
          <w:rFonts w:ascii="Arial" w:cs="Arial" w:eastAsia="Arial" w:hAnsi="Arial"/>
          <w:sz w:val="20"/>
          <w:szCs w:val="20"/>
          <w:color w:val="3E3935"/>
        </w:rPr>
        <w:t>applied. As of December 31, 2022, Mr. Carlisle was eligible for early retirement. The plan also provides bridging supplements. The plan provides a single-life annuity, a spousal joint and survivor annuity, a contingent annuitant optional form of payment, or a 100 percent lump sum option.</w:t>
      </w:r>
    </w:p>
    <w:p>
      <w:pPr>
        <w:spacing w:after="0" w:line="102" w:lineRule="exact"/>
        <w:rPr>
          <w:sz w:val="20"/>
          <w:szCs w:val="20"/>
          <w:color w:val="auto"/>
        </w:rPr>
      </w:pPr>
    </w:p>
    <w:p>
      <w:pPr>
        <w:jc w:val="both"/>
        <w:ind w:left="120" w:right="20"/>
        <w:spacing w:after="0" w:line="259" w:lineRule="auto"/>
        <w:rPr>
          <w:sz w:val="20"/>
          <w:szCs w:val="20"/>
          <w:color w:val="auto"/>
        </w:rPr>
      </w:pPr>
      <w:r>
        <w:rPr>
          <w:rFonts w:ascii="Arial" w:cs="Arial" w:eastAsia="Arial" w:hAnsi="Arial"/>
          <w:sz w:val="20"/>
          <w:szCs w:val="20"/>
          <w:b w:val="1"/>
          <w:bCs w:val="1"/>
          <w:color w:val="0071CE"/>
        </w:rPr>
        <w:t xml:space="preserve">Tax Code Limitations on Benefits: </w:t>
      </w:r>
      <w:r>
        <w:rPr>
          <w:rFonts w:ascii="Arial" w:cs="Arial" w:eastAsia="Arial" w:hAnsi="Arial"/>
          <w:sz w:val="20"/>
          <w:szCs w:val="20"/>
          <w:color w:val="3E3935"/>
        </w:rPr>
        <w:t>The Income Tax Act of Canada limits the benefits payable from a registered pension</w:t>
      </w:r>
      <w:r>
        <w:rPr>
          <w:rFonts w:ascii="Arial" w:cs="Arial" w:eastAsia="Arial" w:hAnsi="Arial"/>
          <w:sz w:val="20"/>
          <w:szCs w:val="20"/>
          <w:b w:val="1"/>
          <w:bCs w:val="1"/>
          <w:color w:val="0071CE"/>
        </w:rPr>
        <w:t xml:space="preserve"> </w:t>
      </w:r>
      <w:r>
        <w:rPr>
          <w:rFonts w:ascii="Arial" w:cs="Arial" w:eastAsia="Arial" w:hAnsi="Arial"/>
          <w:sz w:val="20"/>
          <w:szCs w:val="20"/>
          <w:color w:val="3E3935"/>
        </w:rPr>
        <w:t>plan.</w:t>
      </w:r>
    </w:p>
    <w:p>
      <w:pPr>
        <w:spacing w:after="0" w:line="86" w:lineRule="exact"/>
        <w:rPr>
          <w:sz w:val="20"/>
          <w:szCs w:val="20"/>
          <w:color w:val="auto"/>
        </w:rPr>
      </w:pPr>
    </w:p>
    <w:p>
      <w:pPr>
        <w:ind w:left="120"/>
        <w:spacing w:after="0"/>
        <w:rPr>
          <w:sz w:val="20"/>
          <w:szCs w:val="20"/>
          <w:color w:val="auto"/>
        </w:rPr>
      </w:pPr>
      <w:r>
        <w:rPr>
          <w:rFonts w:ascii="Arial" w:cs="Arial" w:eastAsia="Arial" w:hAnsi="Arial"/>
          <w:sz w:val="20"/>
          <w:szCs w:val="20"/>
          <w:color w:val="3E3935"/>
        </w:rPr>
        <w:t>The table below reflects pension benefits as of December 31, 2022, provided by the respective plans.</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219"/>
        </w:trPr>
        <w:tc>
          <w:tcPr>
            <w:tcW w:w="2160" w:type="dxa"/>
            <w:vAlign w:val="bottom"/>
            <w:tcBorders>
              <w:top w:val="single" w:sz="8" w:color="00C1DE"/>
            </w:tcBorders>
          </w:tcPr>
          <w:p>
            <w:pPr>
              <w:spacing w:after="0"/>
              <w:rPr>
                <w:sz w:val="19"/>
                <w:szCs w:val="19"/>
                <w:color w:val="auto"/>
              </w:rPr>
            </w:pPr>
          </w:p>
        </w:tc>
        <w:tc>
          <w:tcPr>
            <w:tcW w:w="2700" w:type="dxa"/>
            <w:vAlign w:val="bottom"/>
            <w:tcBorders>
              <w:top w:val="single" w:sz="8" w:color="00C1DE"/>
            </w:tcBorders>
          </w:tcPr>
          <w:p>
            <w:pPr>
              <w:spacing w:after="0"/>
              <w:rPr>
                <w:sz w:val="19"/>
                <w:szCs w:val="19"/>
                <w:color w:val="auto"/>
              </w:rPr>
            </w:pPr>
          </w:p>
        </w:tc>
        <w:tc>
          <w:tcPr>
            <w:tcW w:w="2360" w:type="dxa"/>
            <w:vAlign w:val="bottom"/>
            <w:tcBorders>
              <w:top w:val="single" w:sz="8" w:color="00C1DE"/>
            </w:tcBorders>
          </w:tcPr>
          <w:p>
            <w:pPr>
              <w:jc w:val="right"/>
              <w:ind w:right="81"/>
              <w:spacing w:after="0" w:line="219" w:lineRule="exact"/>
              <w:rPr>
                <w:sz w:val="20"/>
                <w:szCs w:val="20"/>
                <w:color w:val="auto"/>
              </w:rPr>
            </w:pPr>
            <w:r>
              <w:rPr>
                <w:rFonts w:ascii="Arial" w:cs="Arial" w:eastAsia="Arial" w:hAnsi="Arial"/>
                <w:sz w:val="20"/>
                <w:szCs w:val="20"/>
                <w:b w:val="1"/>
                <w:bCs w:val="1"/>
                <w:color w:val="00C1DE"/>
              </w:rPr>
              <w:t>Number of Years</w:t>
            </w:r>
          </w:p>
        </w:tc>
        <w:tc>
          <w:tcPr>
            <w:tcW w:w="1920" w:type="dxa"/>
            <w:vAlign w:val="bottom"/>
            <w:tcBorders>
              <w:top w:val="single" w:sz="8" w:color="00C1DE"/>
            </w:tcBorders>
          </w:tcPr>
          <w:p>
            <w:pPr>
              <w:jc w:val="right"/>
              <w:ind w:right="102"/>
              <w:spacing w:after="0" w:line="219" w:lineRule="exact"/>
              <w:rPr>
                <w:sz w:val="20"/>
                <w:szCs w:val="20"/>
                <w:color w:val="auto"/>
              </w:rPr>
            </w:pPr>
            <w:r>
              <w:rPr>
                <w:rFonts w:ascii="Arial" w:cs="Arial" w:eastAsia="Arial" w:hAnsi="Arial"/>
                <w:sz w:val="20"/>
                <w:szCs w:val="20"/>
                <w:b w:val="1"/>
                <w:bCs w:val="1"/>
                <w:color w:val="00C1DE"/>
              </w:rPr>
              <w:t>Present Value of</w:t>
            </w:r>
          </w:p>
        </w:tc>
        <w:tc>
          <w:tcPr>
            <w:tcW w:w="1880" w:type="dxa"/>
            <w:vAlign w:val="bottom"/>
            <w:tcBorders>
              <w:top w:val="single" w:sz="8" w:color="00C1DE"/>
            </w:tcBorders>
            <w:vMerge w:val="restart"/>
          </w:tcPr>
          <w:p>
            <w:pPr>
              <w:jc w:val="right"/>
              <w:spacing w:after="0"/>
              <w:rPr>
                <w:sz w:val="20"/>
                <w:szCs w:val="20"/>
                <w:color w:val="auto"/>
              </w:rPr>
            </w:pPr>
            <w:r>
              <w:rPr>
                <w:rFonts w:ascii="Arial" w:cs="Arial" w:eastAsia="Arial" w:hAnsi="Arial"/>
                <w:sz w:val="20"/>
                <w:szCs w:val="20"/>
                <w:b w:val="1"/>
                <w:bCs w:val="1"/>
                <w:color w:val="00C1DE"/>
              </w:rPr>
              <w:t>Payments During</w:t>
            </w:r>
          </w:p>
        </w:tc>
        <w:tc>
          <w:tcPr>
            <w:tcW w:w="0" w:type="dxa"/>
            <w:vAlign w:val="bottom"/>
          </w:tcPr>
          <w:p>
            <w:pPr>
              <w:spacing w:after="0"/>
              <w:rPr>
                <w:sz w:val="1"/>
                <w:szCs w:val="1"/>
                <w:color w:val="auto"/>
              </w:rPr>
            </w:pPr>
          </w:p>
        </w:tc>
      </w:tr>
      <w:tr>
        <w:trPr>
          <w:trHeight w:val="216"/>
        </w:trPr>
        <w:tc>
          <w:tcPr>
            <w:tcW w:w="216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2360" w:type="dxa"/>
            <w:vAlign w:val="bottom"/>
          </w:tcPr>
          <w:p>
            <w:pPr>
              <w:jc w:val="right"/>
              <w:ind w:right="81"/>
              <w:spacing w:after="0" w:line="216" w:lineRule="exact"/>
              <w:rPr>
                <w:sz w:val="20"/>
                <w:szCs w:val="20"/>
                <w:color w:val="auto"/>
              </w:rPr>
            </w:pPr>
            <w:r>
              <w:rPr>
                <w:rFonts w:ascii="Arial" w:cs="Arial" w:eastAsia="Arial" w:hAnsi="Arial"/>
                <w:sz w:val="20"/>
                <w:szCs w:val="20"/>
                <w:b w:val="1"/>
                <w:bCs w:val="1"/>
                <w:color w:val="00C1DE"/>
              </w:rPr>
              <w:t>of Eligible Credited</w:t>
            </w:r>
          </w:p>
        </w:tc>
        <w:tc>
          <w:tcPr>
            <w:tcW w:w="1920" w:type="dxa"/>
            <w:vAlign w:val="bottom"/>
          </w:tcPr>
          <w:p>
            <w:pPr>
              <w:jc w:val="right"/>
              <w:ind w:right="102"/>
              <w:spacing w:after="0" w:line="216" w:lineRule="exact"/>
              <w:rPr>
                <w:sz w:val="20"/>
                <w:szCs w:val="20"/>
                <w:color w:val="auto"/>
              </w:rPr>
            </w:pPr>
            <w:r>
              <w:rPr>
                <w:rFonts w:ascii="Arial" w:cs="Arial" w:eastAsia="Arial" w:hAnsi="Arial"/>
                <w:sz w:val="20"/>
                <w:szCs w:val="20"/>
                <w:b w:val="1"/>
                <w:bCs w:val="1"/>
                <w:color w:val="00C1DE"/>
              </w:rPr>
              <w:t>Accumulated</w:t>
            </w:r>
          </w:p>
        </w:tc>
        <w:tc>
          <w:tcPr>
            <w:tcW w:w="18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6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2360" w:type="dxa"/>
            <w:vAlign w:val="bottom"/>
          </w:tcPr>
          <w:p>
            <w:pPr>
              <w:jc w:val="right"/>
              <w:ind w:right="81"/>
              <w:spacing w:after="0" w:line="216" w:lineRule="exact"/>
              <w:rPr>
                <w:sz w:val="20"/>
                <w:szCs w:val="20"/>
                <w:color w:val="auto"/>
              </w:rPr>
            </w:pPr>
            <w:r>
              <w:rPr>
                <w:rFonts w:ascii="Arial" w:cs="Arial" w:eastAsia="Arial" w:hAnsi="Arial"/>
                <w:sz w:val="20"/>
                <w:szCs w:val="20"/>
                <w:b w:val="1"/>
                <w:bCs w:val="1"/>
                <w:color w:val="00C1DE"/>
              </w:rPr>
              <w:t>Service as of</w:t>
            </w:r>
          </w:p>
        </w:tc>
        <w:tc>
          <w:tcPr>
            <w:tcW w:w="1920" w:type="dxa"/>
            <w:vAlign w:val="bottom"/>
          </w:tcPr>
          <w:p>
            <w:pPr>
              <w:jc w:val="right"/>
              <w:ind w:right="102"/>
              <w:spacing w:after="0" w:line="216" w:lineRule="exact"/>
              <w:rPr>
                <w:sz w:val="20"/>
                <w:szCs w:val="20"/>
                <w:color w:val="auto"/>
              </w:rPr>
            </w:pPr>
            <w:r>
              <w:rPr>
                <w:rFonts w:ascii="Arial" w:cs="Arial" w:eastAsia="Arial" w:hAnsi="Arial"/>
                <w:sz w:val="17"/>
                <w:szCs w:val="17"/>
                <w:b w:val="1"/>
                <w:bCs w:val="1"/>
                <w:color w:val="00C1DE"/>
              </w:rPr>
              <w:t>Benefits</w:t>
            </w:r>
            <w:r>
              <w:rPr>
                <w:rFonts w:ascii="Arial" w:cs="Arial" w:eastAsia="Arial" w:hAnsi="Arial"/>
                <w:sz w:val="25"/>
                <w:szCs w:val="25"/>
                <w:b w:val="1"/>
                <w:bCs w:val="1"/>
                <w:color w:val="00C1DE"/>
                <w:vertAlign w:val="superscript"/>
              </w:rPr>
              <w:t>(2)</w:t>
            </w:r>
          </w:p>
        </w:tc>
        <w:tc>
          <w:tcPr>
            <w:tcW w:w="1880" w:type="dxa"/>
            <w:vAlign w:val="bottom"/>
          </w:tcPr>
          <w:p>
            <w:pPr>
              <w:jc w:val="right"/>
              <w:spacing w:after="0" w:line="216" w:lineRule="exact"/>
              <w:rPr>
                <w:sz w:val="20"/>
                <w:szCs w:val="20"/>
                <w:color w:val="auto"/>
              </w:rPr>
            </w:pPr>
            <w:r>
              <w:rPr>
                <w:rFonts w:ascii="Arial" w:cs="Arial" w:eastAsia="Arial" w:hAnsi="Arial"/>
                <w:sz w:val="20"/>
                <w:szCs w:val="20"/>
                <w:b w:val="1"/>
                <w:bCs w:val="1"/>
                <w:color w:val="00C1DE"/>
              </w:rPr>
              <w:t>Last Fiscal Year</w:t>
            </w:r>
          </w:p>
        </w:tc>
        <w:tc>
          <w:tcPr>
            <w:tcW w:w="0" w:type="dxa"/>
            <w:vAlign w:val="bottom"/>
          </w:tcPr>
          <w:p>
            <w:pPr>
              <w:spacing w:after="0"/>
              <w:rPr>
                <w:sz w:val="1"/>
                <w:szCs w:val="1"/>
                <w:color w:val="auto"/>
              </w:rPr>
            </w:pPr>
          </w:p>
        </w:tc>
      </w:tr>
      <w:tr>
        <w:trPr>
          <w:trHeight w:val="280"/>
        </w:trPr>
        <w:tc>
          <w:tcPr>
            <w:tcW w:w="2160" w:type="dxa"/>
            <w:vAlign w:val="bottom"/>
            <w:tcBorders>
              <w:bottom w:val="single" w:sz="8" w:color="00C1DE"/>
            </w:tcBorders>
          </w:tcPr>
          <w:p>
            <w:pPr>
              <w:ind w:left="100"/>
              <w:spacing w:after="0"/>
              <w:rPr>
                <w:sz w:val="20"/>
                <w:szCs w:val="20"/>
                <w:color w:val="auto"/>
              </w:rPr>
            </w:pPr>
            <w:r>
              <w:rPr>
                <w:rFonts w:ascii="Arial" w:cs="Arial" w:eastAsia="Arial" w:hAnsi="Arial"/>
                <w:sz w:val="20"/>
                <w:szCs w:val="20"/>
                <w:b w:val="1"/>
                <w:bCs w:val="1"/>
                <w:color w:val="00C1DE"/>
              </w:rPr>
              <w:t>Name</w:t>
            </w:r>
          </w:p>
        </w:tc>
        <w:tc>
          <w:tcPr>
            <w:tcW w:w="2700" w:type="dxa"/>
            <w:vAlign w:val="bottom"/>
            <w:tcBorders>
              <w:bottom w:val="single" w:sz="8" w:color="00C1DE"/>
            </w:tcBorders>
          </w:tcPr>
          <w:p>
            <w:pPr>
              <w:ind w:left="200"/>
              <w:spacing w:after="0"/>
              <w:rPr>
                <w:sz w:val="20"/>
                <w:szCs w:val="20"/>
                <w:color w:val="auto"/>
              </w:rPr>
            </w:pPr>
            <w:r>
              <w:rPr>
                <w:rFonts w:ascii="Arial" w:cs="Arial" w:eastAsia="Arial" w:hAnsi="Arial"/>
                <w:sz w:val="20"/>
                <w:szCs w:val="20"/>
                <w:b w:val="1"/>
                <w:bCs w:val="1"/>
                <w:color w:val="00C1DE"/>
              </w:rPr>
              <w:t>Plan Name</w:t>
            </w:r>
          </w:p>
        </w:tc>
        <w:tc>
          <w:tcPr>
            <w:tcW w:w="2360" w:type="dxa"/>
            <w:vAlign w:val="bottom"/>
            <w:tcBorders>
              <w:bottom w:val="single" w:sz="8" w:color="00C1DE"/>
            </w:tcBorders>
          </w:tcPr>
          <w:p>
            <w:pPr>
              <w:jc w:val="right"/>
              <w:ind w:right="81"/>
              <w:spacing w:after="0" w:line="280" w:lineRule="exact"/>
              <w:rPr>
                <w:sz w:val="20"/>
                <w:szCs w:val="20"/>
                <w:color w:val="auto"/>
              </w:rPr>
            </w:pPr>
            <w:r>
              <w:rPr>
                <w:rFonts w:ascii="Arial" w:cs="Arial" w:eastAsia="Arial" w:hAnsi="Arial"/>
                <w:sz w:val="20"/>
                <w:szCs w:val="20"/>
                <w:b w:val="1"/>
                <w:bCs w:val="1"/>
                <w:color w:val="00C1DE"/>
              </w:rPr>
              <w:t>December 31, 2022</w:t>
            </w:r>
            <w:r>
              <w:rPr>
                <w:rFonts w:ascii="Arial" w:cs="Arial" w:eastAsia="Arial" w:hAnsi="Arial"/>
                <w:sz w:val="29"/>
                <w:szCs w:val="29"/>
                <w:b w:val="1"/>
                <w:bCs w:val="1"/>
                <w:color w:val="00C1DE"/>
                <w:vertAlign w:val="superscript"/>
              </w:rPr>
              <w:t>(1)</w:t>
            </w:r>
          </w:p>
        </w:tc>
        <w:tc>
          <w:tcPr>
            <w:tcW w:w="1920" w:type="dxa"/>
            <w:vAlign w:val="bottom"/>
            <w:tcBorders>
              <w:bottom w:val="single" w:sz="8" w:color="00C1DE"/>
            </w:tcBorders>
          </w:tcPr>
          <w:p>
            <w:pPr>
              <w:jc w:val="right"/>
              <w:ind w:right="102"/>
              <w:spacing w:after="0"/>
              <w:rPr>
                <w:sz w:val="20"/>
                <w:szCs w:val="20"/>
                <w:color w:val="auto"/>
              </w:rPr>
            </w:pPr>
            <w:r>
              <w:rPr>
                <w:rFonts w:ascii="Arial" w:cs="Arial" w:eastAsia="Arial" w:hAnsi="Arial"/>
                <w:sz w:val="20"/>
                <w:szCs w:val="20"/>
                <w:b w:val="1"/>
                <w:bCs w:val="1"/>
                <w:color w:val="00C1DE"/>
              </w:rPr>
              <w:t>($)</w:t>
            </w:r>
          </w:p>
        </w:tc>
        <w:tc>
          <w:tcPr>
            <w:tcW w:w="1880" w:type="dxa"/>
            <w:vAlign w:val="bottom"/>
            <w:tcBorders>
              <w:bottom w:val="single" w:sz="8" w:color="00C1DE"/>
            </w:tcBorders>
          </w:tcPr>
          <w:p>
            <w:pPr>
              <w:jc w:val="right"/>
              <w:spacing w:after="0"/>
              <w:rPr>
                <w:sz w:val="20"/>
                <w:szCs w:val="20"/>
                <w:color w:val="auto"/>
              </w:rPr>
            </w:pPr>
            <w:r>
              <w:rPr>
                <w:rFonts w:ascii="Arial" w:cs="Arial" w:eastAsia="Arial" w:hAnsi="Arial"/>
                <w:sz w:val="20"/>
                <w:szCs w:val="20"/>
                <w:b w:val="1"/>
                <w:bCs w:val="1"/>
                <w:color w:val="00C1DE"/>
              </w:rPr>
              <w:t>($)</w:t>
            </w:r>
          </w:p>
        </w:tc>
        <w:tc>
          <w:tcPr>
            <w:tcW w:w="0" w:type="dxa"/>
            <w:vAlign w:val="bottom"/>
          </w:tcPr>
          <w:p>
            <w:pPr>
              <w:spacing w:after="0"/>
              <w:rPr>
                <w:sz w:val="1"/>
                <w:szCs w:val="1"/>
                <w:color w:val="auto"/>
              </w:rPr>
            </w:pPr>
          </w:p>
        </w:tc>
      </w:tr>
      <w:tr>
        <w:trPr>
          <w:trHeight w:val="301"/>
        </w:trPr>
        <w:tc>
          <w:tcPr>
            <w:tcW w:w="2160" w:type="dxa"/>
            <w:vAlign w:val="bottom"/>
          </w:tcPr>
          <w:p>
            <w:pPr>
              <w:ind w:left="80"/>
              <w:spacing w:after="0"/>
              <w:rPr>
                <w:sz w:val="20"/>
                <w:szCs w:val="20"/>
                <w:color w:val="auto"/>
              </w:rPr>
            </w:pPr>
            <w:r>
              <w:rPr>
                <w:rFonts w:ascii="Arial" w:cs="Arial" w:eastAsia="Arial" w:hAnsi="Arial"/>
                <w:sz w:val="20"/>
                <w:szCs w:val="20"/>
                <w:color w:val="3E3935"/>
              </w:rPr>
              <w:t>Mary T. Barra</w:t>
            </w:r>
          </w:p>
        </w:tc>
        <w:tc>
          <w:tcPr>
            <w:tcW w:w="2700" w:type="dxa"/>
            <w:vAlign w:val="bottom"/>
          </w:tcPr>
          <w:p>
            <w:pPr>
              <w:ind w:left="200"/>
              <w:spacing w:after="0"/>
              <w:rPr>
                <w:sz w:val="20"/>
                <w:szCs w:val="20"/>
                <w:color w:val="auto"/>
              </w:rPr>
            </w:pPr>
            <w:r>
              <w:rPr>
                <w:rFonts w:ascii="Arial" w:cs="Arial" w:eastAsia="Arial" w:hAnsi="Arial"/>
                <w:sz w:val="20"/>
                <w:szCs w:val="20"/>
                <w:color w:val="3E3935"/>
              </w:rPr>
              <w:t>SRP</w:t>
            </w:r>
          </w:p>
        </w:tc>
        <w:tc>
          <w:tcPr>
            <w:tcW w:w="2360" w:type="dxa"/>
            <w:vAlign w:val="bottom"/>
          </w:tcPr>
          <w:p>
            <w:pPr>
              <w:jc w:val="right"/>
              <w:ind w:right="81"/>
              <w:spacing w:after="0"/>
              <w:rPr>
                <w:sz w:val="20"/>
                <w:szCs w:val="20"/>
                <w:color w:val="auto"/>
              </w:rPr>
            </w:pPr>
            <w:r>
              <w:rPr>
                <w:rFonts w:ascii="Arial" w:cs="Arial" w:eastAsia="Arial" w:hAnsi="Arial"/>
                <w:sz w:val="20"/>
                <w:szCs w:val="20"/>
                <w:color w:val="3E3935"/>
              </w:rPr>
              <w:t>40.3</w:t>
            </w:r>
          </w:p>
        </w:tc>
        <w:tc>
          <w:tcPr>
            <w:tcW w:w="1920" w:type="dxa"/>
            <w:vAlign w:val="bottom"/>
          </w:tcPr>
          <w:p>
            <w:pPr>
              <w:jc w:val="right"/>
              <w:ind w:right="102"/>
              <w:spacing w:after="0"/>
              <w:rPr>
                <w:sz w:val="20"/>
                <w:szCs w:val="20"/>
                <w:color w:val="auto"/>
              </w:rPr>
            </w:pPr>
            <w:r>
              <w:rPr>
                <w:rFonts w:ascii="Arial" w:cs="Arial" w:eastAsia="Arial" w:hAnsi="Arial"/>
                <w:sz w:val="20"/>
                <w:szCs w:val="20"/>
                <w:color w:val="3E3935"/>
              </w:rPr>
              <w:t>1,160,682</w:t>
            </w:r>
          </w:p>
        </w:tc>
        <w:tc>
          <w:tcPr>
            <w:tcW w:w="1880" w:type="dxa"/>
            <w:vAlign w:val="bottom"/>
          </w:tcPr>
          <w:p>
            <w:pPr>
              <w:jc w:val="right"/>
              <w:spacing w:after="0"/>
              <w:rPr>
                <w:sz w:val="20"/>
                <w:szCs w:val="20"/>
                <w:color w:val="auto"/>
              </w:rPr>
            </w:pPr>
            <w:r>
              <w:rPr>
                <w:rFonts w:ascii="Arial" w:cs="Arial" w:eastAsia="Arial" w:hAnsi="Arial"/>
                <w:sz w:val="20"/>
                <w:szCs w:val="20"/>
                <w:color w:val="3E3935"/>
              </w:rPr>
              <w:t>—</w:t>
            </w:r>
          </w:p>
        </w:tc>
        <w:tc>
          <w:tcPr>
            <w:tcW w:w="0" w:type="dxa"/>
            <w:vAlign w:val="bottom"/>
          </w:tcPr>
          <w:p>
            <w:pPr>
              <w:spacing w:after="0"/>
              <w:rPr>
                <w:sz w:val="1"/>
                <w:szCs w:val="1"/>
                <w:color w:val="auto"/>
              </w:rPr>
            </w:pPr>
          </w:p>
        </w:tc>
      </w:tr>
      <w:tr>
        <w:trPr>
          <w:trHeight w:val="324"/>
        </w:trPr>
        <w:tc>
          <w:tcPr>
            <w:tcW w:w="2160" w:type="dxa"/>
            <w:vAlign w:val="bottom"/>
          </w:tcPr>
          <w:p>
            <w:pPr>
              <w:spacing w:after="0"/>
              <w:rPr>
                <w:sz w:val="24"/>
                <w:szCs w:val="24"/>
                <w:color w:val="auto"/>
              </w:rPr>
            </w:pPr>
          </w:p>
        </w:tc>
        <w:tc>
          <w:tcPr>
            <w:tcW w:w="2700" w:type="dxa"/>
            <w:vAlign w:val="bottom"/>
          </w:tcPr>
          <w:p>
            <w:pPr>
              <w:ind w:left="200"/>
              <w:spacing w:after="0"/>
              <w:rPr>
                <w:sz w:val="20"/>
                <w:szCs w:val="20"/>
                <w:color w:val="auto"/>
              </w:rPr>
            </w:pPr>
            <w:r>
              <w:rPr>
                <w:rFonts w:ascii="Arial" w:cs="Arial" w:eastAsia="Arial" w:hAnsi="Arial"/>
                <w:sz w:val="20"/>
                <w:szCs w:val="20"/>
                <w:color w:val="3E3935"/>
              </w:rPr>
              <w:t>DB ERP</w:t>
            </w:r>
          </w:p>
        </w:tc>
        <w:tc>
          <w:tcPr>
            <w:tcW w:w="2360" w:type="dxa"/>
            <w:vAlign w:val="bottom"/>
          </w:tcPr>
          <w:p>
            <w:pPr>
              <w:jc w:val="right"/>
              <w:ind w:right="81"/>
              <w:spacing w:after="0"/>
              <w:rPr>
                <w:sz w:val="20"/>
                <w:szCs w:val="20"/>
                <w:color w:val="auto"/>
              </w:rPr>
            </w:pPr>
            <w:r>
              <w:rPr>
                <w:rFonts w:ascii="Arial" w:cs="Arial" w:eastAsia="Arial" w:hAnsi="Arial"/>
                <w:sz w:val="20"/>
                <w:szCs w:val="20"/>
                <w:color w:val="3E3935"/>
              </w:rPr>
              <w:t>40.3</w:t>
            </w:r>
          </w:p>
        </w:tc>
        <w:tc>
          <w:tcPr>
            <w:tcW w:w="1920" w:type="dxa"/>
            <w:vAlign w:val="bottom"/>
          </w:tcPr>
          <w:p>
            <w:pPr>
              <w:jc w:val="right"/>
              <w:ind w:right="102"/>
              <w:spacing w:after="0"/>
              <w:rPr>
                <w:sz w:val="20"/>
                <w:szCs w:val="20"/>
                <w:color w:val="auto"/>
              </w:rPr>
            </w:pPr>
            <w:r>
              <w:rPr>
                <w:rFonts w:ascii="Arial" w:cs="Arial" w:eastAsia="Arial" w:hAnsi="Arial"/>
                <w:sz w:val="20"/>
                <w:szCs w:val="20"/>
                <w:color w:val="3E3935"/>
              </w:rPr>
              <w:t>999,386</w:t>
            </w:r>
          </w:p>
        </w:tc>
        <w:tc>
          <w:tcPr>
            <w:tcW w:w="1880" w:type="dxa"/>
            <w:vAlign w:val="bottom"/>
          </w:tcPr>
          <w:p>
            <w:pPr>
              <w:jc w:val="right"/>
              <w:spacing w:after="0"/>
              <w:rPr>
                <w:sz w:val="20"/>
                <w:szCs w:val="20"/>
                <w:color w:val="auto"/>
              </w:rPr>
            </w:pPr>
            <w:r>
              <w:rPr>
                <w:rFonts w:ascii="Arial" w:cs="Arial" w:eastAsia="Arial" w:hAnsi="Arial"/>
                <w:sz w:val="20"/>
                <w:szCs w:val="20"/>
                <w:color w:val="3E3935"/>
              </w:rPr>
              <w:t>—</w:t>
            </w:r>
          </w:p>
        </w:tc>
        <w:tc>
          <w:tcPr>
            <w:tcW w:w="0" w:type="dxa"/>
            <w:vAlign w:val="bottom"/>
          </w:tcPr>
          <w:p>
            <w:pPr>
              <w:spacing w:after="0"/>
              <w:rPr>
                <w:sz w:val="1"/>
                <w:szCs w:val="1"/>
                <w:color w:val="auto"/>
              </w:rPr>
            </w:pPr>
          </w:p>
        </w:tc>
      </w:tr>
      <w:tr>
        <w:trPr>
          <w:trHeight w:val="58"/>
        </w:trPr>
        <w:tc>
          <w:tcPr>
            <w:tcW w:w="2160" w:type="dxa"/>
            <w:vAlign w:val="bottom"/>
            <w:tcBorders>
              <w:bottom w:val="single" w:sz="8" w:color="3E3935"/>
            </w:tcBorders>
          </w:tcPr>
          <w:p>
            <w:pPr>
              <w:spacing w:after="0"/>
              <w:rPr>
                <w:sz w:val="5"/>
                <w:szCs w:val="5"/>
                <w:color w:val="auto"/>
              </w:rPr>
            </w:pPr>
          </w:p>
        </w:tc>
        <w:tc>
          <w:tcPr>
            <w:tcW w:w="2700" w:type="dxa"/>
            <w:vAlign w:val="bottom"/>
            <w:tcBorders>
              <w:bottom w:val="single" w:sz="8" w:color="3E3935"/>
            </w:tcBorders>
          </w:tcPr>
          <w:p>
            <w:pPr>
              <w:spacing w:after="0"/>
              <w:rPr>
                <w:sz w:val="5"/>
                <w:szCs w:val="5"/>
                <w:color w:val="auto"/>
              </w:rPr>
            </w:pPr>
          </w:p>
        </w:tc>
        <w:tc>
          <w:tcPr>
            <w:tcW w:w="2360" w:type="dxa"/>
            <w:vAlign w:val="bottom"/>
            <w:tcBorders>
              <w:bottom w:val="single" w:sz="8" w:color="3E3935"/>
            </w:tcBorders>
          </w:tcPr>
          <w:p>
            <w:pPr>
              <w:spacing w:after="0"/>
              <w:rPr>
                <w:sz w:val="5"/>
                <w:szCs w:val="5"/>
                <w:color w:val="auto"/>
              </w:rPr>
            </w:pPr>
          </w:p>
        </w:tc>
        <w:tc>
          <w:tcPr>
            <w:tcW w:w="1920" w:type="dxa"/>
            <w:vAlign w:val="bottom"/>
            <w:tcBorders>
              <w:bottom w:val="single" w:sz="8" w:color="3E3935"/>
            </w:tcBorders>
          </w:tcPr>
          <w:p>
            <w:pPr>
              <w:spacing w:after="0"/>
              <w:rPr>
                <w:sz w:val="5"/>
                <w:szCs w:val="5"/>
                <w:color w:val="auto"/>
              </w:rPr>
            </w:pPr>
          </w:p>
        </w:tc>
        <w:tc>
          <w:tcPr>
            <w:tcW w:w="1880" w:type="dxa"/>
            <w:vAlign w:val="bottom"/>
            <w:tcBorders>
              <w:bottom w:val="single" w:sz="8" w:color="3E3935"/>
            </w:tcBorders>
          </w:tcPr>
          <w:p>
            <w:pPr>
              <w:spacing w:after="0"/>
              <w:rPr>
                <w:sz w:val="5"/>
                <w:szCs w:val="5"/>
                <w:color w:val="auto"/>
              </w:rPr>
            </w:pPr>
          </w:p>
        </w:tc>
        <w:tc>
          <w:tcPr>
            <w:tcW w:w="0" w:type="dxa"/>
            <w:vAlign w:val="bottom"/>
          </w:tcPr>
          <w:p>
            <w:pPr>
              <w:spacing w:after="0"/>
              <w:rPr>
                <w:sz w:val="1"/>
                <w:szCs w:val="1"/>
                <w:color w:val="auto"/>
              </w:rPr>
            </w:pPr>
          </w:p>
        </w:tc>
      </w:tr>
      <w:tr>
        <w:trPr>
          <w:trHeight w:val="358"/>
        </w:trPr>
        <w:tc>
          <w:tcPr>
            <w:tcW w:w="2160" w:type="dxa"/>
            <w:vAlign w:val="bottom"/>
            <w:tcBorders>
              <w:bottom w:val="single" w:sz="8" w:color="3E3935"/>
            </w:tcBorders>
          </w:tcPr>
          <w:p>
            <w:pPr>
              <w:ind w:left="80"/>
              <w:spacing w:after="0"/>
              <w:rPr>
                <w:sz w:val="20"/>
                <w:szCs w:val="20"/>
                <w:color w:val="auto"/>
              </w:rPr>
            </w:pPr>
            <w:r>
              <w:rPr>
                <w:rFonts w:ascii="Arial" w:cs="Arial" w:eastAsia="Arial" w:hAnsi="Arial"/>
                <w:sz w:val="20"/>
                <w:szCs w:val="20"/>
                <w:color w:val="3E3935"/>
              </w:rPr>
              <w:t>Paul A. Jacobson</w:t>
            </w:r>
            <w:r>
              <w:rPr>
                <w:rFonts w:ascii="Arial" w:cs="Arial" w:eastAsia="Arial" w:hAnsi="Arial"/>
                <w:sz w:val="29"/>
                <w:szCs w:val="29"/>
                <w:color w:val="3E3935"/>
                <w:vertAlign w:val="superscript"/>
              </w:rPr>
              <w:t>(3)</w:t>
            </w:r>
          </w:p>
        </w:tc>
        <w:tc>
          <w:tcPr>
            <w:tcW w:w="2700" w:type="dxa"/>
            <w:vAlign w:val="bottom"/>
            <w:tcBorders>
              <w:bottom w:val="single" w:sz="8" w:color="3E3935"/>
            </w:tcBorders>
          </w:tcPr>
          <w:p>
            <w:pPr>
              <w:ind w:left="200"/>
              <w:spacing w:after="0"/>
              <w:rPr>
                <w:sz w:val="20"/>
                <w:szCs w:val="20"/>
                <w:color w:val="auto"/>
              </w:rPr>
            </w:pPr>
            <w:r>
              <w:rPr>
                <w:rFonts w:ascii="Arial" w:cs="Arial" w:eastAsia="Arial" w:hAnsi="Arial"/>
                <w:sz w:val="20"/>
                <w:szCs w:val="20"/>
                <w:color w:val="3E3935"/>
              </w:rPr>
              <w:t>—</w:t>
            </w:r>
          </w:p>
        </w:tc>
        <w:tc>
          <w:tcPr>
            <w:tcW w:w="2360" w:type="dxa"/>
            <w:vAlign w:val="bottom"/>
            <w:tcBorders>
              <w:bottom w:val="single" w:sz="8" w:color="3E3935"/>
            </w:tcBorders>
          </w:tcPr>
          <w:p>
            <w:pPr>
              <w:jc w:val="right"/>
              <w:ind w:right="81"/>
              <w:spacing w:after="0"/>
              <w:rPr>
                <w:sz w:val="20"/>
                <w:szCs w:val="20"/>
                <w:color w:val="auto"/>
              </w:rPr>
            </w:pPr>
            <w:r>
              <w:rPr>
                <w:rFonts w:ascii="Arial" w:cs="Arial" w:eastAsia="Arial" w:hAnsi="Arial"/>
                <w:sz w:val="20"/>
                <w:szCs w:val="20"/>
                <w:color w:val="3E3935"/>
              </w:rPr>
              <w:t>—</w:t>
            </w:r>
          </w:p>
        </w:tc>
        <w:tc>
          <w:tcPr>
            <w:tcW w:w="1920" w:type="dxa"/>
            <w:vAlign w:val="bottom"/>
            <w:tcBorders>
              <w:bottom w:val="single" w:sz="8" w:color="3E3935"/>
            </w:tcBorders>
          </w:tcPr>
          <w:p>
            <w:pPr>
              <w:jc w:val="right"/>
              <w:ind w:right="102"/>
              <w:spacing w:after="0"/>
              <w:rPr>
                <w:sz w:val="20"/>
                <w:szCs w:val="20"/>
                <w:color w:val="auto"/>
              </w:rPr>
            </w:pPr>
            <w:r>
              <w:rPr>
                <w:rFonts w:ascii="Arial" w:cs="Arial" w:eastAsia="Arial" w:hAnsi="Arial"/>
                <w:sz w:val="20"/>
                <w:szCs w:val="20"/>
                <w:color w:val="3E3935"/>
              </w:rPr>
              <w:t>—</w:t>
            </w:r>
          </w:p>
        </w:tc>
        <w:tc>
          <w:tcPr>
            <w:tcW w:w="1880" w:type="dxa"/>
            <w:vAlign w:val="bottom"/>
            <w:tcBorders>
              <w:bottom w:val="single" w:sz="8" w:color="3E3935"/>
            </w:tcBorders>
          </w:tcPr>
          <w:p>
            <w:pPr>
              <w:jc w:val="right"/>
              <w:spacing w:after="0"/>
              <w:rPr>
                <w:sz w:val="20"/>
                <w:szCs w:val="20"/>
                <w:color w:val="auto"/>
              </w:rPr>
            </w:pPr>
            <w:r>
              <w:rPr>
                <w:rFonts w:ascii="Arial" w:cs="Arial" w:eastAsia="Arial" w:hAnsi="Arial"/>
                <w:sz w:val="20"/>
                <w:szCs w:val="20"/>
                <w:color w:val="3E3935"/>
              </w:rPr>
              <w:t>—</w:t>
            </w:r>
          </w:p>
        </w:tc>
        <w:tc>
          <w:tcPr>
            <w:tcW w:w="0" w:type="dxa"/>
            <w:vAlign w:val="bottom"/>
          </w:tcPr>
          <w:p>
            <w:pPr>
              <w:spacing w:after="0"/>
              <w:rPr>
                <w:sz w:val="1"/>
                <w:szCs w:val="1"/>
                <w:color w:val="auto"/>
              </w:rPr>
            </w:pPr>
          </w:p>
        </w:tc>
      </w:tr>
      <w:tr>
        <w:trPr>
          <w:trHeight w:val="301"/>
        </w:trPr>
        <w:tc>
          <w:tcPr>
            <w:tcW w:w="2160" w:type="dxa"/>
            <w:vAlign w:val="bottom"/>
          </w:tcPr>
          <w:p>
            <w:pPr>
              <w:ind w:left="80"/>
              <w:spacing w:after="0"/>
              <w:rPr>
                <w:sz w:val="20"/>
                <w:szCs w:val="20"/>
                <w:color w:val="auto"/>
              </w:rPr>
            </w:pPr>
            <w:r>
              <w:rPr>
                <w:rFonts w:ascii="Arial" w:cs="Arial" w:eastAsia="Arial" w:hAnsi="Arial"/>
                <w:sz w:val="20"/>
                <w:szCs w:val="20"/>
                <w:color w:val="3E3935"/>
              </w:rPr>
              <w:t>Mark L. Reuss</w:t>
            </w:r>
          </w:p>
        </w:tc>
        <w:tc>
          <w:tcPr>
            <w:tcW w:w="2700" w:type="dxa"/>
            <w:vAlign w:val="bottom"/>
          </w:tcPr>
          <w:p>
            <w:pPr>
              <w:ind w:left="200"/>
              <w:spacing w:after="0"/>
              <w:rPr>
                <w:sz w:val="20"/>
                <w:szCs w:val="20"/>
                <w:color w:val="auto"/>
              </w:rPr>
            </w:pPr>
            <w:r>
              <w:rPr>
                <w:rFonts w:ascii="Arial" w:cs="Arial" w:eastAsia="Arial" w:hAnsi="Arial"/>
                <w:sz w:val="20"/>
                <w:szCs w:val="20"/>
                <w:color w:val="3E3935"/>
              </w:rPr>
              <w:t>SRP</w:t>
            </w:r>
          </w:p>
        </w:tc>
        <w:tc>
          <w:tcPr>
            <w:tcW w:w="2360" w:type="dxa"/>
            <w:vAlign w:val="bottom"/>
          </w:tcPr>
          <w:p>
            <w:pPr>
              <w:jc w:val="right"/>
              <w:ind w:right="81"/>
              <w:spacing w:after="0"/>
              <w:rPr>
                <w:sz w:val="20"/>
                <w:szCs w:val="20"/>
                <w:color w:val="auto"/>
              </w:rPr>
            </w:pPr>
            <w:r>
              <w:rPr>
                <w:rFonts w:ascii="Arial" w:cs="Arial" w:eastAsia="Arial" w:hAnsi="Arial"/>
                <w:sz w:val="20"/>
                <w:szCs w:val="20"/>
                <w:color w:val="3E3935"/>
              </w:rPr>
              <w:t>35.8</w:t>
            </w:r>
          </w:p>
        </w:tc>
        <w:tc>
          <w:tcPr>
            <w:tcW w:w="1920" w:type="dxa"/>
            <w:vAlign w:val="bottom"/>
          </w:tcPr>
          <w:p>
            <w:pPr>
              <w:jc w:val="right"/>
              <w:ind w:right="102"/>
              <w:spacing w:after="0"/>
              <w:rPr>
                <w:sz w:val="20"/>
                <w:szCs w:val="20"/>
                <w:color w:val="auto"/>
              </w:rPr>
            </w:pPr>
            <w:r>
              <w:rPr>
                <w:rFonts w:ascii="Arial" w:cs="Arial" w:eastAsia="Arial" w:hAnsi="Arial"/>
                <w:sz w:val="20"/>
                <w:szCs w:val="20"/>
                <w:color w:val="3E3935"/>
              </w:rPr>
              <w:t>911,737</w:t>
            </w:r>
          </w:p>
        </w:tc>
        <w:tc>
          <w:tcPr>
            <w:tcW w:w="1880" w:type="dxa"/>
            <w:vAlign w:val="bottom"/>
          </w:tcPr>
          <w:p>
            <w:pPr>
              <w:jc w:val="right"/>
              <w:spacing w:after="0"/>
              <w:rPr>
                <w:sz w:val="20"/>
                <w:szCs w:val="20"/>
                <w:color w:val="auto"/>
              </w:rPr>
            </w:pPr>
            <w:r>
              <w:rPr>
                <w:rFonts w:ascii="Arial" w:cs="Arial" w:eastAsia="Arial" w:hAnsi="Arial"/>
                <w:sz w:val="20"/>
                <w:szCs w:val="20"/>
                <w:color w:val="3E3935"/>
              </w:rPr>
              <w:t>—</w:t>
            </w:r>
          </w:p>
        </w:tc>
        <w:tc>
          <w:tcPr>
            <w:tcW w:w="0" w:type="dxa"/>
            <w:vAlign w:val="bottom"/>
          </w:tcPr>
          <w:p>
            <w:pPr>
              <w:spacing w:after="0"/>
              <w:rPr>
                <w:sz w:val="1"/>
                <w:szCs w:val="1"/>
                <w:color w:val="auto"/>
              </w:rPr>
            </w:pPr>
          </w:p>
        </w:tc>
      </w:tr>
      <w:tr>
        <w:trPr>
          <w:trHeight w:val="324"/>
        </w:trPr>
        <w:tc>
          <w:tcPr>
            <w:tcW w:w="2160" w:type="dxa"/>
            <w:vAlign w:val="bottom"/>
          </w:tcPr>
          <w:p>
            <w:pPr>
              <w:spacing w:after="0"/>
              <w:rPr>
                <w:sz w:val="24"/>
                <w:szCs w:val="24"/>
                <w:color w:val="auto"/>
              </w:rPr>
            </w:pPr>
          </w:p>
        </w:tc>
        <w:tc>
          <w:tcPr>
            <w:tcW w:w="2700" w:type="dxa"/>
            <w:vAlign w:val="bottom"/>
          </w:tcPr>
          <w:p>
            <w:pPr>
              <w:ind w:left="200"/>
              <w:spacing w:after="0"/>
              <w:rPr>
                <w:sz w:val="20"/>
                <w:szCs w:val="20"/>
                <w:color w:val="auto"/>
              </w:rPr>
            </w:pPr>
            <w:r>
              <w:rPr>
                <w:rFonts w:ascii="Arial" w:cs="Arial" w:eastAsia="Arial" w:hAnsi="Arial"/>
                <w:sz w:val="20"/>
                <w:szCs w:val="20"/>
                <w:color w:val="3E3935"/>
              </w:rPr>
              <w:t>DB ERP</w:t>
            </w:r>
          </w:p>
        </w:tc>
        <w:tc>
          <w:tcPr>
            <w:tcW w:w="2360" w:type="dxa"/>
            <w:vAlign w:val="bottom"/>
          </w:tcPr>
          <w:p>
            <w:pPr>
              <w:jc w:val="right"/>
              <w:ind w:right="81"/>
              <w:spacing w:after="0"/>
              <w:rPr>
                <w:sz w:val="20"/>
                <w:szCs w:val="20"/>
                <w:color w:val="auto"/>
              </w:rPr>
            </w:pPr>
            <w:r>
              <w:rPr>
                <w:rFonts w:ascii="Arial" w:cs="Arial" w:eastAsia="Arial" w:hAnsi="Arial"/>
                <w:sz w:val="20"/>
                <w:szCs w:val="20"/>
                <w:color w:val="3E3935"/>
              </w:rPr>
              <w:t>35.8</w:t>
            </w:r>
          </w:p>
        </w:tc>
        <w:tc>
          <w:tcPr>
            <w:tcW w:w="1920" w:type="dxa"/>
            <w:vAlign w:val="bottom"/>
          </w:tcPr>
          <w:p>
            <w:pPr>
              <w:jc w:val="right"/>
              <w:ind w:right="102"/>
              <w:spacing w:after="0"/>
              <w:rPr>
                <w:sz w:val="20"/>
                <w:szCs w:val="20"/>
                <w:color w:val="auto"/>
              </w:rPr>
            </w:pPr>
            <w:r>
              <w:rPr>
                <w:rFonts w:ascii="Arial" w:cs="Arial" w:eastAsia="Arial" w:hAnsi="Arial"/>
                <w:sz w:val="20"/>
                <w:szCs w:val="20"/>
                <w:color w:val="3E3935"/>
              </w:rPr>
              <w:t>651,129</w:t>
            </w:r>
          </w:p>
        </w:tc>
        <w:tc>
          <w:tcPr>
            <w:tcW w:w="1880" w:type="dxa"/>
            <w:vAlign w:val="bottom"/>
          </w:tcPr>
          <w:p>
            <w:pPr>
              <w:jc w:val="right"/>
              <w:spacing w:after="0"/>
              <w:rPr>
                <w:sz w:val="20"/>
                <w:szCs w:val="20"/>
                <w:color w:val="auto"/>
              </w:rPr>
            </w:pPr>
            <w:r>
              <w:rPr>
                <w:rFonts w:ascii="Arial" w:cs="Arial" w:eastAsia="Arial" w:hAnsi="Arial"/>
                <w:sz w:val="20"/>
                <w:szCs w:val="20"/>
                <w:color w:val="3E3935"/>
              </w:rPr>
              <w:t>—</w:t>
            </w:r>
          </w:p>
        </w:tc>
        <w:tc>
          <w:tcPr>
            <w:tcW w:w="0" w:type="dxa"/>
            <w:vAlign w:val="bottom"/>
          </w:tcPr>
          <w:p>
            <w:pPr>
              <w:spacing w:after="0"/>
              <w:rPr>
                <w:sz w:val="1"/>
                <w:szCs w:val="1"/>
                <w:color w:val="auto"/>
              </w:rPr>
            </w:pPr>
          </w:p>
        </w:tc>
      </w:tr>
      <w:tr>
        <w:trPr>
          <w:trHeight w:val="58"/>
        </w:trPr>
        <w:tc>
          <w:tcPr>
            <w:tcW w:w="2160" w:type="dxa"/>
            <w:vAlign w:val="bottom"/>
            <w:tcBorders>
              <w:bottom w:val="single" w:sz="8" w:color="3E3935"/>
            </w:tcBorders>
          </w:tcPr>
          <w:p>
            <w:pPr>
              <w:spacing w:after="0"/>
              <w:rPr>
                <w:sz w:val="5"/>
                <w:szCs w:val="5"/>
                <w:color w:val="auto"/>
              </w:rPr>
            </w:pPr>
          </w:p>
        </w:tc>
        <w:tc>
          <w:tcPr>
            <w:tcW w:w="2700" w:type="dxa"/>
            <w:vAlign w:val="bottom"/>
            <w:tcBorders>
              <w:bottom w:val="single" w:sz="8" w:color="3E3935"/>
            </w:tcBorders>
          </w:tcPr>
          <w:p>
            <w:pPr>
              <w:spacing w:after="0"/>
              <w:rPr>
                <w:sz w:val="5"/>
                <w:szCs w:val="5"/>
                <w:color w:val="auto"/>
              </w:rPr>
            </w:pPr>
          </w:p>
        </w:tc>
        <w:tc>
          <w:tcPr>
            <w:tcW w:w="2360" w:type="dxa"/>
            <w:vAlign w:val="bottom"/>
            <w:tcBorders>
              <w:bottom w:val="single" w:sz="8" w:color="3E3935"/>
            </w:tcBorders>
          </w:tcPr>
          <w:p>
            <w:pPr>
              <w:spacing w:after="0"/>
              <w:rPr>
                <w:sz w:val="5"/>
                <w:szCs w:val="5"/>
                <w:color w:val="auto"/>
              </w:rPr>
            </w:pPr>
          </w:p>
        </w:tc>
        <w:tc>
          <w:tcPr>
            <w:tcW w:w="1920" w:type="dxa"/>
            <w:vAlign w:val="bottom"/>
            <w:tcBorders>
              <w:bottom w:val="single" w:sz="8" w:color="3E3935"/>
            </w:tcBorders>
          </w:tcPr>
          <w:p>
            <w:pPr>
              <w:spacing w:after="0"/>
              <w:rPr>
                <w:sz w:val="5"/>
                <w:szCs w:val="5"/>
                <w:color w:val="auto"/>
              </w:rPr>
            </w:pPr>
          </w:p>
        </w:tc>
        <w:tc>
          <w:tcPr>
            <w:tcW w:w="1880" w:type="dxa"/>
            <w:vAlign w:val="bottom"/>
            <w:tcBorders>
              <w:bottom w:val="single" w:sz="8" w:color="3E3935"/>
            </w:tcBorders>
          </w:tcPr>
          <w:p>
            <w:pPr>
              <w:spacing w:after="0"/>
              <w:rPr>
                <w:sz w:val="5"/>
                <w:szCs w:val="5"/>
                <w:color w:val="auto"/>
              </w:rPr>
            </w:pPr>
          </w:p>
        </w:tc>
        <w:tc>
          <w:tcPr>
            <w:tcW w:w="0" w:type="dxa"/>
            <w:vAlign w:val="bottom"/>
          </w:tcPr>
          <w:p>
            <w:pPr>
              <w:spacing w:after="0"/>
              <w:rPr>
                <w:sz w:val="1"/>
                <w:szCs w:val="1"/>
                <w:color w:val="auto"/>
              </w:rPr>
            </w:pPr>
          </w:p>
        </w:tc>
      </w:tr>
      <w:tr>
        <w:trPr>
          <w:trHeight w:val="300"/>
        </w:trPr>
        <w:tc>
          <w:tcPr>
            <w:tcW w:w="2160" w:type="dxa"/>
            <w:vAlign w:val="bottom"/>
          </w:tcPr>
          <w:p>
            <w:pPr>
              <w:ind w:left="80"/>
              <w:spacing w:after="0"/>
              <w:rPr>
                <w:sz w:val="20"/>
                <w:szCs w:val="20"/>
                <w:color w:val="auto"/>
              </w:rPr>
            </w:pPr>
            <w:r>
              <w:rPr>
                <w:rFonts w:ascii="Arial" w:cs="Arial" w:eastAsia="Arial" w:hAnsi="Arial"/>
                <w:sz w:val="20"/>
                <w:szCs w:val="20"/>
                <w:color w:val="3E3935"/>
              </w:rPr>
              <w:t>Douglas L. Parks</w:t>
            </w:r>
          </w:p>
        </w:tc>
        <w:tc>
          <w:tcPr>
            <w:tcW w:w="2700" w:type="dxa"/>
            <w:vAlign w:val="bottom"/>
          </w:tcPr>
          <w:p>
            <w:pPr>
              <w:ind w:left="200"/>
              <w:spacing w:after="0"/>
              <w:rPr>
                <w:sz w:val="20"/>
                <w:szCs w:val="20"/>
                <w:color w:val="auto"/>
              </w:rPr>
            </w:pPr>
            <w:r>
              <w:rPr>
                <w:rFonts w:ascii="Arial" w:cs="Arial" w:eastAsia="Arial" w:hAnsi="Arial"/>
                <w:sz w:val="20"/>
                <w:szCs w:val="20"/>
                <w:color w:val="3E3935"/>
              </w:rPr>
              <w:t>SRP</w:t>
            </w:r>
          </w:p>
        </w:tc>
        <w:tc>
          <w:tcPr>
            <w:tcW w:w="2360" w:type="dxa"/>
            <w:vAlign w:val="bottom"/>
          </w:tcPr>
          <w:p>
            <w:pPr>
              <w:jc w:val="right"/>
              <w:ind w:right="81"/>
              <w:spacing w:after="0"/>
              <w:rPr>
                <w:sz w:val="20"/>
                <w:szCs w:val="20"/>
                <w:color w:val="auto"/>
              </w:rPr>
            </w:pPr>
            <w:r>
              <w:rPr>
                <w:rFonts w:ascii="Arial" w:cs="Arial" w:eastAsia="Arial" w:hAnsi="Arial"/>
                <w:sz w:val="20"/>
                <w:szCs w:val="20"/>
                <w:color w:val="3E3935"/>
              </w:rPr>
              <w:t>37.7</w:t>
            </w:r>
          </w:p>
        </w:tc>
        <w:tc>
          <w:tcPr>
            <w:tcW w:w="1920" w:type="dxa"/>
            <w:vAlign w:val="bottom"/>
          </w:tcPr>
          <w:p>
            <w:pPr>
              <w:jc w:val="right"/>
              <w:ind w:right="102"/>
              <w:spacing w:after="0"/>
              <w:rPr>
                <w:sz w:val="20"/>
                <w:szCs w:val="20"/>
                <w:color w:val="auto"/>
              </w:rPr>
            </w:pPr>
            <w:r>
              <w:rPr>
                <w:rFonts w:ascii="Arial" w:cs="Arial" w:eastAsia="Arial" w:hAnsi="Arial"/>
                <w:sz w:val="20"/>
                <w:szCs w:val="20"/>
                <w:color w:val="3E3935"/>
              </w:rPr>
              <w:t>1,014,821</w:t>
            </w:r>
          </w:p>
        </w:tc>
        <w:tc>
          <w:tcPr>
            <w:tcW w:w="1880" w:type="dxa"/>
            <w:vAlign w:val="bottom"/>
          </w:tcPr>
          <w:p>
            <w:pPr>
              <w:jc w:val="right"/>
              <w:spacing w:after="0"/>
              <w:rPr>
                <w:sz w:val="20"/>
                <w:szCs w:val="20"/>
                <w:color w:val="auto"/>
              </w:rPr>
            </w:pPr>
            <w:r>
              <w:rPr>
                <w:rFonts w:ascii="Arial" w:cs="Arial" w:eastAsia="Arial" w:hAnsi="Arial"/>
                <w:sz w:val="20"/>
                <w:szCs w:val="20"/>
                <w:color w:val="3E3935"/>
              </w:rPr>
              <w:t>—</w:t>
            </w:r>
          </w:p>
        </w:tc>
        <w:tc>
          <w:tcPr>
            <w:tcW w:w="0" w:type="dxa"/>
            <w:vAlign w:val="bottom"/>
          </w:tcPr>
          <w:p>
            <w:pPr>
              <w:spacing w:after="0"/>
              <w:rPr>
                <w:sz w:val="1"/>
                <w:szCs w:val="1"/>
                <w:color w:val="auto"/>
              </w:rPr>
            </w:pPr>
          </w:p>
        </w:tc>
      </w:tr>
      <w:tr>
        <w:trPr>
          <w:trHeight w:val="324"/>
        </w:trPr>
        <w:tc>
          <w:tcPr>
            <w:tcW w:w="2160" w:type="dxa"/>
            <w:vAlign w:val="bottom"/>
          </w:tcPr>
          <w:p>
            <w:pPr>
              <w:spacing w:after="0"/>
              <w:rPr>
                <w:sz w:val="24"/>
                <w:szCs w:val="24"/>
                <w:color w:val="auto"/>
              </w:rPr>
            </w:pPr>
          </w:p>
        </w:tc>
        <w:tc>
          <w:tcPr>
            <w:tcW w:w="2700" w:type="dxa"/>
            <w:vAlign w:val="bottom"/>
          </w:tcPr>
          <w:p>
            <w:pPr>
              <w:ind w:left="200"/>
              <w:spacing w:after="0"/>
              <w:rPr>
                <w:sz w:val="20"/>
                <w:szCs w:val="20"/>
                <w:color w:val="auto"/>
              </w:rPr>
            </w:pPr>
            <w:r>
              <w:rPr>
                <w:rFonts w:ascii="Arial" w:cs="Arial" w:eastAsia="Arial" w:hAnsi="Arial"/>
                <w:sz w:val="20"/>
                <w:szCs w:val="20"/>
                <w:color w:val="3E3935"/>
              </w:rPr>
              <w:t>DB ERP</w:t>
            </w:r>
          </w:p>
        </w:tc>
        <w:tc>
          <w:tcPr>
            <w:tcW w:w="2360" w:type="dxa"/>
            <w:vAlign w:val="bottom"/>
          </w:tcPr>
          <w:p>
            <w:pPr>
              <w:jc w:val="right"/>
              <w:ind w:right="81"/>
              <w:spacing w:after="0"/>
              <w:rPr>
                <w:sz w:val="20"/>
                <w:szCs w:val="20"/>
                <w:color w:val="auto"/>
              </w:rPr>
            </w:pPr>
            <w:r>
              <w:rPr>
                <w:rFonts w:ascii="Arial" w:cs="Arial" w:eastAsia="Arial" w:hAnsi="Arial"/>
                <w:sz w:val="20"/>
                <w:szCs w:val="20"/>
                <w:color w:val="3E3935"/>
              </w:rPr>
              <w:t>37.7</w:t>
            </w:r>
          </w:p>
        </w:tc>
        <w:tc>
          <w:tcPr>
            <w:tcW w:w="1920" w:type="dxa"/>
            <w:vAlign w:val="bottom"/>
          </w:tcPr>
          <w:p>
            <w:pPr>
              <w:jc w:val="right"/>
              <w:ind w:right="102"/>
              <w:spacing w:after="0"/>
              <w:rPr>
                <w:sz w:val="20"/>
                <w:szCs w:val="20"/>
                <w:color w:val="auto"/>
              </w:rPr>
            </w:pPr>
            <w:r>
              <w:rPr>
                <w:rFonts w:ascii="Arial" w:cs="Arial" w:eastAsia="Arial" w:hAnsi="Arial"/>
                <w:sz w:val="20"/>
                <w:szCs w:val="20"/>
                <w:color w:val="3E3935"/>
              </w:rPr>
              <w:t>403,319</w:t>
            </w:r>
          </w:p>
        </w:tc>
        <w:tc>
          <w:tcPr>
            <w:tcW w:w="1880" w:type="dxa"/>
            <w:vAlign w:val="bottom"/>
          </w:tcPr>
          <w:p>
            <w:pPr>
              <w:jc w:val="right"/>
              <w:spacing w:after="0"/>
              <w:rPr>
                <w:sz w:val="20"/>
                <w:szCs w:val="20"/>
                <w:color w:val="auto"/>
              </w:rPr>
            </w:pPr>
            <w:r>
              <w:rPr>
                <w:rFonts w:ascii="Arial" w:cs="Arial" w:eastAsia="Arial" w:hAnsi="Arial"/>
                <w:sz w:val="20"/>
                <w:szCs w:val="20"/>
                <w:color w:val="3E3935"/>
              </w:rPr>
              <w:t>—</w:t>
            </w:r>
          </w:p>
        </w:tc>
        <w:tc>
          <w:tcPr>
            <w:tcW w:w="0" w:type="dxa"/>
            <w:vAlign w:val="bottom"/>
          </w:tcPr>
          <w:p>
            <w:pPr>
              <w:spacing w:after="0"/>
              <w:rPr>
                <w:sz w:val="1"/>
                <w:szCs w:val="1"/>
                <w:color w:val="auto"/>
              </w:rPr>
            </w:pPr>
          </w:p>
        </w:tc>
      </w:tr>
      <w:tr>
        <w:trPr>
          <w:trHeight w:val="58"/>
        </w:trPr>
        <w:tc>
          <w:tcPr>
            <w:tcW w:w="2160" w:type="dxa"/>
            <w:vAlign w:val="bottom"/>
            <w:tcBorders>
              <w:bottom w:val="single" w:sz="8" w:color="3E3935"/>
            </w:tcBorders>
          </w:tcPr>
          <w:p>
            <w:pPr>
              <w:spacing w:after="0"/>
              <w:rPr>
                <w:sz w:val="5"/>
                <w:szCs w:val="5"/>
                <w:color w:val="auto"/>
              </w:rPr>
            </w:pPr>
          </w:p>
        </w:tc>
        <w:tc>
          <w:tcPr>
            <w:tcW w:w="2700" w:type="dxa"/>
            <w:vAlign w:val="bottom"/>
            <w:tcBorders>
              <w:bottom w:val="single" w:sz="8" w:color="3E3935"/>
            </w:tcBorders>
          </w:tcPr>
          <w:p>
            <w:pPr>
              <w:spacing w:after="0"/>
              <w:rPr>
                <w:sz w:val="5"/>
                <w:szCs w:val="5"/>
                <w:color w:val="auto"/>
              </w:rPr>
            </w:pPr>
          </w:p>
        </w:tc>
        <w:tc>
          <w:tcPr>
            <w:tcW w:w="2360" w:type="dxa"/>
            <w:vAlign w:val="bottom"/>
            <w:tcBorders>
              <w:bottom w:val="single" w:sz="8" w:color="3E3935"/>
            </w:tcBorders>
          </w:tcPr>
          <w:p>
            <w:pPr>
              <w:spacing w:after="0"/>
              <w:rPr>
                <w:sz w:val="5"/>
                <w:szCs w:val="5"/>
                <w:color w:val="auto"/>
              </w:rPr>
            </w:pPr>
          </w:p>
        </w:tc>
        <w:tc>
          <w:tcPr>
            <w:tcW w:w="1920" w:type="dxa"/>
            <w:vAlign w:val="bottom"/>
            <w:tcBorders>
              <w:bottom w:val="single" w:sz="8" w:color="3E3935"/>
            </w:tcBorders>
          </w:tcPr>
          <w:p>
            <w:pPr>
              <w:spacing w:after="0"/>
              <w:rPr>
                <w:sz w:val="5"/>
                <w:szCs w:val="5"/>
                <w:color w:val="auto"/>
              </w:rPr>
            </w:pPr>
          </w:p>
        </w:tc>
        <w:tc>
          <w:tcPr>
            <w:tcW w:w="1880" w:type="dxa"/>
            <w:vAlign w:val="bottom"/>
            <w:tcBorders>
              <w:bottom w:val="single" w:sz="8" w:color="3E3935"/>
            </w:tcBorders>
          </w:tcPr>
          <w:p>
            <w:pPr>
              <w:spacing w:after="0"/>
              <w:rPr>
                <w:sz w:val="5"/>
                <w:szCs w:val="5"/>
                <w:color w:val="auto"/>
              </w:rPr>
            </w:pPr>
          </w:p>
        </w:tc>
        <w:tc>
          <w:tcPr>
            <w:tcW w:w="0" w:type="dxa"/>
            <w:vAlign w:val="bottom"/>
          </w:tcPr>
          <w:p>
            <w:pPr>
              <w:spacing w:after="0"/>
              <w:rPr>
                <w:sz w:val="1"/>
                <w:szCs w:val="1"/>
                <w:color w:val="auto"/>
              </w:rPr>
            </w:pPr>
          </w:p>
        </w:tc>
      </w:tr>
      <w:tr>
        <w:trPr>
          <w:trHeight w:val="363"/>
        </w:trPr>
        <w:tc>
          <w:tcPr>
            <w:tcW w:w="2160" w:type="dxa"/>
            <w:vAlign w:val="bottom"/>
          </w:tcPr>
          <w:p>
            <w:pPr>
              <w:ind w:left="80"/>
              <w:spacing w:after="0"/>
              <w:rPr>
                <w:sz w:val="20"/>
                <w:szCs w:val="20"/>
                <w:color w:val="auto"/>
              </w:rPr>
            </w:pPr>
            <w:r>
              <w:rPr>
                <w:rFonts w:ascii="Arial" w:cs="Arial" w:eastAsia="Arial" w:hAnsi="Arial"/>
                <w:sz w:val="20"/>
                <w:szCs w:val="20"/>
                <w:color w:val="3E3935"/>
              </w:rPr>
              <w:t>Stephen K. Carlisle</w:t>
            </w:r>
            <w:r>
              <w:rPr>
                <w:rFonts w:ascii="Arial" w:cs="Arial" w:eastAsia="Arial" w:hAnsi="Arial"/>
                <w:sz w:val="29"/>
                <w:szCs w:val="29"/>
                <w:color w:val="3E3935"/>
                <w:vertAlign w:val="superscript"/>
              </w:rPr>
              <w:t>(4)</w:t>
            </w:r>
          </w:p>
        </w:tc>
        <w:tc>
          <w:tcPr>
            <w:tcW w:w="2700" w:type="dxa"/>
            <w:vAlign w:val="bottom"/>
          </w:tcPr>
          <w:p>
            <w:pPr>
              <w:ind w:left="200"/>
              <w:spacing w:after="0"/>
              <w:rPr>
                <w:sz w:val="20"/>
                <w:szCs w:val="20"/>
                <w:color w:val="auto"/>
              </w:rPr>
            </w:pPr>
            <w:r>
              <w:rPr>
                <w:rFonts w:ascii="Arial" w:cs="Arial" w:eastAsia="Arial" w:hAnsi="Arial"/>
                <w:sz w:val="20"/>
                <w:szCs w:val="20"/>
                <w:color w:val="3E3935"/>
              </w:rPr>
              <w:t>SRP</w:t>
            </w:r>
          </w:p>
        </w:tc>
        <w:tc>
          <w:tcPr>
            <w:tcW w:w="2360" w:type="dxa"/>
            <w:vAlign w:val="bottom"/>
          </w:tcPr>
          <w:p>
            <w:pPr>
              <w:jc w:val="right"/>
              <w:ind w:right="81"/>
              <w:spacing w:after="0"/>
              <w:rPr>
                <w:sz w:val="20"/>
                <w:szCs w:val="20"/>
                <w:color w:val="auto"/>
              </w:rPr>
            </w:pPr>
            <w:r>
              <w:rPr>
                <w:rFonts w:ascii="Arial" w:cs="Arial" w:eastAsia="Arial" w:hAnsi="Arial"/>
                <w:sz w:val="20"/>
                <w:szCs w:val="20"/>
                <w:color w:val="3E3935"/>
              </w:rPr>
              <w:t>38.6</w:t>
            </w:r>
          </w:p>
        </w:tc>
        <w:tc>
          <w:tcPr>
            <w:tcW w:w="1920" w:type="dxa"/>
            <w:vAlign w:val="bottom"/>
          </w:tcPr>
          <w:p>
            <w:pPr>
              <w:jc w:val="right"/>
              <w:ind w:right="102"/>
              <w:spacing w:after="0"/>
              <w:rPr>
                <w:sz w:val="20"/>
                <w:szCs w:val="20"/>
                <w:color w:val="auto"/>
              </w:rPr>
            </w:pPr>
            <w:r>
              <w:rPr>
                <w:rFonts w:ascii="Arial" w:cs="Arial" w:eastAsia="Arial" w:hAnsi="Arial"/>
                <w:sz w:val="20"/>
                <w:szCs w:val="20"/>
                <w:color w:val="3E3935"/>
              </w:rPr>
              <w:t>779,678</w:t>
            </w:r>
          </w:p>
        </w:tc>
        <w:tc>
          <w:tcPr>
            <w:tcW w:w="1880" w:type="dxa"/>
            <w:vAlign w:val="bottom"/>
          </w:tcPr>
          <w:p>
            <w:pPr>
              <w:jc w:val="right"/>
              <w:spacing w:after="0"/>
              <w:rPr>
                <w:sz w:val="20"/>
                <w:szCs w:val="20"/>
                <w:color w:val="auto"/>
              </w:rPr>
            </w:pPr>
            <w:r>
              <w:rPr>
                <w:rFonts w:ascii="Arial" w:cs="Arial" w:eastAsia="Arial" w:hAnsi="Arial"/>
                <w:sz w:val="20"/>
                <w:szCs w:val="20"/>
                <w:color w:val="3E3935"/>
              </w:rPr>
              <w:t>—</w:t>
            </w:r>
          </w:p>
        </w:tc>
        <w:tc>
          <w:tcPr>
            <w:tcW w:w="0" w:type="dxa"/>
            <w:vAlign w:val="bottom"/>
          </w:tcPr>
          <w:p>
            <w:pPr>
              <w:spacing w:after="0"/>
              <w:rPr>
                <w:sz w:val="1"/>
                <w:szCs w:val="1"/>
                <w:color w:val="auto"/>
              </w:rPr>
            </w:pPr>
          </w:p>
        </w:tc>
      </w:tr>
      <w:tr>
        <w:trPr>
          <w:trHeight w:val="261"/>
        </w:trPr>
        <w:tc>
          <w:tcPr>
            <w:tcW w:w="2160" w:type="dxa"/>
            <w:vAlign w:val="bottom"/>
          </w:tcPr>
          <w:p>
            <w:pPr>
              <w:spacing w:after="0"/>
              <w:rPr>
                <w:sz w:val="22"/>
                <w:szCs w:val="22"/>
                <w:color w:val="auto"/>
              </w:rPr>
            </w:pPr>
          </w:p>
        </w:tc>
        <w:tc>
          <w:tcPr>
            <w:tcW w:w="2700" w:type="dxa"/>
            <w:vAlign w:val="bottom"/>
          </w:tcPr>
          <w:p>
            <w:pPr>
              <w:ind w:left="200"/>
              <w:spacing w:after="0"/>
              <w:rPr>
                <w:sz w:val="20"/>
                <w:szCs w:val="20"/>
                <w:color w:val="auto"/>
              </w:rPr>
            </w:pPr>
            <w:r>
              <w:rPr>
                <w:rFonts w:ascii="Arial" w:cs="Arial" w:eastAsia="Arial" w:hAnsi="Arial"/>
                <w:sz w:val="20"/>
                <w:szCs w:val="20"/>
                <w:color w:val="3E3935"/>
              </w:rPr>
              <w:t>DB ERP</w:t>
            </w:r>
          </w:p>
        </w:tc>
        <w:tc>
          <w:tcPr>
            <w:tcW w:w="2360" w:type="dxa"/>
            <w:vAlign w:val="bottom"/>
          </w:tcPr>
          <w:p>
            <w:pPr>
              <w:jc w:val="right"/>
              <w:ind w:right="81"/>
              <w:spacing w:after="0"/>
              <w:rPr>
                <w:sz w:val="20"/>
                <w:szCs w:val="20"/>
                <w:color w:val="auto"/>
              </w:rPr>
            </w:pPr>
            <w:r>
              <w:rPr>
                <w:rFonts w:ascii="Arial" w:cs="Arial" w:eastAsia="Arial" w:hAnsi="Arial"/>
                <w:sz w:val="20"/>
                <w:szCs w:val="20"/>
                <w:color w:val="3E3935"/>
              </w:rPr>
              <w:t>38.6</w:t>
            </w:r>
          </w:p>
        </w:tc>
        <w:tc>
          <w:tcPr>
            <w:tcW w:w="1920" w:type="dxa"/>
            <w:vAlign w:val="bottom"/>
          </w:tcPr>
          <w:p>
            <w:pPr>
              <w:jc w:val="right"/>
              <w:ind w:right="102"/>
              <w:spacing w:after="0"/>
              <w:rPr>
                <w:sz w:val="20"/>
                <w:szCs w:val="20"/>
                <w:color w:val="auto"/>
              </w:rPr>
            </w:pPr>
            <w:r>
              <w:rPr>
                <w:rFonts w:ascii="Arial" w:cs="Arial" w:eastAsia="Arial" w:hAnsi="Arial"/>
                <w:sz w:val="20"/>
                <w:szCs w:val="20"/>
                <w:color w:val="3E3935"/>
              </w:rPr>
              <w:t>354,272</w:t>
            </w:r>
          </w:p>
        </w:tc>
        <w:tc>
          <w:tcPr>
            <w:tcW w:w="1880" w:type="dxa"/>
            <w:vAlign w:val="bottom"/>
          </w:tcPr>
          <w:p>
            <w:pPr>
              <w:jc w:val="right"/>
              <w:spacing w:after="0"/>
              <w:rPr>
                <w:sz w:val="20"/>
                <w:szCs w:val="20"/>
                <w:color w:val="auto"/>
              </w:rPr>
            </w:pPr>
            <w:r>
              <w:rPr>
                <w:rFonts w:ascii="Arial" w:cs="Arial" w:eastAsia="Arial" w:hAnsi="Arial"/>
                <w:sz w:val="20"/>
                <w:szCs w:val="20"/>
                <w:color w:val="3E3935"/>
              </w:rPr>
              <w:t>—</w:t>
            </w:r>
          </w:p>
        </w:tc>
        <w:tc>
          <w:tcPr>
            <w:tcW w:w="0" w:type="dxa"/>
            <w:vAlign w:val="bottom"/>
          </w:tcPr>
          <w:p>
            <w:pPr>
              <w:spacing w:after="0"/>
              <w:rPr>
                <w:sz w:val="1"/>
                <w:szCs w:val="1"/>
                <w:color w:val="auto"/>
              </w:rPr>
            </w:pPr>
          </w:p>
        </w:tc>
      </w:tr>
      <w:tr>
        <w:trPr>
          <w:trHeight w:val="324"/>
        </w:trPr>
        <w:tc>
          <w:tcPr>
            <w:tcW w:w="2160" w:type="dxa"/>
            <w:vAlign w:val="bottom"/>
          </w:tcPr>
          <w:p>
            <w:pPr>
              <w:spacing w:after="0"/>
              <w:rPr>
                <w:sz w:val="24"/>
                <w:szCs w:val="24"/>
                <w:color w:val="auto"/>
              </w:rPr>
            </w:pPr>
          </w:p>
        </w:tc>
        <w:tc>
          <w:tcPr>
            <w:tcW w:w="2700" w:type="dxa"/>
            <w:vAlign w:val="bottom"/>
          </w:tcPr>
          <w:p>
            <w:pPr>
              <w:ind w:left="200"/>
              <w:spacing w:after="0"/>
              <w:rPr>
                <w:sz w:val="20"/>
                <w:szCs w:val="20"/>
                <w:color w:val="auto"/>
              </w:rPr>
            </w:pPr>
            <w:r>
              <w:rPr>
                <w:rFonts w:ascii="Arial" w:cs="Arial" w:eastAsia="Arial" w:hAnsi="Arial"/>
                <w:sz w:val="20"/>
                <w:szCs w:val="20"/>
                <w:color w:val="3E3935"/>
              </w:rPr>
              <w:t>GM Canada Salaried Plan</w:t>
            </w:r>
          </w:p>
        </w:tc>
        <w:tc>
          <w:tcPr>
            <w:tcW w:w="2360" w:type="dxa"/>
            <w:vAlign w:val="bottom"/>
          </w:tcPr>
          <w:p>
            <w:pPr>
              <w:jc w:val="right"/>
              <w:ind w:right="81"/>
              <w:spacing w:after="0"/>
              <w:rPr>
                <w:sz w:val="20"/>
                <w:szCs w:val="20"/>
                <w:color w:val="auto"/>
              </w:rPr>
            </w:pPr>
            <w:r>
              <w:rPr>
                <w:rFonts w:ascii="Arial" w:cs="Arial" w:eastAsia="Arial" w:hAnsi="Arial"/>
                <w:sz w:val="20"/>
                <w:szCs w:val="20"/>
                <w:color w:val="3E3935"/>
              </w:rPr>
              <w:t>38.6</w:t>
            </w:r>
          </w:p>
        </w:tc>
        <w:tc>
          <w:tcPr>
            <w:tcW w:w="1920" w:type="dxa"/>
            <w:vAlign w:val="bottom"/>
          </w:tcPr>
          <w:p>
            <w:pPr>
              <w:jc w:val="right"/>
              <w:ind w:right="102"/>
              <w:spacing w:after="0"/>
              <w:rPr>
                <w:sz w:val="20"/>
                <w:szCs w:val="20"/>
                <w:color w:val="auto"/>
              </w:rPr>
            </w:pPr>
            <w:r>
              <w:rPr>
                <w:rFonts w:ascii="Arial" w:cs="Arial" w:eastAsia="Arial" w:hAnsi="Arial"/>
                <w:sz w:val="20"/>
                <w:szCs w:val="20"/>
                <w:color w:val="3E3935"/>
              </w:rPr>
              <w:t>171,267</w:t>
            </w:r>
          </w:p>
        </w:tc>
        <w:tc>
          <w:tcPr>
            <w:tcW w:w="1880" w:type="dxa"/>
            <w:vAlign w:val="bottom"/>
          </w:tcPr>
          <w:p>
            <w:pPr>
              <w:jc w:val="right"/>
              <w:spacing w:after="0"/>
              <w:rPr>
                <w:sz w:val="20"/>
                <w:szCs w:val="20"/>
                <w:color w:val="auto"/>
              </w:rPr>
            </w:pPr>
            <w:r>
              <w:rPr>
                <w:rFonts w:ascii="Arial" w:cs="Arial" w:eastAsia="Arial" w:hAnsi="Arial"/>
                <w:sz w:val="20"/>
                <w:szCs w:val="20"/>
                <w:color w:val="3E3935"/>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36195</wp:posOffset>
            </wp:positionV>
            <wp:extent cx="6995160" cy="825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10" w:lineRule="exact"/>
        <w:rPr>
          <w:sz w:val="20"/>
          <w:szCs w:val="20"/>
          <w:color w:val="auto"/>
        </w:rPr>
      </w:pPr>
    </w:p>
    <w:p>
      <w:pPr>
        <w:ind w:left="660" w:hanging="544"/>
        <w:spacing w:after="0" w:line="257" w:lineRule="auto"/>
        <w:tabs>
          <w:tab w:leader="none" w:pos="660" w:val="left"/>
        </w:tabs>
        <w:numPr>
          <w:ilvl w:val="0"/>
          <w:numId w:val="132"/>
        </w:numPr>
        <w:rPr>
          <w:rFonts w:ascii="Arial" w:cs="Arial" w:eastAsia="Arial" w:hAnsi="Arial"/>
          <w:sz w:val="20"/>
          <w:szCs w:val="20"/>
          <w:i w:val="1"/>
          <w:iCs w:val="1"/>
          <w:color w:val="3E3935"/>
        </w:rPr>
      </w:pPr>
      <w:r>
        <w:rPr>
          <w:rFonts w:ascii="Arial" w:cs="Arial" w:eastAsia="Arial" w:hAnsi="Arial"/>
          <w:sz w:val="20"/>
          <w:szCs w:val="20"/>
          <w:i w:val="1"/>
          <w:iCs w:val="1"/>
          <w:color w:val="3E3935"/>
        </w:rPr>
        <w:t>Eligible service recognizes credited service under the frozen qualified SRP in addition to future service to determine retirement eligibility.</w:t>
      </w:r>
    </w:p>
    <w:p>
      <w:pPr>
        <w:spacing w:after="0" w:line="20" w:lineRule="exact"/>
        <w:rPr>
          <w:rFonts w:ascii="Arial" w:cs="Arial" w:eastAsia="Arial" w:hAnsi="Arial"/>
          <w:sz w:val="20"/>
          <w:szCs w:val="20"/>
          <w:i w:val="1"/>
          <w:iCs w:val="1"/>
          <w:color w:val="3E3935"/>
        </w:rPr>
      </w:pPr>
    </w:p>
    <w:p>
      <w:pPr>
        <w:jc w:val="both"/>
        <w:ind w:left="660" w:right="20" w:hanging="544"/>
        <w:spacing w:after="0" w:line="232" w:lineRule="auto"/>
        <w:tabs>
          <w:tab w:leader="none" w:pos="660" w:val="left"/>
        </w:tabs>
        <w:numPr>
          <w:ilvl w:val="0"/>
          <w:numId w:val="132"/>
        </w:numPr>
        <w:rPr>
          <w:rFonts w:ascii="Arial" w:cs="Arial" w:eastAsia="Arial" w:hAnsi="Arial"/>
          <w:sz w:val="20"/>
          <w:szCs w:val="20"/>
          <w:i w:val="1"/>
          <w:iCs w:val="1"/>
          <w:color w:val="3E3935"/>
        </w:rPr>
      </w:pPr>
      <w:r>
        <w:rPr>
          <w:rFonts w:ascii="Arial" w:cs="Arial" w:eastAsia="Arial" w:hAnsi="Arial"/>
          <w:sz w:val="20"/>
          <w:szCs w:val="20"/>
          <w:i w:val="1"/>
          <w:iCs w:val="1"/>
          <w:color w:val="3E3935"/>
        </w:rPr>
        <w:t>The present value of the SRP benefit amount shown takes into consideration the ability to elect a joint and survivor annuity form of payment as well as the ability to elect to receive the annuity as a lump sum. For SRP and DB ERP benefits, the present value represents the value of the benefit payable at age 60 (or immediately if over age 60). Present values shown here are based on the mortality and discount rate assumptions used in the December 31, 2022, FASB ASC Topic 715, “Compensation-Retirement Benefits,” except where needed to meet proxy statement requirements. The discount rates used for calculations as of December 31, 2022, for the SRP is 5.54%; for the DB ERP is 5.41%; and for the GM Canada Salaried Plan is 5.19%.</w:t>
      </w:r>
    </w:p>
    <w:p>
      <w:pPr>
        <w:spacing w:after="0" w:line="36" w:lineRule="exact"/>
        <w:rPr>
          <w:rFonts w:ascii="Arial" w:cs="Arial" w:eastAsia="Arial" w:hAnsi="Arial"/>
          <w:sz w:val="20"/>
          <w:szCs w:val="20"/>
          <w:i w:val="1"/>
          <w:iCs w:val="1"/>
          <w:color w:val="3E3935"/>
        </w:rPr>
      </w:pPr>
    </w:p>
    <w:p>
      <w:pPr>
        <w:ind w:left="660" w:hanging="544"/>
        <w:spacing w:after="0"/>
        <w:tabs>
          <w:tab w:leader="none" w:pos="660" w:val="left"/>
        </w:tabs>
        <w:numPr>
          <w:ilvl w:val="0"/>
          <w:numId w:val="132"/>
        </w:numPr>
        <w:rPr>
          <w:rFonts w:ascii="Arial" w:cs="Arial" w:eastAsia="Arial" w:hAnsi="Arial"/>
          <w:sz w:val="20"/>
          <w:szCs w:val="20"/>
          <w:i w:val="1"/>
          <w:iCs w:val="1"/>
          <w:color w:val="3E3935"/>
        </w:rPr>
      </w:pPr>
      <w:r>
        <w:rPr>
          <w:rFonts w:ascii="Arial" w:cs="Arial" w:eastAsia="Arial" w:hAnsi="Arial"/>
          <w:sz w:val="20"/>
          <w:szCs w:val="20"/>
          <w:i w:val="1"/>
          <w:iCs w:val="1"/>
          <w:color w:val="3E3935"/>
        </w:rPr>
        <w:t>Mr. Jacobson is only eligible to participate in DC plans offered by the Company based on his date of service.</w:t>
      </w:r>
    </w:p>
    <w:p>
      <w:pPr>
        <w:spacing w:after="0" w:line="67" w:lineRule="exact"/>
        <w:rPr>
          <w:rFonts w:ascii="Arial" w:cs="Arial" w:eastAsia="Arial" w:hAnsi="Arial"/>
          <w:sz w:val="20"/>
          <w:szCs w:val="20"/>
          <w:i w:val="1"/>
          <w:iCs w:val="1"/>
          <w:color w:val="3E3935"/>
        </w:rPr>
      </w:pPr>
    </w:p>
    <w:p>
      <w:pPr>
        <w:ind w:left="660" w:hanging="544"/>
        <w:spacing w:after="0"/>
        <w:tabs>
          <w:tab w:leader="none" w:pos="660" w:val="left"/>
        </w:tabs>
        <w:numPr>
          <w:ilvl w:val="0"/>
          <w:numId w:val="132"/>
        </w:numPr>
        <w:rPr>
          <w:rFonts w:ascii="Arial" w:cs="Arial" w:eastAsia="Arial" w:hAnsi="Arial"/>
          <w:sz w:val="20"/>
          <w:szCs w:val="20"/>
          <w:i w:val="1"/>
          <w:iCs w:val="1"/>
          <w:color w:val="3E3935"/>
        </w:rPr>
      </w:pPr>
      <w:r>
        <w:rPr>
          <w:rFonts w:ascii="Arial" w:cs="Arial" w:eastAsia="Arial" w:hAnsi="Arial"/>
          <w:sz w:val="20"/>
          <w:szCs w:val="20"/>
          <w:i w:val="1"/>
          <w:iCs w:val="1"/>
          <w:color w:val="3E3935"/>
        </w:rPr>
        <w:t>Mr. Carlisle is a participant in the GM Canada Salaried Plan due to his service with GM Canada.</w:t>
      </w:r>
    </w:p>
    <w:p>
      <w:pPr>
        <w:spacing w:after="0" w:line="260" w:lineRule="exact"/>
        <w:rPr>
          <w:sz w:val="20"/>
          <w:szCs w:val="20"/>
          <w:color w:val="auto"/>
        </w:rPr>
      </w:pPr>
    </w:p>
    <w:p>
      <w:pPr>
        <w:ind w:left="120"/>
        <w:spacing w:after="0"/>
        <w:rPr>
          <w:sz w:val="20"/>
          <w:szCs w:val="20"/>
          <w:color w:val="auto"/>
        </w:rPr>
      </w:pPr>
      <w:r>
        <w:rPr>
          <w:rFonts w:ascii="Arial" w:cs="Arial" w:eastAsia="Arial" w:hAnsi="Arial"/>
          <w:sz w:val="31"/>
          <w:szCs w:val="31"/>
          <w:color w:val="3E3935"/>
        </w:rPr>
        <w:t>Nonqualified Deferred Compensation Plan</w:t>
      </w:r>
    </w:p>
    <w:p>
      <w:pPr>
        <w:spacing w:after="0" w:line="166" w:lineRule="exact"/>
        <w:rPr>
          <w:sz w:val="20"/>
          <w:szCs w:val="20"/>
          <w:color w:val="auto"/>
        </w:rPr>
      </w:pPr>
    </w:p>
    <w:p>
      <w:pPr>
        <w:ind w:left="120"/>
        <w:spacing w:after="0"/>
        <w:rPr>
          <w:sz w:val="20"/>
          <w:szCs w:val="20"/>
          <w:color w:val="auto"/>
        </w:rPr>
      </w:pPr>
      <w:r>
        <w:rPr>
          <w:rFonts w:ascii="Arial" w:cs="Arial" w:eastAsia="Arial" w:hAnsi="Arial"/>
          <w:sz w:val="20"/>
          <w:szCs w:val="20"/>
          <w:color w:val="3E3935"/>
        </w:rPr>
        <w:t>We maintain certain deferred compensation programs and arrangements for executives.</w:t>
      </w:r>
    </w:p>
    <w:p>
      <w:pPr>
        <w:spacing w:after="0" w:line="121" w:lineRule="exact"/>
        <w:rPr>
          <w:sz w:val="20"/>
          <w:szCs w:val="20"/>
          <w:color w:val="auto"/>
        </w:rPr>
      </w:pPr>
    </w:p>
    <w:p>
      <w:pPr>
        <w:jc w:val="both"/>
        <w:ind w:left="120" w:right="20"/>
        <w:spacing w:after="0" w:line="234" w:lineRule="auto"/>
        <w:rPr>
          <w:sz w:val="20"/>
          <w:szCs w:val="20"/>
          <w:color w:val="auto"/>
        </w:rPr>
      </w:pPr>
      <w:r>
        <w:rPr>
          <w:rFonts w:ascii="Arial" w:cs="Arial" w:eastAsia="Arial" w:hAnsi="Arial"/>
          <w:sz w:val="20"/>
          <w:szCs w:val="20"/>
          <w:color w:val="3E3935"/>
        </w:rPr>
        <w:t>The DC ERP allows for the equalization of benefits for highly compensated salaried employees under the Retirement Savings Plan when such employees’ contribution and benefit levels exceed the maximum limitations on contributions and benefits imposed by Section 2004 of Employment Retirement Income Security Act of 1974, commonly known as ERISA, as amended, and Sections 401(a)(17) and 415(c)(1)(A) of the IRC, as amended. The DC ERP is maintained as an unfunded plan, and we bear all expenses for administration of the plan and payment of amounts to participants.</w:t>
      </w:r>
    </w:p>
    <w:p>
      <w:pPr>
        <w:spacing w:after="0" w:line="120" w:lineRule="exact"/>
        <w:rPr>
          <w:sz w:val="20"/>
          <w:szCs w:val="20"/>
          <w:color w:val="auto"/>
        </w:rPr>
      </w:pPr>
    </w:p>
    <w:p>
      <w:pPr>
        <w:ind w:left="120"/>
        <w:spacing w:after="0"/>
        <w:rPr>
          <w:sz w:val="20"/>
          <w:szCs w:val="20"/>
          <w:color w:val="auto"/>
        </w:rPr>
      </w:pPr>
      <w:r>
        <w:rPr>
          <w:rFonts w:ascii="Arial" w:cs="Arial" w:eastAsia="Arial" w:hAnsi="Arial"/>
          <w:sz w:val="14"/>
          <w:szCs w:val="14"/>
          <w:color w:val="0071CE"/>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wp:posOffset>
            </wp:positionH>
            <wp:positionV relativeFrom="paragraph">
              <wp:posOffset>-95885</wp:posOffset>
            </wp:positionV>
            <wp:extent cx="5983605" cy="10287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5983605" cy="102870"/>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6" w:lineRule="exact"/>
        <w:rPr>
          <w:sz w:val="20"/>
          <w:szCs w:val="20"/>
          <w:color w:val="auto"/>
        </w:rPr>
      </w:pPr>
    </w:p>
    <w:p>
      <w:pPr>
        <w:jc w:val="both"/>
        <w:ind w:left="120"/>
        <w:spacing w:after="0" w:line="233" w:lineRule="auto"/>
        <w:rPr>
          <w:sz w:val="20"/>
          <w:szCs w:val="20"/>
          <w:color w:val="auto"/>
        </w:rPr>
      </w:pPr>
      <w:r>
        <w:rPr>
          <w:rFonts w:ascii="Arial" w:cs="Arial" w:eastAsia="Arial" w:hAnsi="Arial"/>
          <w:sz w:val="20"/>
          <w:szCs w:val="20"/>
          <w:color w:val="3E3935"/>
        </w:rPr>
        <w:t>Aggregate account balances disclosed below include both vested and unvested contributions made by the Company. Contributions made prior to 2007 vested immediately. Contributions made between January 1, 2007, and September 30, 2012, vest when the participant attains age 55 with 10 years of service, and the benefit is payable as a five-year certain annuity with payments starting upon the retirement of the executive and continuing for 60 months. Contributions made on or after October 1, 2012, vest when the participant attains three years of service, regardless of age, and the benefit is payable as a 100 percent lump sum upon the retirement of the executive.</w:t>
      </w:r>
    </w:p>
    <w:p>
      <w:pPr>
        <w:spacing w:after="0" w:line="105" w:lineRule="exact"/>
        <w:rPr>
          <w:sz w:val="20"/>
          <w:szCs w:val="20"/>
          <w:color w:val="auto"/>
        </w:rPr>
      </w:pPr>
    </w:p>
    <w:p>
      <w:pPr>
        <w:jc w:val="both"/>
        <w:ind w:left="120" w:right="20"/>
        <w:spacing w:after="0" w:line="257" w:lineRule="auto"/>
        <w:rPr>
          <w:sz w:val="20"/>
          <w:szCs w:val="20"/>
          <w:color w:val="auto"/>
        </w:rPr>
      </w:pPr>
      <w:r>
        <w:rPr>
          <w:rFonts w:ascii="Arial" w:cs="Arial" w:eastAsia="Arial" w:hAnsi="Arial"/>
          <w:sz w:val="20"/>
          <w:szCs w:val="20"/>
          <w:color w:val="3E3935"/>
        </w:rPr>
        <w:t>The table below reflects December 31, 2022, balances for the nonqualified deferred compensation plan and any contributions, earnings, or withdrawals during the year.</w:t>
      </w:r>
    </w:p>
    <w:p>
      <w:pPr>
        <w:spacing w:after="0" w:line="184" w:lineRule="exact"/>
        <w:rPr>
          <w:sz w:val="20"/>
          <w:szCs w:val="20"/>
          <w:color w:val="auto"/>
        </w:rPr>
      </w:pPr>
    </w:p>
    <w:tbl>
      <w:tblPr>
        <w:tblLayout w:type="fixed"/>
        <w:tblInd w:w="120" w:type="dxa"/>
        <w:tblCellMar>
          <w:top w:w="0" w:type="dxa"/>
          <w:left w:w="0" w:type="dxa"/>
          <w:bottom w:w="0" w:type="dxa"/>
          <w:right w:w="0" w:type="dxa"/>
        </w:tblCellMar>
      </w:tblPr>
      <w:tr>
        <w:trPr>
          <w:trHeight w:val="219"/>
        </w:trPr>
        <w:tc>
          <w:tcPr>
            <w:tcW w:w="2140" w:type="dxa"/>
            <w:vAlign w:val="bottom"/>
            <w:tcBorders>
              <w:top w:val="single" w:sz="8" w:color="00C1DE"/>
            </w:tcBorders>
          </w:tcPr>
          <w:p>
            <w:pPr>
              <w:spacing w:after="0"/>
              <w:rPr>
                <w:sz w:val="19"/>
                <w:szCs w:val="19"/>
                <w:color w:val="auto"/>
              </w:rPr>
            </w:pPr>
          </w:p>
        </w:tc>
        <w:tc>
          <w:tcPr>
            <w:tcW w:w="1260" w:type="dxa"/>
            <w:vAlign w:val="bottom"/>
            <w:tcBorders>
              <w:top w:val="single" w:sz="8" w:color="00C1DE"/>
            </w:tcBorders>
          </w:tcPr>
          <w:p>
            <w:pPr>
              <w:spacing w:after="0"/>
              <w:rPr>
                <w:sz w:val="19"/>
                <w:szCs w:val="19"/>
                <w:color w:val="auto"/>
              </w:rPr>
            </w:pPr>
          </w:p>
        </w:tc>
        <w:tc>
          <w:tcPr>
            <w:tcW w:w="1600" w:type="dxa"/>
            <w:vAlign w:val="bottom"/>
            <w:tcBorders>
              <w:top w:val="single" w:sz="8" w:color="00C1DE"/>
            </w:tcBorders>
          </w:tcPr>
          <w:p>
            <w:pPr>
              <w:jc w:val="right"/>
              <w:ind w:right="61"/>
              <w:spacing w:after="0" w:line="219" w:lineRule="exact"/>
              <w:rPr>
                <w:sz w:val="20"/>
                <w:szCs w:val="20"/>
                <w:color w:val="auto"/>
              </w:rPr>
            </w:pPr>
            <w:r>
              <w:rPr>
                <w:rFonts w:ascii="Arial" w:cs="Arial" w:eastAsia="Arial" w:hAnsi="Arial"/>
                <w:sz w:val="20"/>
                <w:szCs w:val="20"/>
                <w:b w:val="1"/>
                <w:bCs w:val="1"/>
                <w:color w:val="00C1DE"/>
              </w:rPr>
              <w:t>Executive</w:t>
            </w:r>
          </w:p>
        </w:tc>
        <w:tc>
          <w:tcPr>
            <w:tcW w:w="1600" w:type="dxa"/>
            <w:vAlign w:val="bottom"/>
            <w:tcBorders>
              <w:top w:val="single" w:sz="8" w:color="00C1DE"/>
            </w:tcBorders>
          </w:tcPr>
          <w:p>
            <w:pPr>
              <w:jc w:val="right"/>
              <w:ind w:right="62"/>
              <w:spacing w:after="0" w:line="219" w:lineRule="exact"/>
              <w:rPr>
                <w:sz w:val="20"/>
                <w:szCs w:val="20"/>
                <w:color w:val="auto"/>
              </w:rPr>
            </w:pPr>
            <w:r>
              <w:rPr>
                <w:rFonts w:ascii="Arial" w:cs="Arial" w:eastAsia="Arial" w:hAnsi="Arial"/>
                <w:sz w:val="20"/>
                <w:szCs w:val="20"/>
                <w:b w:val="1"/>
                <w:bCs w:val="1"/>
                <w:color w:val="00C1DE"/>
              </w:rPr>
              <w:t>Registrant</w:t>
            </w:r>
          </w:p>
        </w:tc>
        <w:tc>
          <w:tcPr>
            <w:tcW w:w="1600" w:type="dxa"/>
            <w:vAlign w:val="bottom"/>
            <w:tcBorders>
              <w:top w:val="single" w:sz="8" w:color="00C1DE"/>
            </w:tcBorders>
          </w:tcPr>
          <w:p>
            <w:pPr>
              <w:jc w:val="right"/>
              <w:ind w:right="122"/>
              <w:spacing w:after="0" w:line="219" w:lineRule="exact"/>
              <w:rPr>
                <w:sz w:val="20"/>
                <w:szCs w:val="20"/>
                <w:color w:val="auto"/>
              </w:rPr>
            </w:pPr>
            <w:r>
              <w:rPr>
                <w:rFonts w:ascii="Arial" w:cs="Arial" w:eastAsia="Arial" w:hAnsi="Arial"/>
                <w:sz w:val="20"/>
                <w:szCs w:val="20"/>
                <w:b w:val="1"/>
                <w:bCs w:val="1"/>
                <w:color w:val="00C1DE"/>
              </w:rPr>
              <w:t>Aggregate</w:t>
            </w:r>
          </w:p>
        </w:tc>
        <w:tc>
          <w:tcPr>
            <w:tcW w:w="1520" w:type="dxa"/>
            <w:vAlign w:val="bottom"/>
            <w:tcBorders>
              <w:top w:val="single" w:sz="8" w:color="00C1DE"/>
            </w:tcBorders>
          </w:tcPr>
          <w:p>
            <w:pPr>
              <w:jc w:val="right"/>
              <w:ind w:right="61"/>
              <w:spacing w:after="0" w:line="219" w:lineRule="exact"/>
              <w:rPr>
                <w:sz w:val="20"/>
                <w:szCs w:val="20"/>
                <w:color w:val="auto"/>
              </w:rPr>
            </w:pPr>
            <w:r>
              <w:rPr>
                <w:rFonts w:ascii="Arial" w:cs="Arial" w:eastAsia="Arial" w:hAnsi="Arial"/>
                <w:sz w:val="20"/>
                <w:szCs w:val="20"/>
                <w:b w:val="1"/>
                <w:bCs w:val="1"/>
                <w:color w:val="00C1DE"/>
              </w:rPr>
              <w:t>Aggregate</w:t>
            </w:r>
          </w:p>
        </w:tc>
        <w:tc>
          <w:tcPr>
            <w:tcW w:w="1300" w:type="dxa"/>
            <w:vAlign w:val="bottom"/>
            <w:tcBorders>
              <w:top w:val="single" w:sz="8" w:color="00C1DE"/>
            </w:tcBorders>
          </w:tcPr>
          <w:p>
            <w:pPr>
              <w:jc w:val="right"/>
              <w:spacing w:after="0" w:line="219" w:lineRule="exact"/>
              <w:rPr>
                <w:sz w:val="20"/>
                <w:szCs w:val="20"/>
                <w:color w:val="auto"/>
              </w:rPr>
            </w:pPr>
            <w:r>
              <w:rPr>
                <w:rFonts w:ascii="Arial" w:cs="Arial" w:eastAsia="Arial" w:hAnsi="Arial"/>
                <w:sz w:val="20"/>
                <w:szCs w:val="20"/>
                <w:b w:val="1"/>
                <w:bCs w:val="1"/>
                <w:color w:val="00C1DE"/>
              </w:rPr>
              <w:t>Aggregate</w:t>
            </w:r>
          </w:p>
        </w:tc>
      </w:tr>
      <w:tr>
        <w:trPr>
          <w:trHeight w:val="216"/>
        </w:trPr>
        <w:tc>
          <w:tcPr>
            <w:tcW w:w="2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0" w:type="dxa"/>
            <w:vAlign w:val="bottom"/>
          </w:tcPr>
          <w:p>
            <w:pPr>
              <w:jc w:val="right"/>
              <w:ind w:right="61"/>
              <w:spacing w:after="0" w:line="216" w:lineRule="exact"/>
              <w:rPr>
                <w:sz w:val="20"/>
                <w:szCs w:val="20"/>
                <w:color w:val="auto"/>
              </w:rPr>
            </w:pPr>
            <w:r>
              <w:rPr>
                <w:rFonts w:ascii="Arial" w:cs="Arial" w:eastAsia="Arial" w:hAnsi="Arial"/>
                <w:sz w:val="20"/>
                <w:szCs w:val="20"/>
                <w:b w:val="1"/>
                <w:bCs w:val="1"/>
                <w:color w:val="00C1DE"/>
              </w:rPr>
              <w:t>Contributions</w:t>
            </w:r>
          </w:p>
        </w:tc>
        <w:tc>
          <w:tcPr>
            <w:tcW w:w="1600" w:type="dxa"/>
            <w:vAlign w:val="bottom"/>
          </w:tcPr>
          <w:p>
            <w:pPr>
              <w:jc w:val="right"/>
              <w:ind w:right="62"/>
              <w:spacing w:after="0" w:line="216" w:lineRule="exact"/>
              <w:rPr>
                <w:sz w:val="20"/>
                <w:szCs w:val="20"/>
                <w:color w:val="auto"/>
              </w:rPr>
            </w:pPr>
            <w:r>
              <w:rPr>
                <w:rFonts w:ascii="Arial" w:cs="Arial" w:eastAsia="Arial" w:hAnsi="Arial"/>
                <w:sz w:val="20"/>
                <w:szCs w:val="20"/>
                <w:b w:val="1"/>
                <w:bCs w:val="1"/>
                <w:color w:val="00C1DE"/>
              </w:rPr>
              <w:t>Contributions</w:t>
            </w:r>
          </w:p>
        </w:tc>
        <w:tc>
          <w:tcPr>
            <w:tcW w:w="1600" w:type="dxa"/>
            <w:vAlign w:val="bottom"/>
          </w:tcPr>
          <w:p>
            <w:pPr>
              <w:jc w:val="right"/>
              <w:ind w:right="122"/>
              <w:spacing w:after="0" w:line="216" w:lineRule="exact"/>
              <w:rPr>
                <w:sz w:val="20"/>
                <w:szCs w:val="20"/>
                <w:color w:val="auto"/>
              </w:rPr>
            </w:pPr>
            <w:r>
              <w:rPr>
                <w:rFonts w:ascii="Arial" w:cs="Arial" w:eastAsia="Arial" w:hAnsi="Arial"/>
                <w:sz w:val="20"/>
                <w:szCs w:val="20"/>
                <w:b w:val="1"/>
                <w:bCs w:val="1"/>
                <w:color w:val="00C1DE"/>
              </w:rPr>
              <w:t>Earnings</w:t>
            </w:r>
          </w:p>
        </w:tc>
        <w:tc>
          <w:tcPr>
            <w:tcW w:w="1520" w:type="dxa"/>
            <w:vAlign w:val="bottom"/>
          </w:tcPr>
          <w:p>
            <w:pPr>
              <w:jc w:val="right"/>
              <w:ind w:right="61"/>
              <w:spacing w:after="0" w:line="216" w:lineRule="exact"/>
              <w:rPr>
                <w:sz w:val="20"/>
                <w:szCs w:val="20"/>
                <w:color w:val="auto"/>
              </w:rPr>
            </w:pPr>
            <w:r>
              <w:rPr>
                <w:rFonts w:ascii="Arial" w:cs="Arial" w:eastAsia="Arial" w:hAnsi="Arial"/>
                <w:sz w:val="20"/>
                <w:szCs w:val="20"/>
                <w:b w:val="1"/>
                <w:bCs w:val="1"/>
                <w:color w:val="00C1DE"/>
              </w:rPr>
              <w:t>Withdrawals</w:t>
            </w:r>
          </w:p>
        </w:tc>
        <w:tc>
          <w:tcPr>
            <w:tcW w:w="1300" w:type="dxa"/>
            <w:vAlign w:val="bottom"/>
          </w:tcPr>
          <w:p>
            <w:pPr>
              <w:jc w:val="right"/>
              <w:spacing w:after="0" w:line="216" w:lineRule="exact"/>
              <w:rPr>
                <w:sz w:val="20"/>
                <w:szCs w:val="20"/>
                <w:color w:val="auto"/>
              </w:rPr>
            </w:pPr>
            <w:r>
              <w:rPr>
                <w:rFonts w:ascii="Arial" w:cs="Arial" w:eastAsia="Arial" w:hAnsi="Arial"/>
                <w:sz w:val="20"/>
                <w:szCs w:val="20"/>
                <w:b w:val="1"/>
                <w:bCs w:val="1"/>
                <w:color w:val="00C1DE"/>
              </w:rPr>
              <w:t>Balance at</w:t>
            </w:r>
          </w:p>
        </w:tc>
      </w:tr>
      <w:tr>
        <w:trPr>
          <w:trHeight w:val="216"/>
        </w:trPr>
        <w:tc>
          <w:tcPr>
            <w:tcW w:w="2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0" w:type="dxa"/>
            <w:vAlign w:val="bottom"/>
          </w:tcPr>
          <w:p>
            <w:pPr>
              <w:jc w:val="right"/>
              <w:ind w:right="61"/>
              <w:spacing w:after="0" w:line="216" w:lineRule="exact"/>
              <w:rPr>
                <w:sz w:val="20"/>
                <w:szCs w:val="20"/>
                <w:color w:val="auto"/>
              </w:rPr>
            </w:pPr>
            <w:r>
              <w:rPr>
                <w:rFonts w:ascii="Arial" w:cs="Arial" w:eastAsia="Arial" w:hAnsi="Arial"/>
                <w:sz w:val="20"/>
                <w:szCs w:val="20"/>
                <w:b w:val="1"/>
                <w:bCs w:val="1"/>
                <w:color w:val="00C1DE"/>
              </w:rPr>
              <w:t>in the Last</w:t>
            </w:r>
          </w:p>
        </w:tc>
        <w:tc>
          <w:tcPr>
            <w:tcW w:w="1600" w:type="dxa"/>
            <w:vAlign w:val="bottom"/>
          </w:tcPr>
          <w:p>
            <w:pPr>
              <w:jc w:val="right"/>
              <w:ind w:right="62"/>
              <w:spacing w:after="0" w:line="216" w:lineRule="exact"/>
              <w:rPr>
                <w:sz w:val="20"/>
                <w:szCs w:val="20"/>
                <w:color w:val="auto"/>
              </w:rPr>
            </w:pPr>
            <w:r>
              <w:rPr>
                <w:rFonts w:ascii="Arial" w:cs="Arial" w:eastAsia="Arial" w:hAnsi="Arial"/>
                <w:sz w:val="20"/>
                <w:szCs w:val="20"/>
                <w:b w:val="1"/>
                <w:bCs w:val="1"/>
                <w:color w:val="00C1DE"/>
              </w:rPr>
              <w:t>in the Last</w:t>
            </w:r>
          </w:p>
        </w:tc>
        <w:tc>
          <w:tcPr>
            <w:tcW w:w="1600" w:type="dxa"/>
            <w:vAlign w:val="bottom"/>
          </w:tcPr>
          <w:p>
            <w:pPr>
              <w:jc w:val="right"/>
              <w:ind w:right="122"/>
              <w:spacing w:after="0" w:line="216" w:lineRule="exact"/>
              <w:rPr>
                <w:sz w:val="20"/>
                <w:szCs w:val="20"/>
                <w:color w:val="auto"/>
              </w:rPr>
            </w:pPr>
            <w:r>
              <w:rPr>
                <w:rFonts w:ascii="Arial" w:cs="Arial" w:eastAsia="Arial" w:hAnsi="Arial"/>
                <w:sz w:val="20"/>
                <w:szCs w:val="20"/>
                <w:b w:val="1"/>
                <w:bCs w:val="1"/>
                <w:color w:val="00C1DE"/>
              </w:rPr>
              <w:t>in the Last</w:t>
            </w:r>
          </w:p>
        </w:tc>
        <w:tc>
          <w:tcPr>
            <w:tcW w:w="1520" w:type="dxa"/>
            <w:vAlign w:val="bottom"/>
          </w:tcPr>
          <w:p>
            <w:pPr>
              <w:jc w:val="right"/>
              <w:ind w:right="61"/>
              <w:spacing w:after="0" w:line="216" w:lineRule="exact"/>
              <w:rPr>
                <w:sz w:val="20"/>
                <w:szCs w:val="20"/>
                <w:color w:val="auto"/>
              </w:rPr>
            </w:pPr>
            <w:r>
              <w:rPr>
                <w:rFonts w:ascii="Arial" w:cs="Arial" w:eastAsia="Arial" w:hAnsi="Arial"/>
                <w:sz w:val="20"/>
                <w:szCs w:val="20"/>
                <w:b w:val="1"/>
                <w:bCs w:val="1"/>
                <w:color w:val="00C1DE"/>
              </w:rPr>
              <w:t>and</w:t>
            </w:r>
          </w:p>
        </w:tc>
        <w:tc>
          <w:tcPr>
            <w:tcW w:w="1300" w:type="dxa"/>
            <w:vAlign w:val="bottom"/>
          </w:tcPr>
          <w:p>
            <w:pPr>
              <w:jc w:val="right"/>
              <w:spacing w:after="0" w:line="216" w:lineRule="exact"/>
              <w:rPr>
                <w:sz w:val="20"/>
                <w:szCs w:val="20"/>
                <w:color w:val="auto"/>
              </w:rPr>
            </w:pPr>
            <w:r>
              <w:rPr>
                <w:rFonts w:ascii="Arial" w:cs="Arial" w:eastAsia="Arial" w:hAnsi="Arial"/>
                <w:sz w:val="20"/>
                <w:szCs w:val="20"/>
                <w:b w:val="1"/>
                <w:bCs w:val="1"/>
                <w:color w:val="00C1DE"/>
              </w:rPr>
              <w:t>2022 Fiscal</w:t>
            </w:r>
          </w:p>
        </w:tc>
      </w:tr>
      <w:tr>
        <w:trPr>
          <w:trHeight w:val="216"/>
        </w:trPr>
        <w:tc>
          <w:tcPr>
            <w:tcW w:w="2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0" w:type="dxa"/>
            <w:vAlign w:val="bottom"/>
          </w:tcPr>
          <w:p>
            <w:pPr>
              <w:jc w:val="right"/>
              <w:ind w:right="61"/>
              <w:spacing w:after="0" w:line="216" w:lineRule="exact"/>
              <w:rPr>
                <w:sz w:val="20"/>
                <w:szCs w:val="20"/>
                <w:color w:val="auto"/>
              </w:rPr>
            </w:pPr>
            <w:r>
              <w:rPr>
                <w:rFonts w:ascii="Arial" w:cs="Arial" w:eastAsia="Arial" w:hAnsi="Arial"/>
                <w:sz w:val="20"/>
                <w:szCs w:val="20"/>
                <w:b w:val="1"/>
                <w:bCs w:val="1"/>
                <w:color w:val="00C1DE"/>
              </w:rPr>
              <w:t>Fiscal Year</w:t>
            </w:r>
          </w:p>
        </w:tc>
        <w:tc>
          <w:tcPr>
            <w:tcW w:w="1600" w:type="dxa"/>
            <w:vAlign w:val="bottom"/>
          </w:tcPr>
          <w:p>
            <w:pPr>
              <w:jc w:val="right"/>
              <w:ind w:right="62"/>
              <w:spacing w:after="0" w:line="216" w:lineRule="exact"/>
              <w:rPr>
                <w:sz w:val="20"/>
                <w:szCs w:val="20"/>
                <w:color w:val="auto"/>
              </w:rPr>
            </w:pPr>
            <w:r>
              <w:rPr>
                <w:rFonts w:ascii="Arial" w:cs="Arial" w:eastAsia="Arial" w:hAnsi="Arial"/>
                <w:sz w:val="17"/>
                <w:szCs w:val="17"/>
                <w:b w:val="1"/>
                <w:bCs w:val="1"/>
                <w:color w:val="00C1DE"/>
              </w:rPr>
              <w:t>Fiscal Year</w:t>
            </w:r>
            <w:r>
              <w:rPr>
                <w:rFonts w:ascii="Arial" w:cs="Arial" w:eastAsia="Arial" w:hAnsi="Arial"/>
                <w:sz w:val="25"/>
                <w:szCs w:val="25"/>
                <w:b w:val="1"/>
                <w:bCs w:val="1"/>
                <w:color w:val="00C1DE"/>
                <w:vertAlign w:val="superscript"/>
              </w:rPr>
              <w:t>(1)</w:t>
            </w:r>
          </w:p>
        </w:tc>
        <w:tc>
          <w:tcPr>
            <w:tcW w:w="1600" w:type="dxa"/>
            <w:vAlign w:val="bottom"/>
          </w:tcPr>
          <w:p>
            <w:pPr>
              <w:jc w:val="right"/>
              <w:ind w:right="122"/>
              <w:spacing w:after="0" w:line="216" w:lineRule="exact"/>
              <w:rPr>
                <w:sz w:val="20"/>
                <w:szCs w:val="20"/>
                <w:color w:val="auto"/>
              </w:rPr>
            </w:pPr>
            <w:r>
              <w:rPr>
                <w:rFonts w:ascii="Arial" w:cs="Arial" w:eastAsia="Arial" w:hAnsi="Arial"/>
                <w:sz w:val="17"/>
                <w:szCs w:val="17"/>
                <w:b w:val="1"/>
                <w:bCs w:val="1"/>
                <w:color w:val="00C1DE"/>
              </w:rPr>
              <w:t>Fiscal Year</w:t>
            </w:r>
            <w:r>
              <w:rPr>
                <w:rFonts w:ascii="Arial" w:cs="Arial" w:eastAsia="Arial" w:hAnsi="Arial"/>
                <w:sz w:val="25"/>
                <w:szCs w:val="25"/>
                <w:b w:val="1"/>
                <w:bCs w:val="1"/>
                <w:color w:val="00C1DE"/>
                <w:vertAlign w:val="superscript"/>
              </w:rPr>
              <w:t>(2)</w:t>
            </w:r>
          </w:p>
        </w:tc>
        <w:tc>
          <w:tcPr>
            <w:tcW w:w="1520" w:type="dxa"/>
            <w:vAlign w:val="bottom"/>
          </w:tcPr>
          <w:p>
            <w:pPr>
              <w:jc w:val="right"/>
              <w:ind w:right="61"/>
              <w:spacing w:after="0" w:line="216" w:lineRule="exact"/>
              <w:rPr>
                <w:sz w:val="20"/>
                <w:szCs w:val="20"/>
                <w:color w:val="auto"/>
              </w:rPr>
            </w:pPr>
            <w:r>
              <w:rPr>
                <w:rFonts w:ascii="Arial" w:cs="Arial" w:eastAsia="Arial" w:hAnsi="Arial"/>
                <w:sz w:val="20"/>
                <w:szCs w:val="20"/>
                <w:b w:val="1"/>
                <w:bCs w:val="1"/>
                <w:color w:val="00C1DE"/>
              </w:rPr>
              <w:t>Distributions</w:t>
            </w:r>
          </w:p>
        </w:tc>
        <w:tc>
          <w:tcPr>
            <w:tcW w:w="1300" w:type="dxa"/>
            <w:vAlign w:val="bottom"/>
          </w:tcPr>
          <w:p>
            <w:pPr>
              <w:jc w:val="right"/>
              <w:spacing w:after="0" w:line="216" w:lineRule="exact"/>
              <w:rPr>
                <w:sz w:val="20"/>
                <w:szCs w:val="20"/>
                <w:color w:val="auto"/>
              </w:rPr>
            </w:pPr>
            <w:r>
              <w:rPr>
                <w:rFonts w:ascii="Arial" w:cs="Arial" w:eastAsia="Arial" w:hAnsi="Arial"/>
                <w:sz w:val="17"/>
                <w:szCs w:val="17"/>
                <w:b w:val="1"/>
                <w:bCs w:val="1"/>
                <w:color w:val="00C1DE"/>
              </w:rPr>
              <w:t>Year End</w:t>
            </w:r>
            <w:r>
              <w:rPr>
                <w:rFonts w:ascii="Arial" w:cs="Arial" w:eastAsia="Arial" w:hAnsi="Arial"/>
                <w:sz w:val="25"/>
                <w:szCs w:val="25"/>
                <w:b w:val="1"/>
                <w:bCs w:val="1"/>
                <w:color w:val="00C1DE"/>
                <w:vertAlign w:val="superscript"/>
              </w:rPr>
              <w:t>(3)</w:t>
            </w:r>
          </w:p>
        </w:tc>
      </w:tr>
      <w:tr>
        <w:trPr>
          <w:trHeight w:val="280"/>
        </w:trPr>
        <w:tc>
          <w:tcPr>
            <w:tcW w:w="2140" w:type="dxa"/>
            <w:vAlign w:val="bottom"/>
            <w:tcBorders>
              <w:bottom w:val="single" w:sz="8" w:color="00C1DE"/>
            </w:tcBorders>
          </w:tcPr>
          <w:p>
            <w:pPr>
              <w:ind w:left="100"/>
              <w:spacing w:after="0"/>
              <w:rPr>
                <w:sz w:val="20"/>
                <w:szCs w:val="20"/>
                <w:color w:val="auto"/>
              </w:rPr>
            </w:pPr>
            <w:r>
              <w:rPr>
                <w:rFonts w:ascii="Arial" w:cs="Arial" w:eastAsia="Arial" w:hAnsi="Arial"/>
                <w:sz w:val="20"/>
                <w:szCs w:val="20"/>
                <w:b w:val="1"/>
                <w:bCs w:val="1"/>
                <w:color w:val="00C1DE"/>
              </w:rPr>
              <w:t>Name</w:t>
            </w:r>
          </w:p>
        </w:tc>
        <w:tc>
          <w:tcPr>
            <w:tcW w:w="1260" w:type="dxa"/>
            <w:vAlign w:val="bottom"/>
            <w:tcBorders>
              <w:bottom w:val="single" w:sz="8" w:color="00C1DE"/>
            </w:tcBorders>
          </w:tcPr>
          <w:p>
            <w:pPr>
              <w:jc w:val="right"/>
              <w:ind w:right="61"/>
              <w:spacing w:after="0"/>
              <w:rPr>
                <w:sz w:val="20"/>
                <w:szCs w:val="20"/>
                <w:color w:val="auto"/>
              </w:rPr>
            </w:pPr>
            <w:r>
              <w:rPr>
                <w:rFonts w:ascii="Arial" w:cs="Arial" w:eastAsia="Arial" w:hAnsi="Arial"/>
                <w:sz w:val="20"/>
                <w:szCs w:val="20"/>
                <w:b w:val="1"/>
                <w:bCs w:val="1"/>
                <w:color w:val="00C1DE"/>
              </w:rPr>
              <w:t>Plan</w:t>
            </w:r>
          </w:p>
        </w:tc>
        <w:tc>
          <w:tcPr>
            <w:tcW w:w="1600" w:type="dxa"/>
            <w:vAlign w:val="bottom"/>
            <w:tcBorders>
              <w:bottom w:val="single" w:sz="8" w:color="00C1DE"/>
            </w:tcBorders>
          </w:tcPr>
          <w:p>
            <w:pPr>
              <w:jc w:val="right"/>
              <w:ind w:right="61"/>
              <w:spacing w:after="0"/>
              <w:rPr>
                <w:sz w:val="20"/>
                <w:szCs w:val="20"/>
                <w:color w:val="auto"/>
              </w:rPr>
            </w:pPr>
            <w:r>
              <w:rPr>
                <w:rFonts w:ascii="Arial" w:cs="Arial" w:eastAsia="Arial" w:hAnsi="Arial"/>
                <w:sz w:val="20"/>
                <w:szCs w:val="20"/>
                <w:b w:val="1"/>
                <w:bCs w:val="1"/>
                <w:color w:val="00C1DE"/>
              </w:rPr>
              <w:t>($)</w:t>
            </w:r>
          </w:p>
        </w:tc>
        <w:tc>
          <w:tcPr>
            <w:tcW w:w="1600" w:type="dxa"/>
            <w:vAlign w:val="bottom"/>
            <w:tcBorders>
              <w:bottom w:val="single" w:sz="8" w:color="00C1DE"/>
            </w:tcBorders>
          </w:tcPr>
          <w:p>
            <w:pPr>
              <w:jc w:val="right"/>
              <w:ind w:right="62"/>
              <w:spacing w:after="0"/>
              <w:rPr>
                <w:sz w:val="20"/>
                <w:szCs w:val="20"/>
                <w:color w:val="auto"/>
              </w:rPr>
            </w:pPr>
            <w:r>
              <w:rPr>
                <w:rFonts w:ascii="Arial" w:cs="Arial" w:eastAsia="Arial" w:hAnsi="Arial"/>
                <w:sz w:val="20"/>
                <w:szCs w:val="20"/>
                <w:b w:val="1"/>
                <w:bCs w:val="1"/>
                <w:color w:val="00C1DE"/>
              </w:rPr>
              <w:t>($)</w:t>
            </w:r>
          </w:p>
        </w:tc>
        <w:tc>
          <w:tcPr>
            <w:tcW w:w="1600" w:type="dxa"/>
            <w:vAlign w:val="bottom"/>
            <w:tcBorders>
              <w:bottom w:val="single" w:sz="8" w:color="00C1DE"/>
            </w:tcBorders>
          </w:tcPr>
          <w:p>
            <w:pPr>
              <w:jc w:val="right"/>
              <w:ind w:right="122"/>
              <w:spacing w:after="0"/>
              <w:rPr>
                <w:sz w:val="20"/>
                <w:szCs w:val="20"/>
                <w:color w:val="auto"/>
              </w:rPr>
            </w:pPr>
            <w:r>
              <w:rPr>
                <w:rFonts w:ascii="Arial" w:cs="Arial" w:eastAsia="Arial" w:hAnsi="Arial"/>
                <w:sz w:val="20"/>
                <w:szCs w:val="20"/>
                <w:b w:val="1"/>
                <w:bCs w:val="1"/>
                <w:color w:val="00C1DE"/>
              </w:rPr>
              <w:t>($)</w:t>
            </w:r>
          </w:p>
        </w:tc>
        <w:tc>
          <w:tcPr>
            <w:tcW w:w="1520" w:type="dxa"/>
            <w:vAlign w:val="bottom"/>
            <w:tcBorders>
              <w:bottom w:val="single" w:sz="8" w:color="00C1DE"/>
            </w:tcBorders>
          </w:tcPr>
          <w:p>
            <w:pPr>
              <w:jc w:val="right"/>
              <w:ind w:right="61"/>
              <w:spacing w:after="0"/>
              <w:rPr>
                <w:sz w:val="20"/>
                <w:szCs w:val="20"/>
                <w:color w:val="auto"/>
              </w:rPr>
            </w:pPr>
            <w:r>
              <w:rPr>
                <w:rFonts w:ascii="Arial" w:cs="Arial" w:eastAsia="Arial" w:hAnsi="Arial"/>
                <w:sz w:val="20"/>
                <w:szCs w:val="20"/>
                <w:b w:val="1"/>
                <w:bCs w:val="1"/>
                <w:color w:val="00C1DE"/>
              </w:rPr>
              <w:t>($)</w:t>
            </w:r>
          </w:p>
        </w:tc>
        <w:tc>
          <w:tcPr>
            <w:tcW w:w="1300" w:type="dxa"/>
            <w:vAlign w:val="bottom"/>
            <w:tcBorders>
              <w:bottom w:val="single" w:sz="8" w:color="00C1DE"/>
            </w:tcBorders>
          </w:tcPr>
          <w:p>
            <w:pPr>
              <w:jc w:val="right"/>
              <w:spacing w:after="0"/>
              <w:rPr>
                <w:sz w:val="20"/>
                <w:szCs w:val="20"/>
                <w:color w:val="auto"/>
              </w:rPr>
            </w:pPr>
            <w:r>
              <w:rPr>
                <w:rFonts w:ascii="Arial" w:cs="Arial" w:eastAsia="Arial" w:hAnsi="Arial"/>
                <w:sz w:val="20"/>
                <w:szCs w:val="20"/>
                <w:b w:val="1"/>
                <w:bCs w:val="1"/>
                <w:color w:val="00C1DE"/>
              </w:rPr>
              <w:t>($)</w:t>
            </w:r>
          </w:p>
        </w:tc>
      </w:tr>
      <w:tr>
        <w:trPr>
          <w:trHeight w:val="301"/>
        </w:trPr>
        <w:tc>
          <w:tcPr>
            <w:tcW w:w="2140" w:type="dxa"/>
            <w:vAlign w:val="bottom"/>
          </w:tcPr>
          <w:p>
            <w:pPr>
              <w:ind w:left="80"/>
              <w:spacing w:after="0"/>
              <w:rPr>
                <w:sz w:val="20"/>
                <w:szCs w:val="20"/>
                <w:color w:val="auto"/>
              </w:rPr>
            </w:pPr>
            <w:r>
              <w:rPr>
                <w:rFonts w:ascii="Arial" w:cs="Arial" w:eastAsia="Arial" w:hAnsi="Arial"/>
                <w:sz w:val="20"/>
                <w:szCs w:val="20"/>
                <w:color w:val="3E3935"/>
              </w:rPr>
              <w:t>Mary T. Barra</w:t>
            </w:r>
          </w:p>
        </w:tc>
        <w:tc>
          <w:tcPr>
            <w:tcW w:w="1260" w:type="dxa"/>
            <w:vAlign w:val="bottom"/>
          </w:tcPr>
          <w:p>
            <w:pPr>
              <w:jc w:val="right"/>
              <w:ind w:right="61"/>
              <w:spacing w:after="0"/>
              <w:rPr>
                <w:sz w:val="20"/>
                <w:szCs w:val="20"/>
                <w:color w:val="auto"/>
              </w:rPr>
            </w:pPr>
            <w:r>
              <w:rPr>
                <w:rFonts w:ascii="Arial" w:cs="Arial" w:eastAsia="Arial" w:hAnsi="Arial"/>
                <w:sz w:val="20"/>
                <w:szCs w:val="20"/>
                <w:color w:val="3E3935"/>
              </w:rPr>
              <w:t>DC ERP</w:t>
            </w:r>
          </w:p>
        </w:tc>
        <w:tc>
          <w:tcPr>
            <w:tcW w:w="1600" w:type="dxa"/>
            <w:vAlign w:val="bottom"/>
          </w:tcPr>
          <w:p>
            <w:pPr>
              <w:jc w:val="right"/>
              <w:ind w:right="61"/>
              <w:spacing w:after="0"/>
              <w:rPr>
                <w:sz w:val="20"/>
                <w:szCs w:val="20"/>
                <w:color w:val="auto"/>
              </w:rPr>
            </w:pPr>
            <w:r>
              <w:rPr>
                <w:rFonts w:ascii="Arial" w:cs="Arial" w:eastAsia="Arial" w:hAnsi="Arial"/>
                <w:sz w:val="20"/>
                <w:szCs w:val="20"/>
                <w:color w:val="3E3935"/>
              </w:rPr>
              <w:t>—</w:t>
            </w:r>
          </w:p>
        </w:tc>
        <w:tc>
          <w:tcPr>
            <w:tcW w:w="1600" w:type="dxa"/>
            <w:vAlign w:val="bottom"/>
          </w:tcPr>
          <w:p>
            <w:pPr>
              <w:jc w:val="right"/>
              <w:ind w:right="62"/>
              <w:spacing w:after="0"/>
              <w:rPr>
                <w:sz w:val="20"/>
                <w:szCs w:val="20"/>
                <w:color w:val="auto"/>
              </w:rPr>
            </w:pPr>
            <w:r>
              <w:rPr>
                <w:rFonts w:ascii="Arial" w:cs="Arial" w:eastAsia="Arial" w:hAnsi="Arial"/>
                <w:sz w:val="20"/>
                <w:szCs w:val="20"/>
                <w:color w:val="3E3935"/>
              </w:rPr>
              <w:t>651,140</w:t>
            </w:r>
          </w:p>
        </w:tc>
        <w:tc>
          <w:tcPr>
            <w:tcW w:w="1600" w:type="dxa"/>
            <w:vAlign w:val="bottom"/>
          </w:tcPr>
          <w:p>
            <w:pPr>
              <w:jc w:val="right"/>
              <w:ind w:right="62"/>
              <w:spacing w:after="0"/>
              <w:rPr>
                <w:sz w:val="20"/>
                <w:szCs w:val="20"/>
                <w:color w:val="auto"/>
              </w:rPr>
            </w:pPr>
            <w:r>
              <w:rPr>
                <w:rFonts w:ascii="Arial" w:cs="Arial" w:eastAsia="Arial" w:hAnsi="Arial"/>
                <w:sz w:val="20"/>
                <w:szCs w:val="20"/>
                <w:color w:val="3E3935"/>
              </w:rPr>
              <w:t>(759,247)</w:t>
            </w:r>
          </w:p>
        </w:tc>
        <w:tc>
          <w:tcPr>
            <w:tcW w:w="1520" w:type="dxa"/>
            <w:vAlign w:val="bottom"/>
          </w:tcPr>
          <w:p>
            <w:pPr>
              <w:jc w:val="right"/>
              <w:ind w:right="61"/>
              <w:spacing w:after="0"/>
              <w:rPr>
                <w:sz w:val="20"/>
                <w:szCs w:val="20"/>
                <w:color w:val="auto"/>
              </w:rPr>
            </w:pPr>
            <w:r>
              <w:rPr>
                <w:rFonts w:ascii="Arial" w:cs="Arial" w:eastAsia="Arial" w:hAnsi="Arial"/>
                <w:sz w:val="20"/>
                <w:szCs w:val="20"/>
                <w:color w:val="3E3935"/>
              </w:rPr>
              <w:t>—</w:t>
            </w:r>
          </w:p>
        </w:tc>
        <w:tc>
          <w:tcPr>
            <w:tcW w:w="1300" w:type="dxa"/>
            <w:vAlign w:val="bottom"/>
          </w:tcPr>
          <w:p>
            <w:pPr>
              <w:jc w:val="right"/>
              <w:spacing w:after="0"/>
              <w:rPr>
                <w:sz w:val="20"/>
                <w:szCs w:val="20"/>
                <w:color w:val="auto"/>
              </w:rPr>
            </w:pPr>
            <w:r>
              <w:rPr>
                <w:rFonts w:ascii="Arial" w:cs="Arial" w:eastAsia="Arial" w:hAnsi="Arial"/>
                <w:sz w:val="20"/>
                <w:szCs w:val="20"/>
                <w:color w:val="3E3935"/>
              </w:rPr>
              <w:t>4,736,297</w:t>
            </w:r>
          </w:p>
        </w:tc>
      </w:tr>
      <w:tr>
        <w:trPr>
          <w:trHeight w:val="57"/>
        </w:trPr>
        <w:tc>
          <w:tcPr>
            <w:tcW w:w="2140" w:type="dxa"/>
            <w:vAlign w:val="bottom"/>
            <w:tcBorders>
              <w:bottom w:val="single" w:sz="8" w:color="3E3935"/>
            </w:tcBorders>
          </w:tcPr>
          <w:p>
            <w:pPr>
              <w:spacing w:after="0"/>
              <w:rPr>
                <w:sz w:val="5"/>
                <w:szCs w:val="5"/>
                <w:color w:val="auto"/>
              </w:rPr>
            </w:pPr>
          </w:p>
        </w:tc>
        <w:tc>
          <w:tcPr>
            <w:tcW w:w="1260" w:type="dxa"/>
            <w:vAlign w:val="bottom"/>
            <w:tcBorders>
              <w:bottom w:val="single" w:sz="8" w:color="3E3935"/>
            </w:tcBorders>
          </w:tcPr>
          <w:p>
            <w:pPr>
              <w:spacing w:after="0"/>
              <w:rPr>
                <w:sz w:val="5"/>
                <w:szCs w:val="5"/>
                <w:color w:val="auto"/>
              </w:rPr>
            </w:pPr>
          </w:p>
        </w:tc>
        <w:tc>
          <w:tcPr>
            <w:tcW w:w="1600" w:type="dxa"/>
            <w:vAlign w:val="bottom"/>
            <w:tcBorders>
              <w:bottom w:val="single" w:sz="8" w:color="3E3935"/>
            </w:tcBorders>
          </w:tcPr>
          <w:p>
            <w:pPr>
              <w:spacing w:after="0"/>
              <w:rPr>
                <w:sz w:val="5"/>
                <w:szCs w:val="5"/>
                <w:color w:val="auto"/>
              </w:rPr>
            </w:pPr>
          </w:p>
        </w:tc>
        <w:tc>
          <w:tcPr>
            <w:tcW w:w="1600" w:type="dxa"/>
            <w:vAlign w:val="bottom"/>
            <w:tcBorders>
              <w:bottom w:val="single" w:sz="8" w:color="3E3935"/>
            </w:tcBorders>
          </w:tcPr>
          <w:p>
            <w:pPr>
              <w:spacing w:after="0"/>
              <w:rPr>
                <w:sz w:val="5"/>
                <w:szCs w:val="5"/>
                <w:color w:val="auto"/>
              </w:rPr>
            </w:pPr>
          </w:p>
        </w:tc>
        <w:tc>
          <w:tcPr>
            <w:tcW w:w="1600" w:type="dxa"/>
            <w:vAlign w:val="bottom"/>
            <w:tcBorders>
              <w:bottom w:val="single" w:sz="8" w:color="3E3935"/>
            </w:tcBorders>
          </w:tcPr>
          <w:p>
            <w:pPr>
              <w:spacing w:after="0"/>
              <w:rPr>
                <w:sz w:val="5"/>
                <w:szCs w:val="5"/>
                <w:color w:val="auto"/>
              </w:rPr>
            </w:pPr>
          </w:p>
        </w:tc>
        <w:tc>
          <w:tcPr>
            <w:tcW w:w="1520" w:type="dxa"/>
            <w:vAlign w:val="bottom"/>
            <w:tcBorders>
              <w:bottom w:val="single" w:sz="8" w:color="3E3935"/>
            </w:tcBorders>
          </w:tcPr>
          <w:p>
            <w:pPr>
              <w:spacing w:after="0"/>
              <w:rPr>
                <w:sz w:val="5"/>
                <w:szCs w:val="5"/>
                <w:color w:val="auto"/>
              </w:rPr>
            </w:pPr>
          </w:p>
        </w:tc>
        <w:tc>
          <w:tcPr>
            <w:tcW w:w="1300" w:type="dxa"/>
            <w:vAlign w:val="bottom"/>
            <w:tcBorders>
              <w:bottom w:val="single" w:sz="8" w:color="3E3935"/>
            </w:tcBorders>
          </w:tcPr>
          <w:p>
            <w:pPr>
              <w:spacing w:after="0"/>
              <w:rPr>
                <w:sz w:val="5"/>
                <w:szCs w:val="5"/>
                <w:color w:val="auto"/>
              </w:rPr>
            </w:pPr>
          </w:p>
        </w:tc>
      </w:tr>
      <w:tr>
        <w:trPr>
          <w:trHeight w:val="301"/>
        </w:trPr>
        <w:tc>
          <w:tcPr>
            <w:tcW w:w="2140" w:type="dxa"/>
            <w:vAlign w:val="bottom"/>
          </w:tcPr>
          <w:p>
            <w:pPr>
              <w:ind w:left="80"/>
              <w:spacing w:after="0"/>
              <w:rPr>
                <w:sz w:val="20"/>
                <w:szCs w:val="20"/>
                <w:color w:val="auto"/>
              </w:rPr>
            </w:pPr>
            <w:r>
              <w:rPr>
                <w:rFonts w:ascii="Arial" w:cs="Arial" w:eastAsia="Arial" w:hAnsi="Arial"/>
                <w:sz w:val="20"/>
                <w:szCs w:val="20"/>
                <w:color w:val="3E3935"/>
              </w:rPr>
              <w:t>Paul A. Jacobson</w:t>
            </w:r>
          </w:p>
        </w:tc>
        <w:tc>
          <w:tcPr>
            <w:tcW w:w="1260" w:type="dxa"/>
            <w:vAlign w:val="bottom"/>
          </w:tcPr>
          <w:p>
            <w:pPr>
              <w:jc w:val="right"/>
              <w:ind w:right="61"/>
              <w:spacing w:after="0"/>
              <w:rPr>
                <w:sz w:val="20"/>
                <w:szCs w:val="20"/>
                <w:color w:val="auto"/>
              </w:rPr>
            </w:pPr>
            <w:r>
              <w:rPr>
                <w:rFonts w:ascii="Arial" w:cs="Arial" w:eastAsia="Arial" w:hAnsi="Arial"/>
                <w:sz w:val="20"/>
                <w:szCs w:val="20"/>
                <w:color w:val="3E3935"/>
              </w:rPr>
              <w:t>DC ERP</w:t>
            </w:r>
          </w:p>
        </w:tc>
        <w:tc>
          <w:tcPr>
            <w:tcW w:w="1600" w:type="dxa"/>
            <w:vAlign w:val="bottom"/>
          </w:tcPr>
          <w:p>
            <w:pPr>
              <w:jc w:val="right"/>
              <w:ind w:right="61"/>
              <w:spacing w:after="0"/>
              <w:rPr>
                <w:sz w:val="20"/>
                <w:szCs w:val="20"/>
                <w:color w:val="auto"/>
              </w:rPr>
            </w:pPr>
            <w:r>
              <w:rPr>
                <w:rFonts w:ascii="Arial" w:cs="Arial" w:eastAsia="Arial" w:hAnsi="Arial"/>
                <w:sz w:val="20"/>
                <w:szCs w:val="20"/>
                <w:color w:val="3E3935"/>
              </w:rPr>
              <w:t>—</w:t>
            </w:r>
          </w:p>
        </w:tc>
        <w:tc>
          <w:tcPr>
            <w:tcW w:w="1600" w:type="dxa"/>
            <w:vAlign w:val="bottom"/>
          </w:tcPr>
          <w:p>
            <w:pPr>
              <w:jc w:val="right"/>
              <w:ind w:right="62"/>
              <w:spacing w:after="0"/>
              <w:rPr>
                <w:sz w:val="20"/>
                <w:szCs w:val="20"/>
                <w:color w:val="auto"/>
              </w:rPr>
            </w:pPr>
            <w:r>
              <w:rPr>
                <w:rFonts w:ascii="Arial" w:cs="Arial" w:eastAsia="Arial" w:hAnsi="Arial"/>
                <w:sz w:val="20"/>
                <w:szCs w:val="20"/>
                <w:color w:val="3E3935"/>
              </w:rPr>
              <w:t>151,133</w:t>
            </w:r>
          </w:p>
        </w:tc>
        <w:tc>
          <w:tcPr>
            <w:tcW w:w="1600" w:type="dxa"/>
            <w:vAlign w:val="bottom"/>
          </w:tcPr>
          <w:p>
            <w:pPr>
              <w:jc w:val="right"/>
              <w:ind w:right="62"/>
              <w:spacing w:after="0"/>
              <w:rPr>
                <w:sz w:val="20"/>
                <w:szCs w:val="20"/>
                <w:color w:val="auto"/>
              </w:rPr>
            </w:pPr>
            <w:r>
              <w:rPr>
                <w:rFonts w:ascii="Arial" w:cs="Arial" w:eastAsia="Arial" w:hAnsi="Arial"/>
                <w:sz w:val="20"/>
                <w:szCs w:val="20"/>
                <w:color w:val="3E3935"/>
              </w:rPr>
              <w:t>(23,490)</w:t>
            </w:r>
          </w:p>
        </w:tc>
        <w:tc>
          <w:tcPr>
            <w:tcW w:w="1520" w:type="dxa"/>
            <w:vAlign w:val="bottom"/>
          </w:tcPr>
          <w:p>
            <w:pPr>
              <w:jc w:val="right"/>
              <w:ind w:right="61"/>
              <w:spacing w:after="0"/>
              <w:rPr>
                <w:sz w:val="20"/>
                <w:szCs w:val="20"/>
                <w:color w:val="auto"/>
              </w:rPr>
            </w:pPr>
            <w:r>
              <w:rPr>
                <w:rFonts w:ascii="Arial" w:cs="Arial" w:eastAsia="Arial" w:hAnsi="Arial"/>
                <w:sz w:val="20"/>
                <w:szCs w:val="20"/>
                <w:color w:val="3E3935"/>
              </w:rPr>
              <w:t>—</w:t>
            </w:r>
          </w:p>
        </w:tc>
        <w:tc>
          <w:tcPr>
            <w:tcW w:w="1300" w:type="dxa"/>
            <w:vAlign w:val="bottom"/>
          </w:tcPr>
          <w:p>
            <w:pPr>
              <w:jc w:val="right"/>
              <w:spacing w:after="0"/>
              <w:rPr>
                <w:sz w:val="20"/>
                <w:szCs w:val="20"/>
                <w:color w:val="auto"/>
              </w:rPr>
            </w:pPr>
            <w:r>
              <w:rPr>
                <w:rFonts w:ascii="Arial" w:cs="Arial" w:eastAsia="Arial" w:hAnsi="Arial"/>
                <w:sz w:val="20"/>
                <w:szCs w:val="20"/>
                <w:color w:val="3E3935"/>
              </w:rPr>
              <w:t>193,669</w:t>
            </w:r>
          </w:p>
        </w:tc>
      </w:tr>
      <w:tr>
        <w:trPr>
          <w:trHeight w:val="58"/>
        </w:trPr>
        <w:tc>
          <w:tcPr>
            <w:tcW w:w="2140" w:type="dxa"/>
            <w:vAlign w:val="bottom"/>
            <w:tcBorders>
              <w:bottom w:val="single" w:sz="8" w:color="3E3935"/>
            </w:tcBorders>
          </w:tcPr>
          <w:p>
            <w:pPr>
              <w:spacing w:after="0"/>
              <w:rPr>
                <w:sz w:val="5"/>
                <w:szCs w:val="5"/>
                <w:color w:val="auto"/>
              </w:rPr>
            </w:pPr>
          </w:p>
        </w:tc>
        <w:tc>
          <w:tcPr>
            <w:tcW w:w="1260" w:type="dxa"/>
            <w:vAlign w:val="bottom"/>
            <w:tcBorders>
              <w:bottom w:val="single" w:sz="8" w:color="3E3935"/>
            </w:tcBorders>
          </w:tcPr>
          <w:p>
            <w:pPr>
              <w:spacing w:after="0"/>
              <w:rPr>
                <w:sz w:val="5"/>
                <w:szCs w:val="5"/>
                <w:color w:val="auto"/>
              </w:rPr>
            </w:pPr>
          </w:p>
        </w:tc>
        <w:tc>
          <w:tcPr>
            <w:tcW w:w="1600" w:type="dxa"/>
            <w:vAlign w:val="bottom"/>
            <w:tcBorders>
              <w:bottom w:val="single" w:sz="8" w:color="3E3935"/>
            </w:tcBorders>
          </w:tcPr>
          <w:p>
            <w:pPr>
              <w:spacing w:after="0"/>
              <w:rPr>
                <w:sz w:val="5"/>
                <w:szCs w:val="5"/>
                <w:color w:val="auto"/>
              </w:rPr>
            </w:pPr>
          </w:p>
        </w:tc>
        <w:tc>
          <w:tcPr>
            <w:tcW w:w="1600" w:type="dxa"/>
            <w:vAlign w:val="bottom"/>
            <w:tcBorders>
              <w:bottom w:val="single" w:sz="8" w:color="3E3935"/>
            </w:tcBorders>
          </w:tcPr>
          <w:p>
            <w:pPr>
              <w:spacing w:after="0"/>
              <w:rPr>
                <w:sz w:val="5"/>
                <w:szCs w:val="5"/>
                <w:color w:val="auto"/>
              </w:rPr>
            </w:pPr>
          </w:p>
        </w:tc>
        <w:tc>
          <w:tcPr>
            <w:tcW w:w="1600" w:type="dxa"/>
            <w:vAlign w:val="bottom"/>
            <w:tcBorders>
              <w:bottom w:val="single" w:sz="8" w:color="3E3935"/>
            </w:tcBorders>
          </w:tcPr>
          <w:p>
            <w:pPr>
              <w:spacing w:after="0"/>
              <w:rPr>
                <w:sz w:val="5"/>
                <w:szCs w:val="5"/>
                <w:color w:val="auto"/>
              </w:rPr>
            </w:pPr>
          </w:p>
        </w:tc>
        <w:tc>
          <w:tcPr>
            <w:tcW w:w="1520" w:type="dxa"/>
            <w:vAlign w:val="bottom"/>
            <w:tcBorders>
              <w:bottom w:val="single" w:sz="8" w:color="3E3935"/>
            </w:tcBorders>
          </w:tcPr>
          <w:p>
            <w:pPr>
              <w:spacing w:after="0"/>
              <w:rPr>
                <w:sz w:val="5"/>
                <w:szCs w:val="5"/>
                <w:color w:val="auto"/>
              </w:rPr>
            </w:pPr>
          </w:p>
        </w:tc>
        <w:tc>
          <w:tcPr>
            <w:tcW w:w="1300" w:type="dxa"/>
            <w:vAlign w:val="bottom"/>
            <w:tcBorders>
              <w:bottom w:val="single" w:sz="8" w:color="3E3935"/>
            </w:tcBorders>
          </w:tcPr>
          <w:p>
            <w:pPr>
              <w:spacing w:after="0"/>
              <w:rPr>
                <w:sz w:val="5"/>
                <w:szCs w:val="5"/>
                <w:color w:val="auto"/>
              </w:rPr>
            </w:pPr>
          </w:p>
        </w:tc>
      </w:tr>
      <w:tr>
        <w:trPr>
          <w:trHeight w:val="301"/>
        </w:trPr>
        <w:tc>
          <w:tcPr>
            <w:tcW w:w="2140" w:type="dxa"/>
            <w:vAlign w:val="bottom"/>
          </w:tcPr>
          <w:p>
            <w:pPr>
              <w:ind w:left="80"/>
              <w:spacing w:after="0"/>
              <w:rPr>
                <w:sz w:val="20"/>
                <w:szCs w:val="20"/>
                <w:color w:val="auto"/>
              </w:rPr>
            </w:pPr>
            <w:r>
              <w:rPr>
                <w:rFonts w:ascii="Arial" w:cs="Arial" w:eastAsia="Arial" w:hAnsi="Arial"/>
                <w:sz w:val="20"/>
                <w:szCs w:val="20"/>
                <w:color w:val="3E3935"/>
              </w:rPr>
              <w:t>Mark L. Reuss</w:t>
            </w:r>
          </w:p>
        </w:tc>
        <w:tc>
          <w:tcPr>
            <w:tcW w:w="1260" w:type="dxa"/>
            <w:vAlign w:val="bottom"/>
          </w:tcPr>
          <w:p>
            <w:pPr>
              <w:jc w:val="right"/>
              <w:ind w:right="61"/>
              <w:spacing w:after="0"/>
              <w:rPr>
                <w:sz w:val="20"/>
                <w:szCs w:val="20"/>
                <w:color w:val="auto"/>
              </w:rPr>
            </w:pPr>
            <w:r>
              <w:rPr>
                <w:rFonts w:ascii="Arial" w:cs="Arial" w:eastAsia="Arial" w:hAnsi="Arial"/>
                <w:sz w:val="20"/>
                <w:szCs w:val="20"/>
                <w:color w:val="3E3935"/>
              </w:rPr>
              <w:t>DC ERP</w:t>
            </w:r>
          </w:p>
        </w:tc>
        <w:tc>
          <w:tcPr>
            <w:tcW w:w="1600" w:type="dxa"/>
            <w:vAlign w:val="bottom"/>
          </w:tcPr>
          <w:p>
            <w:pPr>
              <w:jc w:val="right"/>
              <w:ind w:right="61"/>
              <w:spacing w:after="0"/>
              <w:rPr>
                <w:sz w:val="20"/>
                <w:szCs w:val="20"/>
                <w:color w:val="auto"/>
              </w:rPr>
            </w:pPr>
            <w:r>
              <w:rPr>
                <w:rFonts w:ascii="Arial" w:cs="Arial" w:eastAsia="Arial" w:hAnsi="Arial"/>
                <w:sz w:val="20"/>
                <w:szCs w:val="20"/>
                <w:color w:val="3E3935"/>
              </w:rPr>
              <w:t>—</w:t>
            </w:r>
          </w:p>
        </w:tc>
        <w:tc>
          <w:tcPr>
            <w:tcW w:w="1600" w:type="dxa"/>
            <w:vAlign w:val="bottom"/>
          </w:tcPr>
          <w:p>
            <w:pPr>
              <w:jc w:val="right"/>
              <w:ind w:right="62"/>
              <w:spacing w:after="0"/>
              <w:rPr>
                <w:sz w:val="20"/>
                <w:szCs w:val="20"/>
                <w:color w:val="auto"/>
              </w:rPr>
            </w:pPr>
            <w:r>
              <w:rPr>
                <w:rFonts w:ascii="Arial" w:cs="Arial" w:eastAsia="Arial" w:hAnsi="Arial"/>
                <w:sz w:val="20"/>
                <w:szCs w:val="20"/>
                <w:color w:val="3E3935"/>
              </w:rPr>
              <w:t>306,078</w:t>
            </w:r>
          </w:p>
        </w:tc>
        <w:tc>
          <w:tcPr>
            <w:tcW w:w="1600" w:type="dxa"/>
            <w:vAlign w:val="bottom"/>
          </w:tcPr>
          <w:p>
            <w:pPr>
              <w:jc w:val="right"/>
              <w:ind w:right="62"/>
              <w:spacing w:after="0"/>
              <w:rPr>
                <w:sz w:val="20"/>
                <w:szCs w:val="20"/>
                <w:color w:val="auto"/>
              </w:rPr>
            </w:pPr>
            <w:r>
              <w:rPr>
                <w:rFonts w:ascii="Arial" w:cs="Arial" w:eastAsia="Arial" w:hAnsi="Arial"/>
                <w:sz w:val="20"/>
                <w:szCs w:val="20"/>
                <w:color w:val="3E3935"/>
              </w:rPr>
              <w:t>(407,925)</w:t>
            </w:r>
          </w:p>
        </w:tc>
        <w:tc>
          <w:tcPr>
            <w:tcW w:w="1520" w:type="dxa"/>
            <w:vAlign w:val="bottom"/>
          </w:tcPr>
          <w:p>
            <w:pPr>
              <w:jc w:val="right"/>
              <w:ind w:right="61"/>
              <w:spacing w:after="0"/>
              <w:rPr>
                <w:sz w:val="20"/>
                <w:szCs w:val="20"/>
                <w:color w:val="auto"/>
              </w:rPr>
            </w:pPr>
            <w:r>
              <w:rPr>
                <w:rFonts w:ascii="Arial" w:cs="Arial" w:eastAsia="Arial" w:hAnsi="Arial"/>
                <w:sz w:val="20"/>
                <w:szCs w:val="20"/>
                <w:color w:val="3E3935"/>
              </w:rPr>
              <w:t>—</w:t>
            </w:r>
          </w:p>
        </w:tc>
        <w:tc>
          <w:tcPr>
            <w:tcW w:w="1300" w:type="dxa"/>
            <w:vAlign w:val="bottom"/>
          </w:tcPr>
          <w:p>
            <w:pPr>
              <w:jc w:val="right"/>
              <w:spacing w:after="0"/>
              <w:rPr>
                <w:sz w:val="20"/>
                <w:szCs w:val="20"/>
                <w:color w:val="auto"/>
              </w:rPr>
            </w:pPr>
            <w:r>
              <w:rPr>
                <w:rFonts w:ascii="Arial" w:cs="Arial" w:eastAsia="Arial" w:hAnsi="Arial"/>
                <w:sz w:val="20"/>
                <w:szCs w:val="20"/>
                <w:color w:val="3E3935"/>
              </w:rPr>
              <w:t>2,157,252</w:t>
            </w:r>
          </w:p>
        </w:tc>
      </w:tr>
      <w:tr>
        <w:trPr>
          <w:trHeight w:val="57"/>
        </w:trPr>
        <w:tc>
          <w:tcPr>
            <w:tcW w:w="2140" w:type="dxa"/>
            <w:vAlign w:val="bottom"/>
            <w:tcBorders>
              <w:bottom w:val="single" w:sz="8" w:color="3E3935"/>
            </w:tcBorders>
          </w:tcPr>
          <w:p>
            <w:pPr>
              <w:spacing w:after="0"/>
              <w:rPr>
                <w:sz w:val="5"/>
                <w:szCs w:val="5"/>
                <w:color w:val="auto"/>
              </w:rPr>
            </w:pPr>
          </w:p>
        </w:tc>
        <w:tc>
          <w:tcPr>
            <w:tcW w:w="1260" w:type="dxa"/>
            <w:vAlign w:val="bottom"/>
            <w:tcBorders>
              <w:bottom w:val="single" w:sz="8" w:color="3E3935"/>
            </w:tcBorders>
          </w:tcPr>
          <w:p>
            <w:pPr>
              <w:spacing w:after="0"/>
              <w:rPr>
                <w:sz w:val="5"/>
                <w:szCs w:val="5"/>
                <w:color w:val="auto"/>
              </w:rPr>
            </w:pPr>
          </w:p>
        </w:tc>
        <w:tc>
          <w:tcPr>
            <w:tcW w:w="1600" w:type="dxa"/>
            <w:vAlign w:val="bottom"/>
            <w:tcBorders>
              <w:bottom w:val="single" w:sz="8" w:color="3E3935"/>
            </w:tcBorders>
          </w:tcPr>
          <w:p>
            <w:pPr>
              <w:spacing w:after="0"/>
              <w:rPr>
                <w:sz w:val="5"/>
                <w:szCs w:val="5"/>
                <w:color w:val="auto"/>
              </w:rPr>
            </w:pPr>
          </w:p>
        </w:tc>
        <w:tc>
          <w:tcPr>
            <w:tcW w:w="1600" w:type="dxa"/>
            <w:vAlign w:val="bottom"/>
            <w:tcBorders>
              <w:bottom w:val="single" w:sz="8" w:color="3E3935"/>
            </w:tcBorders>
          </w:tcPr>
          <w:p>
            <w:pPr>
              <w:spacing w:after="0"/>
              <w:rPr>
                <w:sz w:val="5"/>
                <w:szCs w:val="5"/>
                <w:color w:val="auto"/>
              </w:rPr>
            </w:pPr>
          </w:p>
        </w:tc>
        <w:tc>
          <w:tcPr>
            <w:tcW w:w="1600" w:type="dxa"/>
            <w:vAlign w:val="bottom"/>
            <w:tcBorders>
              <w:bottom w:val="single" w:sz="8" w:color="3E3935"/>
            </w:tcBorders>
          </w:tcPr>
          <w:p>
            <w:pPr>
              <w:spacing w:after="0"/>
              <w:rPr>
                <w:sz w:val="5"/>
                <w:szCs w:val="5"/>
                <w:color w:val="auto"/>
              </w:rPr>
            </w:pPr>
          </w:p>
        </w:tc>
        <w:tc>
          <w:tcPr>
            <w:tcW w:w="1520" w:type="dxa"/>
            <w:vAlign w:val="bottom"/>
            <w:tcBorders>
              <w:bottom w:val="single" w:sz="8" w:color="3E3935"/>
            </w:tcBorders>
          </w:tcPr>
          <w:p>
            <w:pPr>
              <w:spacing w:after="0"/>
              <w:rPr>
                <w:sz w:val="5"/>
                <w:szCs w:val="5"/>
                <w:color w:val="auto"/>
              </w:rPr>
            </w:pPr>
          </w:p>
        </w:tc>
        <w:tc>
          <w:tcPr>
            <w:tcW w:w="1300" w:type="dxa"/>
            <w:vAlign w:val="bottom"/>
            <w:tcBorders>
              <w:bottom w:val="single" w:sz="8" w:color="3E3935"/>
            </w:tcBorders>
          </w:tcPr>
          <w:p>
            <w:pPr>
              <w:spacing w:after="0"/>
              <w:rPr>
                <w:sz w:val="5"/>
                <w:szCs w:val="5"/>
                <w:color w:val="auto"/>
              </w:rPr>
            </w:pPr>
          </w:p>
        </w:tc>
      </w:tr>
      <w:tr>
        <w:trPr>
          <w:trHeight w:val="301"/>
        </w:trPr>
        <w:tc>
          <w:tcPr>
            <w:tcW w:w="2140" w:type="dxa"/>
            <w:vAlign w:val="bottom"/>
          </w:tcPr>
          <w:p>
            <w:pPr>
              <w:ind w:left="80"/>
              <w:spacing w:after="0"/>
              <w:rPr>
                <w:sz w:val="20"/>
                <w:szCs w:val="20"/>
                <w:color w:val="auto"/>
              </w:rPr>
            </w:pPr>
            <w:r>
              <w:rPr>
                <w:rFonts w:ascii="Arial" w:cs="Arial" w:eastAsia="Arial" w:hAnsi="Arial"/>
                <w:sz w:val="20"/>
                <w:szCs w:val="20"/>
                <w:color w:val="3E3935"/>
              </w:rPr>
              <w:t>Douglas L. Parks</w:t>
            </w:r>
          </w:p>
        </w:tc>
        <w:tc>
          <w:tcPr>
            <w:tcW w:w="1260" w:type="dxa"/>
            <w:vAlign w:val="bottom"/>
          </w:tcPr>
          <w:p>
            <w:pPr>
              <w:jc w:val="right"/>
              <w:ind w:right="61"/>
              <w:spacing w:after="0"/>
              <w:rPr>
                <w:sz w:val="20"/>
                <w:szCs w:val="20"/>
                <w:color w:val="auto"/>
              </w:rPr>
            </w:pPr>
            <w:r>
              <w:rPr>
                <w:rFonts w:ascii="Arial" w:cs="Arial" w:eastAsia="Arial" w:hAnsi="Arial"/>
                <w:sz w:val="20"/>
                <w:szCs w:val="20"/>
                <w:color w:val="3E3935"/>
              </w:rPr>
              <w:t>DC ERP</w:t>
            </w:r>
          </w:p>
        </w:tc>
        <w:tc>
          <w:tcPr>
            <w:tcW w:w="1600" w:type="dxa"/>
            <w:vAlign w:val="bottom"/>
          </w:tcPr>
          <w:p>
            <w:pPr>
              <w:jc w:val="right"/>
              <w:ind w:right="61"/>
              <w:spacing w:after="0"/>
              <w:rPr>
                <w:sz w:val="20"/>
                <w:szCs w:val="20"/>
                <w:color w:val="auto"/>
              </w:rPr>
            </w:pPr>
            <w:r>
              <w:rPr>
                <w:rFonts w:ascii="Arial" w:cs="Arial" w:eastAsia="Arial" w:hAnsi="Arial"/>
                <w:sz w:val="20"/>
                <w:szCs w:val="20"/>
                <w:color w:val="3E3935"/>
              </w:rPr>
              <w:t>—</w:t>
            </w:r>
          </w:p>
        </w:tc>
        <w:tc>
          <w:tcPr>
            <w:tcW w:w="1600" w:type="dxa"/>
            <w:vAlign w:val="bottom"/>
          </w:tcPr>
          <w:p>
            <w:pPr>
              <w:jc w:val="right"/>
              <w:ind w:right="62"/>
              <w:spacing w:after="0"/>
              <w:rPr>
                <w:sz w:val="20"/>
                <w:szCs w:val="20"/>
                <w:color w:val="auto"/>
              </w:rPr>
            </w:pPr>
            <w:r>
              <w:rPr>
                <w:rFonts w:ascii="Arial" w:cs="Arial" w:eastAsia="Arial" w:hAnsi="Arial"/>
                <w:sz w:val="20"/>
                <w:szCs w:val="20"/>
                <w:color w:val="3E3935"/>
              </w:rPr>
              <w:t>179,395</w:t>
            </w:r>
          </w:p>
        </w:tc>
        <w:tc>
          <w:tcPr>
            <w:tcW w:w="1600" w:type="dxa"/>
            <w:vAlign w:val="bottom"/>
          </w:tcPr>
          <w:p>
            <w:pPr>
              <w:jc w:val="right"/>
              <w:ind w:right="62"/>
              <w:spacing w:after="0"/>
              <w:rPr>
                <w:sz w:val="20"/>
                <w:szCs w:val="20"/>
                <w:color w:val="auto"/>
              </w:rPr>
            </w:pPr>
            <w:r>
              <w:rPr>
                <w:rFonts w:ascii="Arial" w:cs="Arial" w:eastAsia="Arial" w:hAnsi="Arial"/>
                <w:sz w:val="20"/>
                <w:szCs w:val="20"/>
                <w:color w:val="3E3935"/>
              </w:rPr>
              <w:t>(168,044)</w:t>
            </w:r>
          </w:p>
        </w:tc>
        <w:tc>
          <w:tcPr>
            <w:tcW w:w="1520" w:type="dxa"/>
            <w:vAlign w:val="bottom"/>
          </w:tcPr>
          <w:p>
            <w:pPr>
              <w:jc w:val="right"/>
              <w:ind w:right="61"/>
              <w:spacing w:after="0"/>
              <w:rPr>
                <w:sz w:val="20"/>
                <w:szCs w:val="20"/>
                <w:color w:val="auto"/>
              </w:rPr>
            </w:pPr>
            <w:r>
              <w:rPr>
                <w:rFonts w:ascii="Arial" w:cs="Arial" w:eastAsia="Arial" w:hAnsi="Arial"/>
                <w:sz w:val="20"/>
                <w:szCs w:val="20"/>
                <w:color w:val="3E3935"/>
              </w:rPr>
              <w:t>—</w:t>
            </w:r>
          </w:p>
        </w:tc>
        <w:tc>
          <w:tcPr>
            <w:tcW w:w="1300" w:type="dxa"/>
            <w:vAlign w:val="bottom"/>
          </w:tcPr>
          <w:p>
            <w:pPr>
              <w:jc w:val="right"/>
              <w:spacing w:after="0"/>
              <w:rPr>
                <w:sz w:val="20"/>
                <w:szCs w:val="20"/>
                <w:color w:val="auto"/>
              </w:rPr>
            </w:pPr>
            <w:r>
              <w:rPr>
                <w:rFonts w:ascii="Arial" w:cs="Arial" w:eastAsia="Arial" w:hAnsi="Arial"/>
                <w:sz w:val="20"/>
                <w:szCs w:val="20"/>
                <w:color w:val="3E3935"/>
              </w:rPr>
              <w:t>1,060,442</w:t>
            </w:r>
          </w:p>
        </w:tc>
      </w:tr>
      <w:tr>
        <w:trPr>
          <w:trHeight w:val="58"/>
        </w:trPr>
        <w:tc>
          <w:tcPr>
            <w:tcW w:w="2140" w:type="dxa"/>
            <w:vAlign w:val="bottom"/>
            <w:tcBorders>
              <w:bottom w:val="single" w:sz="8" w:color="3E3935"/>
            </w:tcBorders>
          </w:tcPr>
          <w:p>
            <w:pPr>
              <w:spacing w:after="0"/>
              <w:rPr>
                <w:sz w:val="5"/>
                <w:szCs w:val="5"/>
                <w:color w:val="auto"/>
              </w:rPr>
            </w:pPr>
          </w:p>
        </w:tc>
        <w:tc>
          <w:tcPr>
            <w:tcW w:w="1260" w:type="dxa"/>
            <w:vAlign w:val="bottom"/>
            <w:tcBorders>
              <w:bottom w:val="single" w:sz="8" w:color="3E3935"/>
            </w:tcBorders>
          </w:tcPr>
          <w:p>
            <w:pPr>
              <w:spacing w:after="0"/>
              <w:rPr>
                <w:sz w:val="5"/>
                <w:szCs w:val="5"/>
                <w:color w:val="auto"/>
              </w:rPr>
            </w:pPr>
          </w:p>
        </w:tc>
        <w:tc>
          <w:tcPr>
            <w:tcW w:w="1600" w:type="dxa"/>
            <w:vAlign w:val="bottom"/>
            <w:tcBorders>
              <w:bottom w:val="single" w:sz="8" w:color="3E3935"/>
            </w:tcBorders>
          </w:tcPr>
          <w:p>
            <w:pPr>
              <w:spacing w:after="0"/>
              <w:rPr>
                <w:sz w:val="5"/>
                <w:szCs w:val="5"/>
                <w:color w:val="auto"/>
              </w:rPr>
            </w:pPr>
          </w:p>
        </w:tc>
        <w:tc>
          <w:tcPr>
            <w:tcW w:w="1600" w:type="dxa"/>
            <w:vAlign w:val="bottom"/>
            <w:tcBorders>
              <w:bottom w:val="single" w:sz="8" w:color="3E3935"/>
            </w:tcBorders>
          </w:tcPr>
          <w:p>
            <w:pPr>
              <w:spacing w:after="0"/>
              <w:rPr>
                <w:sz w:val="5"/>
                <w:szCs w:val="5"/>
                <w:color w:val="auto"/>
              </w:rPr>
            </w:pPr>
          </w:p>
        </w:tc>
        <w:tc>
          <w:tcPr>
            <w:tcW w:w="1600" w:type="dxa"/>
            <w:vAlign w:val="bottom"/>
            <w:tcBorders>
              <w:bottom w:val="single" w:sz="8" w:color="3E3935"/>
            </w:tcBorders>
          </w:tcPr>
          <w:p>
            <w:pPr>
              <w:spacing w:after="0"/>
              <w:rPr>
                <w:sz w:val="5"/>
                <w:szCs w:val="5"/>
                <w:color w:val="auto"/>
              </w:rPr>
            </w:pPr>
          </w:p>
        </w:tc>
        <w:tc>
          <w:tcPr>
            <w:tcW w:w="1520" w:type="dxa"/>
            <w:vAlign w:val="bottom"/>
            <w:tcBorders>
              <w:bottom w:val="single" w:sz="8" w:color="3E3935"/>
            </w:tcBorders>
          </w:tcPr>
          <w:p>
            <w:pPr>
              <w:spacing w:after="0"/>
              <w:rPr>
                <w:sz w:val="5"/>
                <w:szCs w:val="5"/>
                <w:color w:val="auto"/>
              </w:rPr>
            </w:pPr>
          </w:p>
        </w:tc>
        <w:tc>
          <w:tcPr>
            <w:tcW w:w="1300" w:type="dxa"/>
            <w:vAlign w:val="bottom"/>
            <w:tcBorders>
              <w:bottom w:val="single" w:sz="8" w:color="3E3935"/>
            </w:tcBorders>
          </w:tcPr>
          <w:p>
            <w:pPr>
              <w:spacing w:after="0"/>
              <w:rPr>
                <w:sz w:val="5"/>
                <w:szCs w:val="5"/>
                <w:color w:val="auto"/>
              </w:rPr>
            </w:pPr>
          </w:p>
        </w:tc>
      </w:tr>
      <w:tr>
        <w:trPr>
          <w:trHeight w:val="301"/>
        </w:trPr>
        <w:tc>
          <w:tcPr>
            <w:tcW w:w="2140" w:type="dxa"/>
            <w:vAlign w:val="bottom"/>
          </w:tcPr>
          <w:p>
            <w:pPr>
              <w:ind w:left="80"/>
              <w:spacing w:after="0"/>
              <w:rPr>
                <w:sz w:val="20"/>
                <w:szCs w:val="20"/>
                <w:color w:val="auto"/>
              </w:rPr>
            </w:pPr>
            <w:r>
              <w:rPr>
                <w:rFonts w:ascii="Arial" w:cs="Arial" w:eastAsia="Arial" w:hAnsi="Arial"/>
                <w:sz w:val="20"/>
                <w:szCs w:val="20"/>
                <w:color w:val="3E3935"/>
              </w:rPr>
              <w:t>Stephen K. Carlisle</w:t>
            </w:r>
          </w:p>
        </w:tc>
        <w:tc>
          <w:tcPr>
            <w:tcW w:w="1260" w:type="dxa"/>
            <w:vAlign w:val="bottom"/>
          </w:tcPr>
          <w:p>
            <w:pPr>
              <w:jc w:val="right"/>
              <w:ind w:right="61"/>
              <w:spacing w:after="0"/>
              <w:rPr>
                <w:sz w:val="20"/>
                <w:szCs w:val="20"/>
                <w:color w:val="auto"/>
              </w:rPr>
            </w:pPr>
            <w:r>
              <w:rPr>
                <w:rFonts w:ascii="Arial" w:cs="Arial" w:eastAsia="Arial" w:hAnsi="Arial"/>
                <w:sz w:val="20"/>
                <w:szCs w:val="20"/>
                <w:color w:val="3E3935"/>
              </w:rPr>
              <w:t>DC ERP</w:t>
            </w:r>
          </w:p>
        </w:tc>
        <w:tc>
          <w:tcPr>
            <w:tcW w:w="1600" w:type="dxa"/>
            <w:vAlign w:val="bottom"/>
          </w:tcPr>
          <w:p>
            <w:pPr>
              <w:jc w:val="right"/>
              <w:ind w:right="61"/>
              <w:spacing w:after="0"/>
              <w:rPr>
                <w:sz w:val="20"/>
                <w:szCs w:val="20"/>
                <w:color w:val="auto"/>
              </w:rPr>
            </w:pPr>
            <w:r>
              <w:rPr>
                <w:rFonts w:ascii="Arial" w:cs="Arial" w:eastAsia="Arial" w:hAnsi="Arial"/>
                <w:sz w:val="20"/>
                <w:szCs w:val="20"/>
                <w:color w:val="3E3935"/>
              </w:rPr>
              <w:t>—</w:t>
            </w:r>
          </w:p>
        </w:tc>
        <w:tc>
          <w:tcPr>
            <w:tcW w:w="1600" w:type="dxa"/>
            <w:vAlign w:val="bottom"/>
          </w:tcPr>
          <w:p>
            <w:pPr>
              <w:jc w:val="right"/>
              <w:ind w:right="62"/>
              <w:spacing w:after="0"/>
              <w:rPr>
                <w:sz w:val="20"/>
                <w:szCs w:val="20"/>
                <w:color w:val="auto"/>
              </w:rPr>
            </w:pPr>
            <w:r>
              <w:rPr>
                <w:rFonts w:ascii="Arial" w:cs="Arial" w:eastAsia="Arial" w:hAnsi="Arial"/>
                <w:sz w:val="20"/>
                <w:szCs w:val="20"/>
                <w:color w:val="3E3935"/>
              </w:rPr>
              <w:t>192,590</w:t>
            </w:r>
          </w:p>
        </w:tc>
        <w:tc>
          <w:tcPr>
            <w:tcW w:w="1600" w:type="dxa"/>
            <w:vAlign w:val="bottom"/>
          </w:tcPr>
          <w:p>
            <w:pPr>
              <w:jc w:val="right"/>
              <w:ind w:right="122"/>
              <w:spacing w:after="0"/>
              <w:rPr>
                <w:sz w:val="20"/>
                <w:szCs w:val="20"/>
                <w:color w:val="auto"/>
              </w:rPr>
            </w:pPr>
            <w:r>
              <w:rPr>
                <w:rFonts w:ascii="Arial" w:cs="Arial" w:eastAsia="Arial" w:hAnsi="Arial"/>
                <w:sz w:val="20"/>
                <w:szCs w:val="20"/>
                <w:color w:val="3E3935"/>
              </w:rPr>
              <w:t>17,358</w:t>
            </w:r>
          </w:p>
        </w:tc>
        <w:tc>
          <w:tcPr>
            <w:tcW w:w="1520" w:type="dxa"/>
            <w:vAlign w:val="bottom"/>
          </w:tcPr>
          <w:p>
            <w:pPr>
              <w:jc w:val="right"/>
              <w:ind w:right="61"/>
              <w:spacing w:after="0"/>
              <w:rPr>
                <w:sz w:val="20"/>
                <w:szCs w:val="20"/>
                <w:color w:val="auto"/>
              </w:rPr>
            </w:pPr>
            <w:r>
              <w:rPr>
                <w:rFonts w:ascii="Arial" w:cs="Arial" w:eastAsia="Arial" w:hAnsi="Arial"/>
                <w:sz w:val="20"/>
                <w:szCs w:val="20"/>
                <w:color w:val="3E3935"/>
              </w:rPr>
              <w:t>—</w:t>
            </w:r>
          </w:p>
        </w:tc>
        <w:tc>
          <w:tcPr>
            <w:tcW w:w="1300" w:type="dxa"/>
            <w:vAlign w:val="bottom"/>
          </w:tcPr>
          <w:p>
            <w:pPr>
              <w:jc w:val="right"/>
              <w:spacing w:after="0"/>
              <w:rPr>
                <w:sz w:val="20"/>
                <w:szCs w:val="20"/>
                <w:color w:val="auto"/>
              </w:rPr>
            </w:pPr>
            <w:r>
              <w:rPr>
                <w:rFonts w:ascii="Arial" w:cs="Arial" w:eastAsia="Arial" w:hAnsi="Arial"/>
                <w:sz w:val="20"/>
                <w:szCs w:val="20"/>
                <w:color w:val="3E3935"/>
              </w:rPr>
              <w:t>1,056,204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36830</wp:posOffset>
            </wp:positionV>
            <wp:extent cx="6995160" cy="825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10" w:lineRule="exact"/>
        <w:rPr>
          <w:sz w:val="20"/>
          <w:szCs w:val="20"/>
          <w:color w:val="auto"/>
        </w:rPr>
      </w:pPr>
    </w:p>
    <w:p>
      <w:pPr>
        <w:ind w:left="660" w:hanging="544"/>
        <w:spacing w:after="0"/>
        <w:tabs>
          <w:tab w:leader="none" w:pos="660" w:val="left"/>
        </w:tabs>
        <w:numPr>
          <w:ilvl w:val="0"/>
          <w:numId w:val="133"/>
        </w:numPr>
        <w:rPr>
          <w:rFonts w:ascii="Arial" w:cs="Arial" w:eastAsia="Arial" w:hAnsi="Arial"/>
          <w:sz w:val="20"/>
          <w:szCs w:val="20"/>
          <w:i w:val="1"/>
          <w:iCs w:val="1"/>
          <w:color w:val="3E3935"/>
        </w:rPr>
      </w:pPr>
      <w:r>
        <w:rPr>
          <w:rFonts w:ascii="Arial" w:cs="Arial" w:eastAsia="Arial" w:hAnsi="Arial"/>
          <w:sz w:val="20"/>
          <w:szCs w:val="20"/>
          <w:i w:val="1"/>
          <w:iCs w:val="1"/>
          <w:color w:val="3E3935"/>
        </w:rPr>
        <w:t>The amounts shown are included in All Other Compensation in the Summary Compensation Table.</w:t>
      </w:r>
    </w:p>
    <w:p>
      <w:pPr>
        <w:spacing w:after="0" w:line="67" w:lineRule="exact"/>
        <w:rPr>
          <w:rFonts w:ascii="Arial" w:cs="Arial" w:eastAsia="Arial" w:hAnsi="Arial"/>
          <w:sz w:val="20"/>
          <w:szCs w:val="20"/>
          <w:i w:val="1"/>
          <w:iCs w:val="1"/>
          <w:color w:val="3E3935"/>
        </w:rPr>
      </w:pPr>
    </w:p>
    <w:p>
      <w:pPr>
        <w:jc w:val="both"/>
        <w:ind w:left="660" w:hanging="544"/>
        <w:spacing w:after="0" w:line="241" w:lineRule="auto"/>
        <w:tabs>
          <w:tab w:leader="none" w:pos="660" w:val="left"/>
        </w:tabs>
        <w:numPr>
          <w:ilvl w:val="0"/>
          <w:numId w:val="133"/>
        </w:numPr>
        <w:rPr>
          <w:rFonts w:ascii="Arial" w:cs="Arial" w:eastAsia="Arial" w:hAnsi="Arial"/>
          <w:sz w:val="20"/>
          <w:szCs w:val="20"/>
          <w:i w:val="1"/>
          <w:iCs w:val="1"/>
          <w:color w:val="3E3935"/>
        </w:rPr>
      </w:pPr>
      <w:r>
        <w:rPr>
          <w:rFonts w:ascii="Arial" w:cs="Arial" w:eastAsia="Arial" w:hAnsi="Arial"/>
          <w:sz w:val="20"/>
          <w:szCs w:val="20"/>
          <w:i w:val="1"/>
          <w:iCs w:val="1"/>
          <w:color w:val="3E3935"/>
        </w:rPr>
        <w:t>The amounts shown are not reported in Change in Pension Value and Nonqualified Deferred Compensation Earnings in the Summary Compensation Table because we do not pay above-market earnings on deferred compensation in retirement plans.</w:t>
      </w:r>
    </w:p>
    <w:p>
      <w:pPr>
        <w:spacing w:after="0" w:line="36" w:lineRule="exact"/>
        <w:rPr>
          <w:rFonts w:ascii="Arial" w:cs="Arial" w:eastAsia="Arial" w:hAnsi="Arial"/>
          <w:sz w:val="20"/>
          <w:szCs w:val="20"/>
          <w:i w:val="1"/>
          <w:iCs w:val="1"/>
          <w:color w:val="3E3935"/>
        </w:rPr>
      </w:pPr>
    </w:p>
    <w:p>
      <w:pPr>
        <w:ind w:left="660" w:right="20" w:hanging="544"/>
        <w:spacing w:after="0" w:line="257" w:lineRule="auto"/>
        <w:tabs>
          <w:tab w:leader="none" w:pos="660" w:val="left"/>
        </w:tabs>
        <w:numPr>
          <w:ilvl w:val="0"/>
          <w:numId w:val="133"/>
        </w:numPr>
        <w:rPr>
          <w:rFonts w:ascii="Arial" w:cs="Arial" w:eastAsia="Arial" w:hAnsi="Arial"/>
          <w:sz w:val="20"/>
          <w:szCs w:val="20"/>
          <w:i w:val="1"/>
          <w:iCs w:val="1"/>
          <w:color w:val="3E3935"/>
        </w:rPr>
      </w:pPr>
      <w:r>
        <w:rPr>
          <w:rFonts w:ascii="Arial" w:cs="Arial" w:eastAsia="Arial" w:hAnsi="Arial"/>
          <w:sz w:val="20"/>
          <w:szCs w:val="20"/>
          <w:i w:val="1"/>
          <w:iCs w:val="1"/>
          <w:color w:val="3E3935"/>
        </w:rPr>
        <w:t>The following amounts have been included in the Summary Compensation Table in prior years: $3,121,184 (Ms. Barra), $63,888 (Mr. Jacobson), $1,457,850 (Mr. Reuss), $228,016 (Mr. Parks), and $255,439 (Mr. Carlisle).</w:t>
      </w:r>
    </w:p>
    <w:p>
      <w:pPr>
        <w:spacing w:after="0" w:line="213" w:lineRule="exact"/>
        <w:rPr>
          <w:sz w:val="20"/>
          <w:szCs w:val="20"/>
          <w:color w:val="auto"/>
        </w:rPr>
      </w:pPr>
    </w:p>
    <w:p>
      <w:pPr>
        <w:ind w:left="120"/>
        <w:spacing w:after="0"/>
        <w:rPr>
          <w:sz w:val="20"/>
          <w:szCs w:val="20"/>
          <w:color w:val="auto"/>
        </w:rPr>
      </w:pPr>
      <w:r>
        <w:rPr>
          <w:rFonts w:ascii="Arial" w:cs="Arial" w:eastAsia="Arial" w:hAnsi="Arial"/>
          <w:sz w:val="31"/>
          <w:szCs w:val="31"/>
          <w:color w:val="3E3935"/>
        </w:rPr>
        <w:t>Potential Payments Upon Termination</w:t>
      </w:r>
    </w:p>
    <w:p>
      <w:pPr>
        <w:spacing w:after="0" w:line="166" w:lineRule="exact"/>
        <w:rPr>
          <w:sz w:val="20"/>
          <w:szCs w:val="20"/>
          <w:color w:val="auto"/>
        </w:rPr>
      </w:pPr>
    </w:p>
    <w:p>
      <w:pPr>
        <w:jc w:val="both"/>
        <w:ind w:left="120" w:right="20"/>
        <w:spacing w:after="0" w:line="237" w:lineRule="auto"/>
        <w:rPr>
          <w:sz w:val="20"/>
          <w:szCs w:val="20"/>
          <w:color w:val="auto"/>
        </w:rPr>
      </w:pPr>
      <w:r>
        <w:rPr>
          <w:rFonts w:ascii="Arial" w:cs="Arial" w:eastAsia="Arial" w:hAnsi="Arial"/>
          <w:sz w:val="20"/>
          <w:szCs w:val="20"/>
          <w:color w:val="3E3935"/>
        </w:rPr>
        <w:t>The Company does not maintain individual employment agreements with any NEO that provide guaranteed payments in the event of a termination of employment or change in control. In the event that a NEO’s position with the Company is eliminated, including the elimination of the NEO’s position as a result of a change in control, the NEO would be eligible for a severance payment under the Executive Severance Program.</w:t>
      </w:r>
    </w:p>
    <w:p>
      <w:pPr>
        <w:spacing w:after="0" w:line="104" w:lineRule="exact"/>
        <w:rPr>
          <w:sz w:val="20"/>
          <w:szCs w:val="20"/>
          <w:color w:val="auto"/>
        </w:rPr>
      </w:pPr>
    </w:p>
    <w:p>
      <w:pPr>
        <w:jc w:val="both"/>
        <w:ind w:left="120"/>
        <w:spacing w:after="0" w:line="231" w:lineRule="auto"/>
        <w:rPr>
          <w:sz w:val="20"/>
          <w:szCs w:val="20"/>
          <w:color w:val="auto"/>
        </w:rPr>
      </w:pPr>
      <w:r>
        <w:rPr>
          <w:rFonts w:ascii="Arial" w:cs="Arial" w:eastAsia="Arial" w:hAnsi="Arial"/>
          <w:sz w:val="20"/>
          <w:szCs w:val="20"/>
          <w:color w:val="3E3935"/>
        </w:rPr>
        <w:t>The table below shows the potential payments to each NEO assuming a termination of employment on December 31, 2022, due to the following events: voluntary separation or termination for cause, qualifying termination under the Executive Severance Program, full career status retirement, disability, death, or change in control with termination of employment. Each of the separation events is described in more detail below. These provisions are generally applicable to participants in each of the respective plans and are not reserved only for NEOs. The payments below are in addition to the present value of the accumulated benefits from each NEO’s qualified and nonqualified pension plans shown in the “Pension Benefits” table on page 80 and the aggregate balance due to each NEO that is shown in the Nonqualified Deferred Compensation Plan table above.</w:t>
      </w:r>
    </w:p>
    <w:p>
      <w:pPr>
        <w:spacing w:after="0" w:line="118" w:lineRule="exact"/>
        <w:rPr>
          <w:sz w:val="20"/>
          <w:szCs w:val="20"/>
          <w:color w:val="auto"/>
        </w:rPr>
      </w:pPr>
    </w:p>
    <w:p>
      <w:pPr>
        <w:ind w:left="10660"/>
        <w:spacing w:after="0"/>
        <w:rPr>
          <w:sz w:val="20"/>
          <w:szCs w:val="20"/>
          <w:color w:val="auto"/>
        </w:rPr>
      </w:pPr>
      <w:r>
        <w:rPr>
          <w:rFonts w:ascii="Arial" w:cs="Arial" w:eastAsia="Arial" w:hAnsi="Arial"/>
          <w:sz w:val="14"/>
          <w:szCs w:val="14"/>
          <w:color w:val="0071CE"/>
        </w:rPr>
        <w:t>81</w:t>
      </w:r>
    </w:p>
    <w:p>
      <w:pPr>
        <w:sectPr>
          <w:pgSz w:w="11900" w:h="16838" w:orient="portrait"/>
          <w:cols w:equalWidth="0" w:num="1">
            <w:col w:w="11140"/>
          </w:cols>
          <w:pgMar w:left="320" w:top="482" w:right="43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6" w:lineRule="exact"/>
        <w:rPr>
          <w:sz w:val="20"/>
          <w:szCs w:val="20"/>
          <w:color w:val="auto"/>
        </w:rPr>
      </w:pPr>
    </w:p>
    <w:p>
      <w:pPr>
        <w:ind w:left="120"/>
        <w:spacing w:after="0"/>
        <w:rPr>
          <w:sz w:val="20"/>
          <w:szCs w:val="20"/>
          <w:color w:val="auto"/>
        </w:rPr>
      </w:pPr>
      <w:r>
        <w:rPr>
          <w:rFonts w:ascii="Arial" w:cs="Arial" w:eastAsia="Arial" w:hAnsi="Arial"/>
          <w:sz w:val="20"/>
          <w:szCs w:val="20"/>
          <w:color w:val="3E3935"/>
        </w:rPr>
        <w:t>For purposes of the following table, the Company describes these terminations and potential payments:</w:t>
      </w:r>
    </w:p>
    <w:p>
      <w:pPr>
        <w:spacing w:after="0" w:line="133" w:lineRule="exact"/>
        <w:rPr>
          <w:sz w:val="20"/>
          <w:szCs w:val="20"/>
          <w:color w:val="auto"/>
        </w:rPr>
      </w:pPr>
    </w:p>
    <w:p>
      <w:pPr>
        <w:jc w:val="both"/>
        <w:ind w:left="120"/>
        <w:spacing w:after="0" w:line="233" w:lineRule="auto"/>
        <w:rPr>
          <w:sz w:val="20"/>
          <w:szCs w:val="20"/>
          <w:color w:val="auto"/>
        </w:rPr>
      </w:pPr>
      <w:r>
        <w:rPr>
          <w:rFonts w:ascii="Arial" w:cs="Arial" w:eastAsia="Arial" w:hAnsi="Arial"/>
          <w:sz w:val="20"/>
          <w:szCs w:val="20"/>
          <w:b w:val="1"/>
          <w:bCs w:val="1"/>
          <w:color w:val="0071CE"/>
        </w:rPr>
        <w:t xml:space="preserve">Voluntary Separation or Termination for Cause </w:t>
      </w:r>
      <w:r>
        <w:rPr>
          <w:rFonts w:ascii="Arial" w:cs="Arial" w:eastAsia="Arial" w:hAnsi="Arial"/>
          <w:sz w:val="20"/>
          <w:szCs w:val="20"/>
          <w:color w:val="3E3935"/>
        </w:rPr>
        <w:t>— A voluntary separation occurs when an executive voluntarily terminates</w:t>
      </w:r>
      <w:r>
        <w:rPr>
          <w:rFonts w:ascii="Arial" w:cs="Arial" w:eastAsia="Arial" w:hAnsi="Arial"/>
          <w:sz w:val="20"/>
          <w:szCs w:val="20"/>
          <w:b w:val="1"/>
          <w:bCs w:val="1"/>
          <w:color w:val="0071CE"/>
        </w:rPr>
        <w:t xml:space="preserve"> </w:t>
      </w:r>
      <w:r>
        <w:rPr>
          <w:rFonts w:ascii="Arial" w:cs="Arial" w:eastAsia="Arial" w:hAnsi="Arial"/>
          <w:sz w:val="20"/>
          <w:szCs w:val="20"/>
          <w:color w:val="3E3935"/>
        </w:rPr>
        <w:t>employment with the Company. A full career status retirement receives different treatment, as discussed below. A termination for cause occurs when an executive is dismissed from employment by the Company for cause, which is considered to include, but is not limited to, the executive’s gross negligence, willful misconduct, or violation of state or federal securities laws. Under each of these scenarios, the executive generally forfeits all outstanding equity awards and is not eligible for any award or payment under the STIP.</w:t>
      </w:r>
    </w:p>
    <w:p>
      <w:pPr>
        <w:spacing w:after="0" w:line="105" w:lineRule="exact"/>
        <w:rPr>
          <w:sz w:val="20"/>
          <w:szCs w:val="20"/>
          <w:color w:val="auto"/>
        </w:rPr>
      </w:pPr>
    </w:p>
    <w:p>
      <w:pPr>
        <w:jc w:val="both"/>
        <w:ind w:left="120"/>
        <w:spacing w:after="0" w:line="232" w:lineRule="auto"/>
        <w:rPr>
          <w:sz w:val="20"/>
          <w:szCs w:val="20"/>
          <w:color w:val="auto"/>
        </w:rPr>
      </w:pPr>
      <w:r>
        <w:rPr>
          <w:rFonts w:ascii="Arial" w:cs="Arial" w:eastAsia="Arial" w:hAnsi="Arial"/>
          <w:sz w:val="20"/>
          <w:szCs w:val="20"/>
          <w:b w:val="1"/>
          <w:bCs w:val="1"/>
          <w:color w:val="0071CE"/>
        </w:rPr>
        <w:t xml:space="preserve">Executive Severance Program </w:t>
      </w:r>
      <w:r>
        <w:rPr>
          <w:rFonts w:ascii="Arial" w:cs="Arial" w:eastAsia="Arial" w:hAnsi="Arial"/>
          <w:sz w:val="20"/>
          <w:szCs w:val="20"/>
          <w:color w:val="3E3935"/>
        </w:rPr>
        <w:t>— A separation occurs when an executive’s position is eliminated, or the Company and an</w:t>
      </w:r>
      <w:r>
        <w:rPr>
          <w:rFonts w:ascii="Arial" w:cs="Arial" w:eastAsia="Arial" w:hAnsi="Arial"/>
          <w:sz w:val="20"/>
          <w:szCs w:val="20"/>
          <w:b w:val="1"/>
          <w:bCs w:val="1"/>
          <w:color w:val="0071CE"/>
        </w:rPr>
        <w:t xml:space="preserve"> </w:t>
      </w:r>
      <w:r>
        <w:rPr>
          <w:rFonts w:ascii="Arial" w:cs="Arial" w:eastAsia="Arial" w:hAnsi="Arial"/>
          <w:sz w:val="20"/>
          <w:szCs w:val="20"/>
          <w:color w:val="3E3935"/>
        </w:rPr>
        <w:t>executive agree to mutually end the employment relationship. An executive will be eligible to receive a severance payment from the Company calculated based on his or her position and reflected as a multiple of base salary, COBRA, and a STIP award at target. An executive may receive cash payments of the value of the equity awards that are scheduled to vest within the next year after separation at the time of vesting. Unvested stock options are usually forfeited. An executive is also eligible for outplacement assistance based on position. All potential payments are contingent upon the executive entering into a mutual separation agreement.</w:t>
      </w:r>
    </w:p>
    <w:p>
      <w:pPr>
        <w:spacing w:after="0" w:line="91" w:lineRule="exact"/>
        <w:rPr>
          <w:sz w:val="20"/>
          <w:szCs w:val="20"/>
          <w:color w:val="auto"/>
        </w:rPr>
      </w:pPr>
    </w:p>
    <w:p>
      <w:pPr>
        <w:jc w:val="both"/>
        <w:ind w:left="120" w:right="20"/>
        <w:spacing w:after="0" w:line="237" w:lineRule="auto"/>
        <w:rPr>
          <w:sz w:val="20"/>
          <w:szCs w:val="20"/>
          <w:color w:val="auto"/>
        </w:rPr>
      </w:pPr>
      <w:r>
        <w:rPr>
          <w:rFonts w:ascii="Arial" w:cs="Arial" w:eastAsia="Arial" w:hAnsi="Arial"/>
          <w:sz w:val="20"/>
          <w:szCs w:val="20"/>
          <w:b w:val="1"/>
          <w:bCs w:val="1"/>
          <w:color w:val="0071CE"/>
        </w:rPr>
        <w:t xml:space="preserve">Full Career Status Retirement </w:t>
      </w:r>
      <w:r>
        <w:rPr>
          <w:rFonts w:ascii="Arial" w:cs="Arial" w:eastAsia="Arial" w:hAnsi="Arial"/>
          <w:sz w:val="20"/>
          <w:szCs w:val="20"/>
          <w:color w:val="3E3935"/>
        </w:rPr>
        <w:t>— A full career status retirement occurs when an executive reaches the age of 55 with 10 or</w:t>
      </w:r>
      <w:r>
        <w:rPr>
          <w:rFonts w:ascii="Arial" w:cs="Arial" w:eastAsia="Arial" w:hAnsi="Arial"/>
          <w:sz w:val="20"/>
          <w:szCs w:val="20"/>
          <w:b w:val="1"/>
          <w:bCs w:val="1"/>
          <w:color w:val="0071CE"/>
        </w:rPr>
        <w:t xml:space="preserve"> </w:t>
      </w:r>
      <w:r>
        <w:rPr>
          <w:rFonts w:ascii="Arial" w:cs="Arial" w:eastAsia="Arial" w:hAnsi="Arial"/>
          <w:sz w:val="20"/>
          <w:szCs w:val="20"/>
          <w:color w:val="3E3935"/>
        </w:rPr>
        <w:t>more years of continuous service with the Company, or reaches the age of 62 or older, at which time the executive voluntarily separates from the Company. An executive who enters into a separation or severance agreement cannot also elect full career status retirement.</w:t>
      </w:r>
    </w:p>
    <w:p>
      <w:pPr>
        <w:spacing w:after="0" w:line="106" w:lineRule="exact"/>
        <w:rPr>
          <w:sz w:val="20"/>
          <w:szCs w:val="20"/>
          <w:color w:val="auto"/>
        </w:rPr>
      </w:pPr>
    </w:p>
    <w:p>
      <w:pPr>
        <w:jc w:val="both"/>
        <w:ind w:left="120"/>
        <w:spacing w:after="0" w:line="230" w:lineRule="auto"/>
        <w:rPr>
          <w:sz w:val="20"/>
          <w:szCs w:val="20"/>
          <w:color w:val="auto"/>
        </w:rPr>
      </w:pPr>
      <w:r>
        <w:rPr>
          <w:rFonts w:ascii="Arial" w:cs="Arial" w:eastAsia="Arial" w:hAnsi="Arial"/>
          <w:sz w:val="20"/>
          <w:szCs w:val="20"/>
          <w:color w:val="3E3935"/>
        </w:rPr>
        <w:t>In the event of a full career status retirement, the executive is generally eligible for a prorated STIP award based on his or her retirement date in the performance year and once final performance has been determined. RSUs granted in the year of the retirement date are prorated based on the retirement date, and continue to vest in accordance with the vesting schedule. RSUs granted prior to the year of the retirement date will continue to vest in accordance with the vesting schedule. PSUs granted in the year of the retirement date are prorated based on the retirement date, and will be adjusted for final Company performance and be settled following approval of such performance. PSUs granted prior to the year of the retirement date will remain outstanding until the end of the performance period, at which time they will be adjusted for final Company performance and be settled following approval of such performance. Stock options granted in the year of the retirement date are prorated based on the retirement date, and continue to vest in accordance with the vesting schedule. Stock options granted prior to the year of the retirement date will continue to vest in accordance with the vesting schedule.</w:t>
      </w:r>
    </w:p>
    <w:p>
      <w:pPr>
        <w:spacing w:after="0" w:line="103" w:lineRule="exact"/>
        <w:rPr>
          <w:sz w:val="20"/>
          <w:szCs w:val="20"/>
          <w:color w:val="auto"/>
        </w:rPr>
      </w:pPr>
    </w:p>
    <w:p>
      <w:pPr>
        <w:jc w:val="both"/>
        <w:ind w:left="120"/>
        <w:spacing w:after="0" w:line="232" w:lineRule="auto"/>
        <w:rPr>
          <w:sz w:val="20"/>
          <w:szCs w:val="20"/>
          <w:color w:val="auto"/>
        </w:rPr>
      </w:pPr>
      <w:r>
        <w:rPr>
          <w:rFonts w:ascii="Arial" w:cs="Arial" w:eastAsia="Arial" w:hAnsi="Arial"/>
          <w:sz w:val="20"/>
          <w:szCs w:val="20"/>
          <w:b w:val="1"/>
          <w:bCs w:val="1"/>
          <w:color w:val="0071CE"/>
        </w:rPr>
        <w:t xml:space="preserve">Disability </w:t>
      </w:r>
      <w:r>
        <w:rPr>
          <w:rFonts w:ascii="Arial" w:cs="Arial" w:eastAsia="Arial" w:hAnsi="Arial"/>
          <w:sz w:val="20"/>
          <w:szCs w:val="20"/>
          <w:color w:val="3E3935"/>
        </w:rPr>
        <w:t>— Disability occurs when an executive terminates employment by reason of his or her inability to engage in any</w:t>
      </w:r>
      <w:r>
        <w:rPr>
          <w:rFonts w:ascii="Arial" w:cs="Arial" w:eastAsia="Arial" w:hAnsi="Arial"/>
          <w:sz w:val="20"/>
          <w:szCs w:val="20"/>
          <w:b w:val="1"/>
          <w:bCs w:val="1"/>
          <w:color w:val="0071CE"/>
        </w:rPr>
        <w:t xml:space="preserve"> </w:t>
      </w:r>
      <w:r>
        <w:rPr>
          <w:rFonts w:ascii="Arial" w:cs="Arial" w:eastAsia="Arial" w:hAnsi="Arial"/>
          <w:sz w:val="20"/>
          <w:szCs w:val="20"/>
          <w:color w:val="3E3935"/>
        </w:rPr>
        <w:t>gainful activity due to a medically determinable physical or mental impairment that can be expected to result in death or can be expected to last for a continuous period of not less than 12 months. The executive is eligible for a full-year STIP award related to the year in which termination occurs once final Company performance has been determined. RSUs will continue to vest in accordance with the vesting schedule. PSUs will remain outstanding until the end of the performance period, at which time they will be adjusted for final Company performance and be settled following approval of such performance. Stock options will continue to vest in accordance with the vesting schedule.</w:t>
      </w:r>
    </w:p>
    <w:p>
      <w:pPr>
        <w:spacing w:after="0" w:line="91" w:lineRule="exact"/>
        <w:rPr>
          <w:sz w:val="20"/>
          <w:szCs w:val="20"/>
          <w:color w:val="auto"/>
        </w:rPr>
      </w:pPr>
    </w:p>
    <w:p>
      <w:pPr>
        <w:jc w:val="both"/>
        <w:ind w:left="120" w:right="20"/>
        <w:spacing w:after="0" w:line="237" w:lineRule="auto"/>
        <w:rPr>
          <w:sz w:val="20"/>
          <w:szCs w:val="20"/>
          <w:color w:val="auto"/>
        </w:rPr>
      </w:pPr>
      <w:r>
        <w:rPr>
          <w:rFonts w:ascii="Arial" w:cs="Arial" w:eastAsia="Arial" w:hAnsi="Arial"/>
          <w:sz w:val="20"/>
          <w:szCs w:val="20"/>
          <w:b w:val="1"/>
          <w:bCs w:val="1"/>
          <w:color w:val="0071CE"/>
        </w:rPr>
        <w:t xml:space="preserve">Death </w:t>
      </w:r>
      <w:r>
        <w:rPr>
          <w:rFonts w:ascii="Arial" w:cs="Arial" w:eastAsia="Arial" w:hAnsi="Arial"/>
          <w:sz w:val="20"/>
          <w:szCs w:val="20"/>
          <w:color w:val="3E3935"/>
        </w:rPr>
        <w:t>— Following the death of an executive, the beneficiary of the executive is eligible to receive the full-year STIP award</w:t>
      </w:r>
      <w:r>
        <w:rPr>
          <w:rFonts w:ascii="Arial" w:cs="Arial" w:eastAsia="Arial" w:hAnsi="Arial"/>
          <w:sz w:val="20"/>
          <w:szCs w:val="20"/>
          <w:b w:val="1"/>
          <w:bCs w:val="1"/>
          <w:color w:val="0071CE"/>
        </w:rPr>
        <w:t xml:space="preserve"> </w:t>
      </w:r>
      <w:r>
        <w:rPr>
          <w:rFonts w:ascii="Arial" w:cs="Arial" w:eastAsia="Arial" w:hAnsi="Arial"/>
          <w:sz w:val="20"/>
          <w:szCs w:val="20"/>
          <w:color w:val="3E3935"/>
        </w:rPr>
        <w:t>subject to adjustment for final Company performance. RSUs immediately vest in full and are settled within 90 days of death. PSUs will remain outstanding until the end of the performance period, at which time they will be adjusted for final Company performance and be settled following approval of such performance. Stock options immediately vest upon death.</w:t>
      </w:r>
    </w:p>
    <w:p>
      <w:pPr>
        <w:spacing w:after="0" w:line="104" w:lineRule="exact"/>
        <w:rPr>
          <w:sz w:val="20"/>
          <w:szCs w:val="20"/>
          <w:color w:val="auto"/>
        </w:rPr>
      </w:pPr>
    </w:p>
    <w:p>
      <w:pPr>
        <w:jc w:val="both"/>
        <w:ind w:left="120" w:right="20"/>
        <w:spacing w:after="0" w:line="259" w:lineRule="auto"/>
        <w:rPr>
          <w:sz w:val="20"/>
          <w:szCs w:val="20"/>
          <w:color w:val="auto"/>
        </w:rPr>
      </w:pPr>
      <w:r>
        <w:rPr>
          <w:rFonts w:ascii="Arial" w:cs="Arial" w:eastAsia="Arial" w:hAnsi="Arial"/>
          <w:sz w:val="20"/>
          <w:szCs w:val="20"/>
          <w:b w:val="1"/>
          <w:bCs w:val="1"/>
          <w:color w:val="0071CE"/>
        </w:rPr>
        <w:t xml:space="preserve">Change in Control (Double Trigger) </w:t>
      </w:r>
      <w:r>
        <w:rPr>
          <w:rFonts w:ascii="Arial" w:cs="Arial" w:eastAsia="Arial" w:hAnsi="Arial"/>
          <w:sz w:val="20"/>
          <w:szCs w:val="20"/>
          <w:color w:val="3E3935"/>
        </w:rPr>
        <w:t>— In the event of a termination of employment resulting from a change in control, an</w:t>
      </w:r>
      <w:r>
        <w:rPr>
          <w:rFonts w:ascii="Arial" w:cs="Arial" w:eastAsia="Arial" w:hAnsi="Arial"/>
          <w:sz w:val="20"/>
          <w:szCs w:val="20"/>
          <w:b w:val="1"/>
          <w:bCs w:val="1"/>
          <w:color w:val="0071CE"/>
        </w:rPr>
        <w:t xml:space="preserve"> </w:t>
      </w:r>
      <w:r>
        <w:rPr>
          <w:rFonts w:ascii="Arial" w:cs="Arial" w:eastAsia="Arial" w:hAnsi="Arial"/>
          <w:sz w:val="20"/>
          <w:szCs w:val="20"/>
          <w:color w:val="3E3935"/>
        </w:rPr>
        <w:t>executive will be eligible for severance under the Executive Severance Program that</w:t>
      </w:r>
    </w:p>
    <w:p>
      <w:pPr>
        <w:spacing w:after="0" w:line="99" w:lineRule="exact"/>
        <w:rPr>
          <w:sz w:val="20"/>
          <w:szCs w:val="20"/>
          <w:color w:val="auto"/>
        </w:rPr>
      </w:pPr>
    </w:p>
    <w:p>
      <w:pPr>
        <w:ind w:left="120"/>
        <w:spacing w:after="0"/>
        <w:rPr>
          <w:sz w:val="20"/>
          <w:szCs w:val="20"/>
          <w:color w:val="auto"/>
        </w:rPr>
      </w:pPr>
      <w:r>
        <w:rPr>
          <w:rFonts w:ascii="Arial" w:cs="Arial" w:eastAsia="Arial" w:hAnsi="Arial"/>
          <w:sz w:val="14"/>
          <w:szCs w:val="14"/>
          <w:color w:val="0071CE"/>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wp:posOffset>
            </wp:positionH>
            <wp:positionV relativeFrom="paragraph">
              <wp:posOffset>-95885</wp:posOffset>
            </wp:positionV>
            <wp:extent cx="5983605" cy="10287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5983605" cy="102870"/>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6" w:lineRule="exact"/>
        <w:rPr>
          <w:sz w:val="20"/>
          <w:szCs w:val="20"/>
          <w:color w:val="auto"/>
        </w:rPr>
      </w:pPr>
    </w:p>
    <w:p>
      <w:pPr>
        <w:jc w:val="both"/>
        <w:ind w:left="120"/>
        <w:spacing w:after="0" w:line="233" w:lineRule="auto"/>
        <w:rPr>
          <w:sz w:val="20"/>
          <w:szCs w:val="20"/>
          <w:color w:val="auto"/>
        </w:rPr>
      </w:pPr>
      <w:r>
        <w:rPr>
          <w:rFonts w:ascii="Arial" w:cs="Arial" w:eastAsia="Arial" w:hAnsi="Arial"/>
          <w:sz w:val="20"/>
          <w:szCs w:val="20"/>
          <w:color w:val="3E3935"/>
        </w:rPr>
        <w:t>provides a severance payment based on position and a multiple of base salary and COBRA. An executive will also receive a STIP award at target and the STIP award for the prior year if such award has been determined but not paid. If the STIP award for the prior year has not been determined, the award shall be determined at target and paid. All RSU awards will generally vest and become payable immediately prior to the change in control. For PSUs, the performance period will end immediately prior to the change in control and awards will be determined based on actual performance and converted to a time-based award. Stock options immediately vest and are exercisable upon termination as a result of a change in control.</w:t>
      </w:r>
    </w:p>
    <w:p>
      <w:pPr>
        <w:spacing w:after="0" w:line="105" w:lineRule="exact"/>
        <w:rPr>
          <w:sz w:val="20"/>
          <w:szCs w:val="20"/>
          <w:color w:val="auto"/>
        </w:rPr>
      </w:pPr>
    </w:p>
    <w:p>
      <w:pPr>
        <w:jc w:val="both"/>
        <w:ind w:left="120" w:right="20"/>
        <w:spacing w:after="0" w:line="257" w:lineRule="auto"/>
        <w:rPr>
          <w:sz w:val="20"/>
          <w:szCs w:val="20"/>
          <w:color w:val="auto"/>
        </w:rPr>
      </w:pPr>
      <w:r>
        <w:rPr>
          <w:rFonts w:ascii="Arial" w:cs="Arial" w:eastAsia="Arial" w:hAnsi="Arial"/>
          <w:sz w:val="20"/>
          <w:szCs w:val="20"/>
          <w:color w:val="3E3935"/>
        </w:rPr>
        <w:t>Amounts shown below are calculated by assuming that the relevant employment termination event occurred on December 31, 2022.</w:t>
      </w:r>
    </w:p>
    <w:p>
      <w:pPr>
        <w:spacing w:after="0" w:line="184" w:lineRule="exact"/>
        <w:rPr>
          <w:sz w:val="20"/>
          <w:szCs w:val="20"/>
          <w:color w:val="auto"/>
        </w:rPr>
      </w:pPr>
    </w:p>
    <w:tbl>
      <w:tblPr>
        <w:tblLayout w:type="fixed"/>
        <w:tblInd w:w="120" w:type="dxa"/>
        <w:tblCellMar>
          <w:top w:w="0" w:type="dxa"/>
          <w:left w:w="0" w:type="dxa"/>
          <w:bottom w:w="0" w:type="dxa"/>
          <w:right w:w="0" w:type="dxa"/>
        </w:tblCellMar>
      </w:tblPr>
      <w:tr>
        <w:trPr>
          <w:trHeight w:val="180"/>
        </w:trPr>
        <w:tc>
          <w:tcPr>
            <w:tcW w:w="3340" w:type="dxa"/>
            <w:vAlign w:val="bottom"/>
            <w:tcBorders>
              <w:top w:val="single" w:sz="8" w:color="00C1DE"/>
            </w:tcBorders>
          </w:tcPr>
          <w:p>
            <w:pPr>
              <w:spacing w:after="0"/>
              <w:rPr>
                <w:sz w:val="15"/>
                <w:szCs w:val="15"/>
                <w:color w:val="auto"/>
              </w:rPr>
            </w:pPr>
          </w:p>
        </w:tc>
        <w:tc>
          <w:tcPr>
            <w:tcW w:w="1300" w:type="dxa"/>
            <w:vAlign w:val="bottom"/>
            <w:tcBorders>
              <w:top w:val="single" w:sz="8" w:color="00C1DE"/>
            </w:tcBorders>
          </w:tcPr>
          <w:p>
            <w:pPr>
              <w:spacing w:after="0"/>
              <w:rPr>
                <w:sz w:val="15"/>
                <w:szCs w:val="15"/>
                <w:color w:val="auto"/>
              </w:rPr>
            </w:pPr>
          </w:p>
        </w:tc>
        <w:tc>
          <w:tcPr>
            <w:tcW w:w="1180" w:type="dxa"/>
            <w:vAlign w:val="bottom"/>
            <w:tcBorders>
              <w:top w:val="single" w:sz="8" w:color="00C1DE"/>
            </w:tcBorders>
          </w:tcPr>
          <w:p>
            <w:pPr>
              <w:jc w:val="right"/>
              <w:ind w:right="68"/>
              <w:spacing w:after="0"/>
              <w:rPr>
                <w:sz w:val="20"/>
                <w:szCs w:val="20"/>
                <w:color w:val="auto"/>
              </w:rPr>
            </w:pPr>
            <w:r>
              <w:rPr>
                <w:rFonts w:ascii="Arial" w:cs="Arial" w:eastAsia="Arial" w:hAnsi="Arial"/>
                <w:sz w:val="14"/>
                <w:szCs w:val="14"/>
                <w:b w:val="1"/>
                <w:bCs w:val="1"/>
                <w:color w:val="00C1DE"/>
              </w:rPr>
              <w:t>Voluntary</w:t>
            </w:r>
          </w:p>
        </w:tc>
        <w:tc>
          <w:tcPr>
            <w:tcW w:w="1000" w:type="dxa"/>
            <w:vAlign w:val="bottom"/>
            <w:tcBorders>
              <w:top w:val="single" w:sz="8" w:color="00C1DE"/>
            </w:tcBorders>
          </w:tcPr>
          <w:p>
            <w:pPr>
              <w:spacing w:after="0"/>
              <w:rPr>
                <w:sz w:val="15"/>
                <w:szCs w:val="15"/>
                <w:color w:val="auto"/>
              </w:rPr>
            </w:pPr>
          </w:p>
        </w:tc>
        <w:tc>
          <w:tcPr>
            <w:tcW w:w="1160" w:type="dxa"/>
            <w:vAlign w:val="bottom"/>
            <w:tcBorders>
              <w:top w:val="single" w:sz="8" w:color="00C1DE"/>
            </w:tcBorders>
          </w:tcPr>
          <w:p>
            <w:pPr>
              <w:spacing w:after="0"/>
              <w:rPr>
                <w:sz w:val="15"/>
                <w:szCs w:val="15"/>
                <w:color w:val="auto"/>
              </w:rPr>
            </w:pPr>
          </w:p>
        </w:tc>
        <w:tc>
          <w:tcPr>
            <w:tcW w:w="1020" w:type="dxa"/>
            <w:vAlign w:val="bottom"/>
            <w:tcBorders>
              <w:top w:val="single" w:sz="8" w:color="00C1DE"/>
            </w:tcBorders>
          </w:tcPr>
          <w:p>
            <w:pPr>
              <w:spacing w:after="0"/>
              <w:rPr>
                <w:sz w:val="15"/>
                <w:szCs w:val="15"/>
                <w:color w:val="auto"/>
              </w:rPr>
            </w:pPr>
          </w:p>
        </w:tc>
        <w:tc>
          <w:tcPr>
            <w:tcW w:w="1000" w:type="dxa"/>
            <w:vAlign w:val="bottom"/>
            <w:tcBorders>
              <w:top w:val="single" w:sz="8" w:color="00C1DE"/>
            </w:tcBorders>
          </w:tcPr>
          <w:p>
            <w:pPr>
              <w:spacing w:after="0"/>
              <w:rPr>
                <w:sz w:val="15"/>
                <w:szCs w:val="15"/>
                <w:color w:val="auto"/>
              </w:rPr>
            </w:pPr>
          </w:p>
        </w:tc>
        <w:tc>
          <w:tcPr>
            <w:tcW w:w="1020" w:type="dxa"/>
            <w:vAlign w:val="bottom"/>
            <w:tcBorders>
              <w:top w:val="single" w:sz="8" w:color="00C1DE"/>
            </w:tcBorders>
          </w:tcPr>
          <w:p>
            <w:pPr>
              <w:spacing w:after="0"/>
              <w:rPr>
                <w:sz w:val="15"/>
                <w:szCs w:val="15"/>
                <w:color w:val="auto"/>
              </w:rPr>
            </w:pPr>
          </w:p>
        </w:tc>
      </w:tr>
      <w:tr>
        <w:trPr>
          <w:trHeight w:val="162"/>
        </w:trPr>
        <w:tc>
          <w:tcPr>
            <w:tcW w:w="33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180" w:type="dxa"/>
            <w:vAlign w:val="bottom"/>
          </w:tcPr>
          <w:p>
            <w:pPr>
              <w:jc w:val="right"/>
              <w:ind w:right="68"/>
              <w:spacing w:after="0"/>
              <w:rPr>
                <w:sz w:val="20"/>
                <w:szCs w:val="20"/>
                <w:color w:val="auto"/>
              </w:rPr>
            </w:pPr>
            <w:r>
              <w:rPr>
                <w:rFonts w:ascii="Arial" w:cs="Arial" w:eastAsia="Arial" w:hAnsi="Arial"/>
                <w:sz w:val="14"/>
                <w:szCs w:val="14"/>
                <w:b w:val="1"/>
                <w:bCs w:val="1"/>
                <w:color w:val="00C1DE"/>
              </w:rPr>
              <w:t>Separation or</w:t>
            </w:r>
          </w:p>
        </w:tc>
        <w:tc>
          <w:tcPr>
            <w:tcW w:w="1000" w:type="dxa"/>
            <w:vAlign w:val="bottom"/>
          </w:tcPr>
          <w:p>
            <w:pPr>
              <w:jc w:val="right"/>
              <w:ind w:right="48"/>
              <w:spacing w:after="0"/>
              <w:rPr>
                <w:sz w:val="20"/>
                <w:szCs w:val="20"/>
                <w:color w:val="auto"/>
              </w:rPr>
            </w:pPr>
            <w:r>
              <w:rPr>
                <w:rFonts w:ascii="Arial" w:cs="Arial" w:eastAsia="Arial" w:hAnsi="Arial"/>
                <w:sz w:val="14"/>
                <w:szCs w:val="14"/>
                <w:b w:val="1"/>
                <w:bCs w:val="1"/>
                <w:color w:val="00C1DE"/>
              </w:rPr>
              <w:t>Executive</w:t>
            </w:r>
          </w:p>
        </w:tc>
        <w:tc>
          <w:tcPr>
            <w:tcW w:w="11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00C1DE"/>
              </w:rPr>
              <w:t>Change in</w:t>
            </w:r>
          </w:p>
        </w:tc>
      </w:tr>
      <w:tr>
        <w:trPr>
          <w:trHeight w:val="158"/>
        </w:trPr>
        <w:tc>
          <w:tcPr>
            <w:tcW w:w="3340" w:type="dxa"/>
            <w:vAlign w:val="bottom"/>
          </w:tcPr>
          <w:p>
            <w:pPr>
              <w:spacing w:after="0"/>
              <w:rPr>
                <w:sz w:val="13"/>
                <w:szCs w:val="13"/>
                <w:color w:val="auto"/>
              </w:rPr>
            </w:pPr>
          </w:p>
        </w:tc>
        <w:tc>
          <w:tcPr>
            <w:tcW w:w="1300" w:type="dxa"/>
            <w:vAlign w:val="bottom"/>
          </w:tcPr>
          <w:p>
            <w:pPr>
              <w:ind w:left="200"/>
              <w:spacing w:after="0" w:line="158" w:lineRule="exact"/>
              <w:rPr>
                <w:sz w:val="20"/>
                <w:szCs w:val="20"/>
                <w:color w:val="auto"/>
              </w:rPr>
            </w:pPr>
            <w:r>
              <w:rPr>
                <w:rFonts w:ascii="Arial" w:cs="Arial" w:eastAsia="Arial" w:hAnsi="Arial"/>
                <w:sz w:val="14"/>
                <w:szCs w:val="14"/>
                <w:b w:val="1"/>
                <w:bCs w:val="1"/>
                <w:color w:val="00C1DE"/>
              </w:rPr>
              <w:t>Compensation</w:t>
            </w:r>
          </w:p>
        </w:tc>
        <w:tc>
          <w:tcPr>
            <w:tcW w:w="1180" w:type="dxa"/>
            <w:vAlign w:val="bottom"/>
          </w:tcPr>
          <w:p>
            <w:pPr>
              <w:jc w:val="right"/>
              <w:ind w:right="68"/>
              <w:spacing w:after="0" w:line="158" w:lineRule="exact"/>
              <w:rPr>
                <w:sz w:val="20"/>
                <w:szCs w:val="20"/>
                <w:color w:val="auto"/>
              </w:rPr>
            </w:pPr>
            <w:r>
              <w:rPr>
                <w:rFonts w:ascii="Arial" w:cs="Arial" w:eastAsia="Arial" w:hAnsi="Arial"/>
                <w:sz w:val="14"/>
                <w:szCs w:val="14"/>
                <w:b w:val="1"/>
                <w:bCs w:val="1"/>
                <w:color w:val="00C1DE"/>
              </w:rPr>
              <w:t>Termination</w:t>
            </w:r>
          </w:p>
        </w:tc>
        <w:tc>
          <w:tcPr>
            <w:tcW w:w="1000" w:type="dxa"/>
            <w:vAlign w:val="bottom"/>
          </w:tcPr>
          <w:p>
            <w:pPr>
              <w:jc w:val="right"/>
              <w:ind w:right="48"/>
              <w:spacing w:after="0" w:line="158" w:lineRule="exact"/>
              <w:rPr>
                <w:sz w:val="20"/>
                <w:szCs w:val="20"/>
                <w:color w:val="auto"/>
              </w:rPr>
            </w:pPr>
            <w:r>
              <w:rPr>
                <w:rFonts w:ascii="Arial" w:cs="Arial" w:eastAsia="Arial" w:hAnsi="Arial"/>
                <w:sz w:val="14"/>
                <w:szCs w:val="14"/>
                <w:b w:val="1"/>
                <w:bCs w:val="1"/>
                <w:color w:val="00C1DE"/>
              </w:rPr>
              <w:t>Severance</w:t>
            </w:r>
          </w:p>
        </w:tc>
        <w:tc>
          <w:tcPr>
            <w:tcW w:w="11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20" w:type="dxa"/>
            <w:vAlign w:val="bottom"/>
          </w:tcPr>
          <w:p>
            <w:pPr>
              <w:jc w:val="right"/>
              <w:spacing w:after="0" w:line="158" w:lineRule="exact"/>
              <w:rPr>
                <w:sz w:val="20"/>
                <w:szCs w:val="20"/>
                <w:color w:val="auto"/>
              </w:rPr>
            </w:pPr>
            <w:r>
              <w:rPr>
                <w:rFonts w:ascii="Arial" w:cs="Arial" w:eastAsia="Arial" w:hAnsi="Arial"/>
                <w:sz w:val="14"/>
                <w:szCs w:val="14"/>
                <w:b w:val="1"/>
                <w:bCs w:val="1"/>
                <w:color w:val="00C1DE"/>
              </w:rPr>
              <w:t>Control with</w:t>
            </w:r>
          </w:p>
        </w:tc>
      </w:tr>
      <w:tr>
        <w:trPr>
          <w:trHeight w:val="256"/>
        </w:trPr>
        <w:tc>
          <w:tcPr>
            <w:tcW w:w="3340" w:type="dxa"/>
            <w:vAlign w:val="bottom"/>
            <w:tcBorders>
              <w:bottom w:val="single" w:sz="8" w:color="00C1DE"/>
            </w:tcBorders>
          </w:tcPr>
          <w:p>
            <w:pPr>
              <w:ind w:left="80"/>
              <w:spacing w:after="0"/>
              <w:rPr>
                <w:sz w:val="20"/>
                <w:szCs w:val="20"/>
                <w:color w:val="auto"/>
              </w:rPr>
            </w:pPr>
            <w:r>
              <w:rPr>
                <w:rFonts w:ascii="Arial" w:cs="Arial" w:eastAsia="Arial" w:hAnsi="Arial"/>
                <w:sz w:val="14"/>
                <w:szCs w:val="14"/>
                <w:b w:val="1"/>
                <w:bCs w:val="1"/>
                <w:color w:val="00C1DE"/>
              </w:rPr>
              <w:t>Name</w:t>
            </w:r>
          </w:p>
        </w:tc>
        <w:tc>
          <w:tcPr>
            <w:tcW w:w="1300" w:type="dxa"/>
            <w:vAlign w:val="bottom"/>
            <w:tcBorders>
              <w:bottom w:val="single" w:sz="8" w:color="00C1DE"/>
            </w:tcBorders>
          </w:tcPr>
          <w:p>
            <w:pPr>
              <w:ind w:left="260"/>
              <w:spacing w:after="0" w:line="255" w:lineRule="exact"/>
              <w:rPr>
                <w:sz w:val="20"/>
                <w:szCs w:val="20"/>
                <w:color w:val="auto"/>
              </w:rPr>
            </w:pPr>
            <w:r>
              <w:rPr>
                <w:rFonts w:ascii="Arial" w:cs="Arial" w:eastAsia="Arial" w:hAnsi="Arial"/>
                <w:sz w:val="28"/>
                <w:szCs w:val="28"/>
                <w:b w:val="1"/>
                <w:bCs w:val="1"/>
                <w:color w:val="00C1DE"/>
                <w:w w:val="90"/>
                <w:vertAlign w:val="subscript"/>
              </w:rPr>
              <w:t>Element</w:t>
            </w:r>
            <w:r>
              <w:rPr>
                <w:rFonts w:ascii="Arial" w:cs="Arial" w:eastAsia="Arial" w:hAnsi="Arial"/>
                <w:sz w:val="11"/>
                <w:szCs w:val="11"/>
                <w:b w:val="1"/>
                <w:bCs w:val="1"/>
                <w:color w:val="00C1DE"/>
                <w:w w:val="90"/>
              </w:rPr>
              <w:t>(1)(2)(3)</w:t>
            </w:r>
          </w:p>
        </w:tc>
        <w:tc>
          <w:tcPr>
            <w:tcW w:w="1180" w:type="dxa"/>
            <w:vAlign w:val="bottom"/>
            <w:tcBorders>
              <w:bottom w:val="single" w:sz="8" w:color="00C1DE"/>
            </w:tcBorders>
          </w:tcPr>
          <w:p>
            <w:pPr>
              <w:jc w:val="right"/>
              <w:ind w:right="68"/>
              <w:spacing w:after="0"/>
              <w:rPr>
                <w:sz w:val="20"/>
                <w:szCs w:val="20"/>
                <w:color w:val="auto"/>
              </w:rPr>
            </w:pPr>
            <w:r>
              <w:rPr>
                <w:rFonts w:ascii="Arial" w:cs="Arial" w:eastAsia="Arial" w:hAnsi="Arial"/>
                <w:sz w:val="14"/>
                <w:szCs w:val="14"/>
                <w:b w:val="1"/>
                <w:bCs w:val="1"/>
                <w:color w:val="00C1DE"/>
              </w:rPr>
              <w:t>for Cause</w:t>
            </w:r>
          </w:p>
        </w:tc>
        <w:tc>
          <w:tcPr>
            <w:tcW w:w="1000" w:type="dxa"/>
            <w:vAlign w:val="bottom"/>
            <w:tcBorders>
              <w:bottom w:val="single" w:sz="8" w:color="00C1DE"/>
            </w:tcBorders>
          </w:tcPr>
          <w:p>
            <w:pPr>
              <w:jc w:val="right"/>
              <w:ind w:right="48"/>
              <w:spacing w:after="0"/>
              <w:rPr>
                <w:sz w:val="20"/>
                <w:szCs w:val="20"/>
                <w:color w:val="auto"/>
              </w:rPr>
            </w:pPr>
            <w:r>
              <w:rPr>
                <w:rFonts w:ascii="Arial" w:cs="Arial" w:eastAsia="Arial" w:hAnsi="Arial"/>
                <w:sz w:val="14"/>
                <w:szCs w:val="14"/>
                <w:b w:val="1"/>
                <w:bCs w:val="1"/>
                <w:color w:val="00C1DE"/>
              </w:rPr>
              <w:t>Program</w:t>
            </w:r>
          </w:p>
        </w:tc>
        <w:tc>
          <w:tcPr>
            <w:tcW w:w="1160" w:type="dxa"/>
            <w:vAlign w:val="bottom"/>
            <w:tcBorders>
              <w:bottom w:val="single" w:sz="8" w:color="00C1DE"/>
            </w:tcBorders>
          </w:tcPr>
          <w:p>
            <w:pPr>
              <w:jc w:val="right"/>
              <w:ind w:right="88"/>
              <w:spacing w:after="0"/>
              <w:rPr>
                <w:sz w:val="20"/>
                <w:szCs w:val="20"/>
                <w:color w:val="auto"/>
              </w:rPr>
            </w:pPr>
            <w:r>
              <w:rPr>
                <w:rFonts w:ascii="Arial" w:cs="Arial" w:eastAsia="Arial" w:hAnsi="Arial"/>
                <w:sz w:val="14"/>
                <w:szCs w:val="14"/>
                <w:b w:val="1"/>
                <w:bCs w:val="1"/>
                <w:color w:val="00C1DE"/>
              </w:rPr>
              <w:t>Retirement</w:t>
            </w:r>
            <w:r>
              <w:rPr>
                <w:rFonts w:ascii="Arial" w:cs="Arial" w:eastAsia="Arial" w:hAnsi="Arial"/>
                <w:sz w:val="21"/>
                <w:szCs w:val="21"/>
                <w:b w:val="1"/>
                <w:bCs w:val="1"/>
                <w:color w:val="00C1DE"/>
                <w:vertAlign w:val="superscript"/>
              </w:rPr>
              <w:t>(4)</w:t>
            </w:r>
          </w:p>
        </w:tc>
        <w:tc>
          <w:tcPr>
            <w:tcW w:w="1020" w:type="dxa"/>
            <w:vAlign w:val="bottom"/>
            <w:tcBorders>
              <w:bottom w:val="single" w:sz="8" w:color="00C1DE"/>
            </w:tcBorders>
          </w:tcPr>
          <w:p>
            <w:pPr>
              <w:jc w:val="right"/>
              <w:ind w:right="88"/>
              <w:spacing w:after="0"/>
              <w:rPr>
                <w:sz w:val="20"/>
                <w:szCs w:val="20"/>
                <w:color w:val="auto"/>
              </w:rPr>
            </w:pPr>
            <w:r>
              <w:rPr>
                <w:rFonts w:ascii="Arial" w:cs="Arial" w:eastAsia="Arial" w:hAnsi="Arial"/>
                <w:sz w:val="14"/>
                <w:szCs w:val="14"/>
                <w:b w:val="1"/>
                <w:bCs w:val="1"/>
                <w:color w:val="00C1DE"/>
              </w:rPr>
              <w:t>Disability</w:t>
            </w:r>
          </w:p>
        </w:tc>
        <w:tc>
          <w:tcPr>
            <w:tcW w:w="1000" w:type="dxa"/>
            <w:vAlign w:val="bottom"/>
            <w:tcBorders>
              <w:bottom w:val="single" w:sz="8" w:color="00C1DE"/>
            </w:tcBorders>
          </w:tcPr>
          <w:p>
            <w:pPr>
              <w:jc w:val="right"/>
              <w:ind w:right="68"/>
              <w:spacing w:after="0"/>
              <w:rPr>
                <w:sz w:val="20"/>
                <w:szCs w:val="20"/>
                <w:color w:val="auto"/>
              </w:rPr>
            </w:pPr>
            <w:r>
              <w:rPr>
                <w:rFonts w:ascii="Arial" w:cs="Arial" w:eastAsia="Arial" w:hAnsi="Arial"/>
                <w:sz w:val="14"/>
                <w:szCs w:val="14"/>
                <w:b w:val="1"/>
                <w:bCs w:val="1"/>
                <w:color w:val="00C1DE"/>
              </w:rPr>
              <w:t>Death</w:t>
            </w:r>
          </w:p>
        </w:tc>
        <w:tc>
          <w:tcPr>
            <w:tcW w:w="1020" w:type="dxa"/>
            <w:vAlign w:val="bottom"/>
            <w:tcBorders>
              <w:bottom w:val="single" w:sz="8" w:color="00C1DE"/>
            </w:tcBorders>
          </w:tcPr>
          <w:p>
            <w:pPr>
              <w:jc w:val="right"/>
              <w:spacing w:after="0"/>
              <w:rPr>
                <w:sz w:val="20"/>
                <w:szCs w:val="20"/>
                <w:color w:val="auto"/>
              </w:rPr>
            </w:pPr>
            <w:r>
              <w:rPr>
                <w:rFonts w:ascii="Arial" w:cs="Arial" w:eastAsia="Arial" w:hAnsi="Arial"/>
                <w:sz w:val="14"/>
                <w:szCs w:val="14"/>
                <w:b w:val="1"/>
                <w:bCs w:val="1"/>
                <w:color w:val="00C1DE"/>
              </w:rPr>
              <w:t>Termination</w:t>
            </w:r>
          </w:p>
        </w:tc>
      </w:tr>
      <w:tr>
        <w:trPr>
          <w:trHeight w:val="228"/>
        </w:trPr>
        <w:tc>
          <w:tcPr>
            <w:tcW w:w="3340" w:type="dxa"/>
            <w:vAlign w:val="bottom"/>
          </w:tcPr>
          <w:p>
            <w:pPr>
              <w:ind w:left="60"/>
              <w:spacing w:after="0"/>
              <w:rPr>
                <w:sz w:val="20"/>
                <w:szCs w:val="20"/>
                <w:color w:val="auto"/>
              </w:rPr>
            </w:pPr>
            <w:r>
              <w:rPr>
                <w:rFonts w:ascii="Arial" w:cs="Arial" w:eastAsia="Arial" w:hAnsi="Arial"/>
                <w:sz w:val="14"/>
                <w:szCs w:val="14"/>
                <w:color w:val="3E3935"/>
              </w:rPr>
              <w:t>Mary T. Barra</w:t>
            </w:r>
          </w:p>
        </w:tc>
        <w:tc>
          <w:tcPr>
            <w:tcW w:w="1300" w:type="dxa"/>
            <w:vAlign w:val="bottom"/>
          </w:tcPr>
          <w:p>
            <w:pPr>
              <w:ind w:left="200"/>
              <w:spacing w:after="0"/>
              <w:rPr>
                <w:sz w:val="20"/>
                <w:szCs w:val="20"/>
                <w:color w:val="auto"/>
              </w:rPr>
            </w:pPr>
            <w:r>
              <w:rPr>
                <w:rFonts w:ascii="Arial" w:cs="Arial" w:eastAsia="Arial" w:hAnsi="Arial"/>
                <w:sz w:val="14"/>
                <w:szCs w:val="14"/>
                <w:color w:val="3E3935"/>
              </w:rPr>
              <w:t>Cash</w:t>
            </w:r>
          </w:p>
        </w:tc>
        <w:tc>
          <w:tcPr>
            <w:tcW w:w="1180" w:type="dxa"/>
            <w:vAlign w:val="bottom"/>
          </w:tcPr>
          <w:p>
            <w:pPr>
              <w:jc w:val="right"/>
              <w:ind w:right="68"/>
              <w:spacing w:after="0"/>
              <w:rPr>
                <w:sz w:val="20"/>
                <w:szCs w:val="20"/>
                <w:color w:val="auto"/>
              </w:rPr>
            </w:pPr>
            <w:r>
              <w:rPr>
                <w:rFonts w:ascii="Arial" w:cs="Arial" w:eastAsia="Arial" w:hAnsi="Arial"/>
                <w:sz w:val="14"/>
                <w:szCs w:val="14"/>
                <w:color w:val="3E3935"/>
              </w:rPr>
              <w:t>—</w:t>
            </w:r>
          </w:p>
        </w:tc>
        <w:tc>
          <w:tcPr>
            <w:tcW w:w="1000" w:type="dxa"/>
            <w:vAlign w:val="bottom"/>
          </w:tcPr>
          <w:p>
            <w:pPr>
              <w:jc w:val="right"/>
              <w:ind w:right="48"/>
              <w:spacing w:after="0"/>
              <w:rPr>
                <w:sz w:val="20"/>
                <w:szCs w:val="20"/>
                <w:color w:val="auto"/>
              </w:rPr>
            </w:pPr>
            <w:r>
              <w:rPr>
                <w:rFonts w:ascii="Arial" w:cs="Arial" w:eastAsia="Arial" w:hAnsi="Arial"/>
                <w:sz w:val="14"/>
                <w:szCs w:val="14"/>
                <w:color w:val="3E3935"/>
              </w:rPr>
              <w:t>4,245,380</w:t>
            </w:r>
          </w:p>
        </w:tc>
        <w:tc>
          <w:tcPr>
            <w:tcW w:w="1160" w:type="dxa"/>
            <w:vAlign w:val="bottom"/>
          </w:tcPr>
          <w:p>
            <w:pPr>
              <w:jc w:val="right"/>
              <w:ind w:right="88"/>
              <w:spacing w:after="0"/>
              <w:rPr>
                <w:sz w:val="20"/>
                <w:szCs w:val="20"/>
                <w:color w:val="auto"/>
              </w:rPr>
            </w:pPr>
            <w:r>
              <w:rPr>
                <w:rFonts w:ascii="Arial" w:cs="Arial" w:eastAsia="Arial" w:hAnsi="Arial"/>
                <w:sz w:val="14"/>
                <w:szCs w:val="14"/>
                <w:color w:val="3E3935"/>
              </w:rPr>
              <w:t>—</w:t>
            </w:r>
          </w:p>
        </w:tc>
        <w:tc>
          <w:tcPr>
            <w:tcW w:w="1020" w:type="dxa"/>
            <w:vAlign w:val="bottom"/>
          </w:tcPr>
          <w:p>
            <w:pPr>
              <w:jc w:val="right"/>
              <w:ind w:right="88"/>
              <w:spacing w:after="0"/>
              <w:rPr>
                <w:sz w:val="20"/>
                <w:szCs w:val="20"/>
                <w:color w:val="auto"/>
              </w:rPr>
            </w:pPr>
            <w:r>
              <w:rPr>
                <w:rFonts w:ascii="Arial" w:cs="Arial" w:eastAsia="Arial" w:hAnsi="Arial"/>
                <w:sz w:val="14"/>
                <w:szCs w:val="14"/>
                <w:color w:val="3E3935"/>
              </w:rPr>
              <w:t>—</w:t>
            </w:r>
          </w:p>
        </w:tc>
        <w:tc>
          <w:tcPr>
            <w:tcW w:w="1000" w:type="dxa"/>
            <w:vAlign w:val="bottom"/>
          </w:tcPr>
          <w:p>
            <w:pPr>
              <w:jc w:val="right"/>
              <w:ind w:right="68"/>
              <w:spacing w:after="0"/>
              <w:rPr>
                <w:sz w:val="20"/>
                <w:szCs w:val="20"/>
                <w:color w:val="auto"/>
              </w:rPr>
            </w:pPr>
            <w:r>
              <w:rPr>
                <w:rFonts w:ascii="Arial" w:cs="Arial" w:eastAsia="Arial" w:hAnsi="Arial"/>
                <w:sz w:val="14"/>
                <w:szCs w:val="14"/>
                <w:color w:val="3E3935"/>
              </w:rPr>
              <w:t>—</w:t>
            </w:r>
          </w:p>
        </w:tc>
        <w:tc>
          <w:tcPr>
            <w:tcW w:w="1020" w:type="dxa"/>
            <w:vAlign w:val="bottom"/>
          </w:tcPr>
          <w:p>
            <w:pPr>
              <w:jc w:val="right"/>
              <w:spacing w:after="0"/>
              <w:rPr>
                <w:sz w:val="20"/>
                <w:szCs w:val="20"/>
                <w:color w:val="auto"/>
              </w:rPr>
            </w:pPr>
            <w:r>
              <w:rPr>
                <w:rFonts w:ascii="Arial" w:cs="Arial" w:eastAsia="Arial" w:hAnsi="Arial"/>
                <w:sz w:val="14"/>
                <w:szCs w:val="14"/>
                <w:color w:val="3E3935"/>
              </w:rPr>
              <w:t>4,230,380</w:t>
            </w:r>
          </w:p>
        </w:tc>
      </w:tr>
      <w:tr>
        <w:trPr>
          <w:trHeight w:val="48"/>
        </w:trPr>
        <w:tc>
          <w:tcPr>
            <w:tcW w:w="3340" w:type="dxa"/>
            <w:vAlign w:val="bottom"/>
          </w:tcPr>
          <w:p>
            <w:pPr>
              <w:spacing w:after="0"/>
              <w:rPr>
                <w:sz w:val="4"/>
                <w:szCs w:val="4"/>
                <w:color w:val="auto"/>
              </w:rPr>
            </w:pPr>
          </w:p>
        </w:tc>
        <w:tc>
          <w:tcPr>
            <w:tcW w:w="1300" w:type="dxa"/>
            <w:vAlign w:val="bottom"/>
            <w:tcBorders>
              <w:bottom w:val="single" w:sz="8" w:color="3E3935"/>
            </w:tcBorders>
          </w:tcPr>
          <w:p>
            <w:pPr>
              <w:spacing w:after="0"/>
              <w:rPr>
                <w:sz w:val="4"/>
                <w:szCs w:val="4"/>
                <w:color w:val="auto"/>
              </w:rPr>
            </w:pPr>
          </w:p>
        </w:tc>
        <w:tc>
          <w:tcPr>
            <w:tcW w:w="1180" w:type="dxa"/>
            <w:vAlign w:val="bottom"/>
            <w:tcBorders>
              <w:bottom w:val="single" w:sz="8" w:color="3E3935"/>
            </w:tcBorders>
          </w:tcPr>
          <w:p>
            <w:pPr>
              <w:spacing w:after="0"/>
              <w:rPr>
                <w:sz w:val="4"/>
                <w:szCs w:val="4"/>
                <w:color w:val="auto"/>
              </w:rPr>
            </w:pPr>
          </w:p>
        </w:tc>
        <w:tc>
          <w:tcPr>
            <w:tcW w:w="1000" w:type="dxa"/>
            <w:vAlign w:val="bottom"/>
            <w:tcBorders>
              <w:bottom w:val="single" w:sz="8" w:color="3E3935"/>
            </w:tcBorders>
          </w:tcPr>
          <w:p>
            <w:pPr>
              <w:spacing w:after="0"/>
              <w:rPr>
                <w:sz w:val="4"/>
                <w:szCs w:val="4"/>
                <w:color w:val="auto"/>
              </w:rPr>
            </w:pPr>
          </w:p>
        </w:tc>
        <w:tc>
          <w:tcPr>
            <w:tcW w:w="1160" w:type="dxa"/>
            <w:vAlign w:val="bottom"/>
            <w:tcBorders>
              <w:bottom w:val="single" w:sz="8" w:color="3E3935"/>
            </w:tcBorders>
          </w:tcPr>
          <w:p>
            <w:pPr>
              <w:spacing w:after="0"/>
              <w:rPr>
                <w:sz w:val="4"/>
                <w:szCs w:val="4"/>
                <w:color w:val="auto"/>
              </w:rPr>
            </w:pPr>
          </w:p>
        </w:tc>
        <w:tc>
          <w:tcPr>
            <w:tcW w:w="1020" w:type="dxa"/>
            <w:vAlign w:val="bottom"/>
            <w:tcBorders>
              <w:bottom w:val="single" w:sz="8" w:color="3E3935"/>
            </w:tcBorders>
          </w:tcPr>
          <w:p>
            <w:pPr>
              <w:spacing w:after="0"/>
              <w:rPr>
                <w:sz w:val="4"/>
                <w:szCs w:val="4"/>
                <w:color w:val="auto"/>
              </w:rPr>
            </w:pPr>
          </w:p>
        </w:tc>
        <w:tc>
          <w:tcPr>
            <w:tcW w:w="1000" w:type="dxa"/>
            <w:vAlign w:val="bottom"/>
            <w:tcBorders>
              <w:bottom w:val="single" w:sz="8" w:color="3E3935"/>
            </w:tcBorders>
          </w:tcPr>
          <w:p>
            <w:pPr>
              <w:spacing w:after="0"/>
              <w:rPr>
                <w:sz w:val="4"/>
                <w:szCs w:val="4"/>
                <w:color w:val="auto"/>
              </w:rPr>
            </w:pPr>
          </w:p>
        </w:tc>
        <w:tc>
          <w:tcPr>
            <w:tcW w:w="1020" w:type="dxa"/>
            <w:vAlign w:val="bottom"/>
            <w:tcBorders>
              <w:bottom w:val="single" w:sz="8" w:color="3E3935"/>
            </w:tcBorders>
          </w:tcPr>
          <w:p>
            <w:pPr>
              <w:spacing w:after="0"/>
              <w:rPr>
                <w:sz w:val="4"/>
                <w:szCs w:val="4"/>
                <w:color w:val="auto"/>
              </w:rPr>
            </w:pPr>
          </w:p>
        </w:tc>
      </w:tr>
      <w:tr>
        <w:trPr>
          <w:trHeight w:val="228"/>
        </w:trPr>
        <w:tc>
          <w:tcPr>
            <w:tcW w:w="3340" w:type="dxa"/>
            <w:vAlign w:val="bottom"/>
          </w:tcPr>
          <w:p>
            <w:pPr>
              <w:spacing w:after="0"/>
              <w:rPr>
                <w:sz w:val="19"/>
                <w:szCs w:val="19"/>
                <w:color w:val="auto"/>
              </w:rPr>
            </w:pPr>
          </w:p>
        </w:tc>
        <w:tc>
          <w:tcPr>
            <w:tcW w:w="1300" w:type="dxa"/>
            <w:vAlign w:val="bottom"/>
          </w:tcPr>
          <w:p>
            <w:pPr>
              <w:ind w:left="200"/>
              <w:spacing w:after="0"/>
              <w:rPr>
                <w:sz w:val="20"/>
                <w:szCs w:val="20"/>
                <w:color w:val="auto"/>
              </w:rPr>
            </w:pPr>
            <w:r>
              <w:rPr>
                <w:rFonts w:ascii="Arial" w:cs="Arial" w:eastAsia="Arial" w:hAnsi="Arial"/>
                <w:sz w:val="14"/>
                <w:szCs w:val="14"/>
                <w:color w:val="3E3935"/>
              </w:rPr>
              <w:t>STIP</w:t>
            </w:r>
          </w:p>
        </w:tc>
        <w:tc>
          <w:tcPr>
            <w:tcW w:w="1180" w:type="dxa"/>
            <w:vAlign w:val="bottom"/>
          </w:tcPr>
          <w:p>
            <w:pPr>
              <w:jc w:val="right"/>
              <w:ind w:right="68"/>
              <w:spacing w:after="0"/>
              <w:rPr>
                <w:sz w:val="20"/>
                <w:szCs w:val="20"/>
                <w:color w:val="auto"/>
              </w:rPr>
            </w:pPr>
            <w:r>
              <w:rPr>
                <w:rFonts w:ascii="Arial" w:cs="Arial" w:eastAsia="Arial" w:hAnsi="Arial"/>
                <w:sz w:val="14"/>
                <w:szCs w:val="14"/>
                <w:color w:val="3E3935"/>
              </w:rPr>
              <w:t>—</w:t>
            </w:r>
          </w:p>
        </w:tc>
        <w:tc>
          <w:tcPr>
            <w:tcW w:w="1000" w:type="dxa"/>
            <w:vAlign w:val="bottom"/>
          </w:tcPr>
          <w:p>
            <w:pPr>
              <w:jc w:val="right"/>
              <w:ind w:right="48"/>
              <w:spacing w:after="0"/>
              <w:rPr>
                <w:sz w:val="20"/>
                <w:szCs w:val="20"/>
                <w:color w:val="auto"/>
              </w:rPr>
            </w:pPr>
            <w:r>
              <w:rPr>
                <w:rFonts w:ascii="Arial" w:cs="Arial" w:eastAsia="Arial" w:hAnsi="Arial"/>
                <w:sz w:val="14"/>
                <w:szCs w:val="14"/>
                <w:color w:val="3E3935"/>
              </w:rPr>
              <w:t>4,200,000</w:t>
            </w:r>
          </w:p>
        </w:tc>
        <w:tc>
          <w:tcPr>
            <w:tcW w:w="1160" w:type="dxa"/>
            <w:vAlign w:val="bottom"/>
          </w:tcPr>
          <w:p>
            <w:pPr>
              <w:jc w:val="right"/>
              <w:ind w:right="88"/>
              <w:spacing w:after="0"/>
              <w:rPr>
                <w:sz w:val="20"/>
                <w:szCs w:val="20"/>
                <w:color w:val="auto"/>
              </w:rPr>
            </w:pPr>
            <w:r>
              <w:rPr>
                <w:rFonts w:ascii="Arial" w:cs="Arial" w:eastAsia="Arial" w:hAnsi="Arial"/>
                <w:sz w:val="14"/>
                <w:szCs w:val="14"/>
                <w:color w:val="3E3935"/>
              </w:rPr>
              <w:t>6,048,000</w:t>
            </w:r>
          </w:p>
        </w:tc>
        <w:tc>
          <w:tcPr>
            <w:tcW w:w="1020" w:type="dxa"/>
            <w:vAlign w:val="bottom"/>
          </w:tcPr>
          <w:p>
            <w:pPr>
              <w:jc w:val="right"/>
              <w:ind w:right="88"/>
              <w:spacing w:after="0"/>
              <w:rPr>
                <w:sz w:val="20"/>
                <w:szCs w:val="20"/>
                <w:color w:val="auto"/>
              </w:rPr>
            </w:pPr>
            <w:r>
              <w:rPr>
                <w:rFonts w:ascii="Arial" w:cs="Arial" w:eastAsia="Arial" w:hAnsi="Arial"/>
                <w:sz w:val="14"/>
                <w:szCs w:val="14"/>
                <w:color w:val="3E3935"/>
              </w:rPr>
              <w:t>6,048,000</w:t>
            </w:r>
          </w:p>
        </w:tc>
        <w:tc>
          <w:tcPr>
            <w:tcW w:w="1000" w:type="dxa"/>
            <w:vAlign w:val="bottom"/>
          </w:tcPr>
          <w:p>
            <w:pPr>
              <w:jc w:val="right"/>
              <w:ind w:right="68"/>
              <w:spacing w:after="0"/>
              <w:rPr>
                <w:sz w:val="20"/>
                <w:szCs w:val="20"/>
                <w:color w:val="auto"/>
              </w:rPr>
            </w:pPr>
            <w:r>
              <w:rPr>
                <w:rFonts w:ascii="Arial" w:cs="Arial" w:eastAsia="Arial" w:hAnsi="Arial"/>
                <w:sz w:val="14"/>
                <w:szCs w:val="14"/>
                <w:color w:val="3E3935"/>
              </w:rPr>
              <w:t>6,048,000</w:t>
            </w:r>
          </w:p>
        </w:tc>
        <w:tc>
          <w:tcPr>
            <w:tcW w:w="1020" w:type="dxa"/>
            <w:vAlign w:val="bottom"/>
          </w:tcPr>
          <w:p>
            <w:pPr>
              <w:jc w:val="right"/>
              <w:spacing w:after="0"/>
              <w:rPr>
                <w:sz w:val="20"/>
                <w:szCs w:val="20"/>
                <w:color w:val="auto"/>
              </w:rPr>
            </w:pPr>
            <w:r>
              <w:rPr>
                <w:rFonts w:ascii="Arial" w:cs="Arial" w:eastAsia="Arial" w:hAnsi="Arial"/>
                <w:sz w:val="14"/>
                <w:szCs w:val="14"/>
                <w:color w:val="3E3935"/>
              </w:rPr>
              <w:t>4,200,000</w:t>
            </w:r>
          </w:p>
        </w:tc>
      </w:tr>
      <w:tr>
        <w:trPr>
          <w:trHeight w:val="49"/>
        </w:trPr>
        <w:tc>
          <w:tcPr>
            <w:tcW w:w="3340" w:type="dxa"/>
            <w:vAlign w:val="bottom"/>
          </w:tcPr>
          <w:p>
            <w:pPr>
              <w:spacing w:after="0"/>
              <w:rPr>
                <w:sz w:val="4"/>
                <w:szCs w:val="4"/>
                <w:color w:val="auto"/>
              </w:rPr>
            </w:pPr>
          </w:p>
        </w:tc>
        <w:tc>
          <w:tcPr>
            <w:tcW w:w="1300" w:type="dxa"/>
            <w:vAlign w:val="bottom"/>
            <w:tcBorders>
              <w:bottom w:val="single" w:sz="8" w:color="3E3935"/>
            </w:tcBorders>
          </w:tcPr>
          <w:p>
            <w:pPr>
              <w:spacing w:after="0"/>
              <w:rPr>
                <w:sz w:val="4"/>
                <w:szCs w:val="4"/>
                <w:color w:val="auto"/>
              </w:rPr>
            </w:pPr>
          </w:p>
        </w:tc>
        <w:tc>
          <w:tcPr>
            <w:tcW w:w="1180" w:type="dxa"/>
            <w:vAlign w:val="bottom"/>
            <w:tcBorders>
              <w:bottom w:val="single" w:sz="8" w:color="3E3935"/>
            </w:tcBorders>
          </w:tcPr>
          <w:p>
            <w:pPr>
              <w:spacing w:after="0"/>
              <w:rPr>
                <w:sz w:val="4"/>
                <w:szCs w:val="4"/>
                <w:color w:val="auto"/>
              </w:rPr>
            </w:pPr>
          </w:p>
        </w:tc>
        <w:tc>
          <w:tcPr>
            <w:tcW w:w="1000" w:type="dxa"/>
            <w:vAlign w:val="bottom"/>
            <w:tcBorders>
              <w:bottom w:val="single" w:sz="8" w:color="3E3935"/>
            </w:tcBorders>
          </w:tcPr>
          <w:p>
            <w:pPr>
              <w:spacing w:after="0"/>
              <w:rPr>
                <w:sz w:val="4"/>
                <w:szCs w:val="4"/>
                <w:color w:val="auto"/>
              </w:rPr>
            </w:pPr>
          </w:p>
        </w:tc>
        <w:tc>
          <w:tcPr>
            <w:tcW w:w="1160" w:type="dxa"/>
            <w:vAlign w:val="bottom"/>
            <w:tcBorders>
              <w:bottom w:val="single" w:sz="8" w:color="3E3935"/>
            </w:tcBorders>
          </w:tcPr>
          <w:p>
            <w:pPr>
              <w:spacing w:after="0"/>
              <w:rPr>
                <w:sz w:val="4"/>
                <w:szCs w:val="4"/>
                <w:color w:val="auto"/>
              </w:rPr>
            </w:pPr>
          </w:p>
        </w:tc>
        <w:tc>
          <w:tcPr>
            <w:tcW w:w="1020" w:type="dxa"/>
            <w:vAlign w:val="bottom"/>
            <w:tcBorders>
              <w:bottom w:val="single" w:sz="8" w:color="3E3935"/>
            </w:tcBorders>
          </w:tcPr>
          <w:p>
            <w:pPr>
              <w:spacing w:after="0"/>
              <w:rPr>
                <w:sz w:val="4"/>
                <w:szCs w:val="4"/>
                <w:color w:val="auto"/>
              </w:rPr>
            </w:pPr>
          </w:p>
        </w:tc>
        <w:tc>
          <w:tcPr>
            <w:tcW w:w="1000" w:type="dxa"/>
            <w:vAlign w:val="bottom"/>
            <w:tcBorders>
              <w:bottom w:val="single" w:sz="8" w:color="3E3935"/>
            </w:tcBorders>
          </w:tcPr>
          <w:p>
            <w:pPr>
              <w:spacing w:after="0"/>
              <w:rPr>
                <w:sz w:val="4"/>
                <w:szCs w:val="4"/>
                <w:color w:val="auto"/>
              </w:rPr>
            </w:pPr>
          </w:p>
        </w:tc>
        <w:tc>
          <w:tcPr>
            <w:tcW w:w="1020" w:type="dxa"/>
            <w:vAlign w:val="bottom"/>
            <w:tcBorders>
              <w:bottom w:val="single" w:sz="8" w:color="3E3935"/>
            </w:tcBorders>
          </w:tcPr>
          <w:p>
            <w:pPr>
              <w:spacing w:after="0"/>
              <w:rPr>
                <w:sz w:val="4"/>
                <w:szCs w:val="4"/>
                <w:color w:val="auto"/>
              </w:rPr>
            </w:pPr>
          </w:p>
        </w:tc>
      </w:tr>
      <w:tr>
        <w:trPr>
          <w:trHeight w:val="228"/>
        </w:trPr>
        <w:tc>
          <w:tcPr>
            <w:tcW w:w="3340" w:type="dxa"/>
            <w:vAlign w:val="bottom"/>
          </w:tcPr>
          <w:p>
            <w:pPr>
              <w:spacing w:after="0"/>
              <w:rPr>
                <w:sz w:val="19"/>
                <w:szCs w:val="19"/>
                <w:color w:val="auto"/>
              </w:rPr>
            </w:pPr>
          </w:p>
        </w:tc>
        <w:tc>
          <w:tcPr>
            <w:tcW w:w="1300" w:type="dxa"/>
            <w:vAlign w:val="bottom"/>
          </w:tcPr>
          <w:p>
            <w:pPr>
              <w:ind w:left="200"/>
              <w:spacing w:after="0"/>
              <w:rPr>
                <w:sz w:val="20"/>
                <w:szCs w:val="20"/>
                <w:color w:val="auto"/>
              </w:rPr>
            </w:pPr>
            <w:r>
              <w:rPr>
                <w:rFonts w:ascii="Arial" w:cs="Arial" w:eastAsia="Arial" w:hAnsi="Arial"/>
                <w:sz w:val="14"/>
                <w:szCs w:val="14"/>
                <w:color w:val="3E3935"/>
              </w:rPr>
              <w:t>LTIP</w:t>
            </w:r>
          </w:p>
        </w:tc>
        <w:tc>
          <w:tcPr>
            <w:tcW w:w="1180" w:type="dxa"/>
            <w:vAlign w:val="bottom"/>
          </w:tcPr>
          <w:p>
            <w:pPr>
              <w:jc w:val="right"/>
              <w:ind w:right="68"/>
              <w:spacing w:after="0"/>
              <w:rPr>
                <w:sz w:val="20"/>
                <w:szCs w:val="20"/>
                <w:color w:val="auto"/>
              </w:rPr>
            </w:pPr>
            <w:r>
              <w:rPr>
                <w:rFonts w:ascii="Arial" w:cs="Arial" w:eastAsia="Arial" w:hAnsi="Arial"/>
                <w:sz w:val="14"/>
                <w:szCs w:val="14"/>
                <w:color w:val="3E3935"/>
              </w:rPr>
              <w:t>—</w:t>
            </w:r>
          </w:p>
        </w:tc>
        <w:tc>
          <w:tcPr>
            <w:tcW w:w="1000" w:type="dxa"/>
            <w:vAlign w:val="bottom"/>
          </w:tcPr>
          <w:p>
            <w:pPr>
              <w:jc w:val="right"/>
              <w:ind w:right="48"/>
              <w:spacing w:after="0"/>
              <w:rPr>
                <w:sz w:val="20"/>
                <w:szCs w:val="20"/>
                <w:color w:val="auto"/>
              </w:rPr>
            </w:pPr>
            <w:r>
              <w:rPr>
                <w:rFonts w:ascii="Arial" w:cs="Arial" w:eastAsia="Arial" w:hAnsi="Arial"/>
                <w:sz w:val="14"/>
                <w:szCs w:val="14"/>
                <w:color w:val="3E3935"/>
              </w:rPr>
              <w:t>14,822,390</w:t>
            </w:r>
          </w:p>
        </w:tc>
        <w:tc>
          <w:tcPr>
            <w:tcW w:w="1160" w:type="dxa"/>
            <w:vAlign w:val="bottom"/>
          </w:tcPr>
          <w:p>
            <w:pPr>
              <w:jc w:val="right"/>
              <w:ind w:right="88"/>
              <w:spacing w:after="0"/>
              <w:rPr>
                <w:sz w:val="20"/>
                <w:szCs w:val="20"/>
                <w:color w:val="auto"/>
              </w:rPr>
            </w:pPr>
            <w:r>
              <w:rPr>
                <w:rFonts w:ascii="Arial" w:cs="Arial" w:eastAsia="Arial" w:hAnsi="Arial"/>
                <w:sz w:val="14"/>
                <w:szCs w:val="14"/>
                <w:color w:val="3E3935"/>
              </w:rPr>
              <w:t>32,092,931</w:t>
            </w:r>
          </w:p>
        </w:tc>
        <w:tc>
          <w:tcPr>
            <w:tcW w:w="1020" w:type="dxa"/>
            <w:vAlign w:val="bottom"/>
          </w:tcPr>
          <w:p>
            <w:pPr>
              <w:jc w:val="right"/>
              <w:ind w:right="88"/>
              <w:spacing w:after="0"/>
              <w:rPr>
                <w:sz w:val="20"/>
                <w:szCs w:val="20"/>
                <w:color w:val="auto"/>
              </w:rPr>
            </w:pPr>
            <w:r>
              <w:rPr>
                <w:rFonts w:ascii="Arial" w:cs="Arial" w:eastAsia="Arial" w:hAnsi="Arial"/>
                <w:sz w:val="14"/>
                <w:szCs w:val="14"/>
                <w:color w:val="3E3935"/>
              </w:rPr>
              <w:t>32,092,931</w:t>
            </w:r>
          </w:p>
        </w:tc>
        <w:tc>
          <w:tcPr>
            <w:tcW w:w="1000" w:type="dxa"/>
            <w:vAlign w:val="bottom"/>
          </w:tcPr>
          <w:p>
            <w:pPr>
              <w:jc w:val="right"/>
              <w:ind w:right="68"/>
              <w:spacing w:after="0"/>
              <w:rPr>
                <w:sz w:val="20"/>
                <w:szCs w:val="20"/>
                <w:color w:val="auto"/>
              </w:rPr>
            </w:pPr>
            <w:r>
              <w:rPr>
                <w:rFonts w:ascii="Arial" w:cs="Arial" w:eastAsia="Arial" w:hAnsi="Arial"/>
                <w:sz w:val="14"/>
                <w:szCs w:val="14"/>
                <w:color w:val="3E3935"/>
              </w:rPr>
              <w:t>32,092,931</w:t>
            </w:r>
          </w:p>
        </w:tc>
        <w:tc>
          <w:tcPr>
            <w:tcW w:w="1020" w:type="dxa"/>
            <w:vAlign w:val="bottom"/>
          </w:tcPr>
          <w:p>
            <w:pPr>
              <w:jc w:val="right"/>
              <w:spacing w:after="0"/>
              <w:rPr>
                <w:sz w:val="20"/>
                <w:szCs w:val="20"/>
                <w:color w:val="auto"/>
              </w:rPr>
            </w:pPr>
            <w:r>
              <w:rPr>
                <w:rFonts w:ascii="Arial" w:cs="Arial" w:eastAsia="Arial" w:hAnsi="Arial"/>
                <w:sz w:val="14"/>
                <w:szCs w:val="14"/>
                <w:color w:val="3E3935"/>
              </w:rPr>
              <w:t>32,092,931</w:t>
            </w:r>
          </w:p>
        </w:tc>
      </w:tr>
      <w:tr>
        <w:trPr>
          <w:trHeight w:val="48"/>
        </w:trPr>
        <w:tc>
          <w:tcPr>
            <w:tcW w:w="3340" w:type="dxa"/>
            <w:vAlign w:val="bottom"/>
          </w:tcPr>
          <w:p>
            <w:pPr>
              <w:spacing w:after="0"/>
              <w:rPr>
                <w:sz w:val="4"/>
                <w:szCs w:val="4"/>
                <w:color w:val="auto"/>
              </w:rPr>
            </w:pPr>
          </w:p>
        </w:tc>
        <w:tc>
          <w:tcPr>
            <w:tcW w:w="1300" w:type="dxa"/>
            <w:vAlign w:val="bottom"/>
            <w:tcBorders>
              <w:bottom w:val="single" w:sz="8" w:color="3E3935"/>
            </w:tcBorders>
          </w:tcPr>
          <w:p>
            <w:pPr>
              <w:spacing w:after="0"/>
              <w:rPr>
                <w:sz w:val="4"/>
                <w:szCs w:val="4"/>
                <w:color w:val="auto"/>
              </w:rPr>
            </w:pPr>
          </w:p>
        </w:tc>
        <w:tc>
          <w:tcPr>
            <w:tcW w:w="1180" w:type="dxa"/>
            <w:vAlign w:val="bottom"/>
            <w:tcBorders>
              <w:bottom w:val="single" w:sz="8" w:color="3E3935"/>
            </w:tcBorders>
          </w:tcPr>
          <w:p>
            <w:pPr>
              <w:spacing w:after="0"/>
              <w:rPr>
                <w:sz w:val="4"/>
                <w:szCs w:val="4"/>
                <w:color w:val="auto"/>
              </w:rPr>
            </w:pPr>
          </w:p>
        </w:tc>
        <w:tc>
          <w:tcPr>
            <w:tcW w:w="1000" w:type="dxa"/>
            <w:vAlign w:val="bottom"/>
            <w:tcBorders>
              <w:bottom w:val="single" w:sz="8" w:color="3E3935"/>
            </w:tcBorders>
          </w:tcPr>
          <w:p>
            <w:pPr>
              <w:spacing w:after="0"/>
              <w:rPr>
                <w:sz w:val="4"/>
                <w:szCs w:val="4"/>
                <w:color w:val="auto"/>
              </w:rPr>
            </w:pPr>
          </w:p>
        </w:tc>
        <w:tc>
          <w:tcPr>
            <w:tcW w:w="1160" w:type="dxa"/>
            <w:vAlign w:val="bottom"/>
            <w:tcBorders>
              <w:bottom w:val="single" w:sz="8" w:color="3E3935"/>
            </w:tcBorders>
          </w:tcPr>
          <w:p>
            <w:pPr>
              <w:spacing w:after="0"/>
              <w:rPr>
                <w:sz w:val="4"/>
                <w:szCs w:val="4"/>
                <w:color w:val="auto"/>
              </w:rPr>
            </w:pPr>
          </w:p>
        </w:tc>
        <w:tc>
          <w:tcPr>
            <w:tcW w:w="1020" w:type="dxa"/>
            <w:vAlign w:val="bottom"/>
            <w:tcBorders>
              <w:bottom w:val="single" w:sz="8" w:color="3E3935"/>
            </w:tcBorders>
          </w:tcPr>
          <w:p>
            <w:pPr>
              <w:spacing w:after="0"/>
              <w:rPr>
                <w:sz w:val="4"/>
                <w:szCs w:val="4"/>
                <w:color w:val="auto"/>
              </w:rPr>
            </w:pPr>
          </w:p>
        </w:tc>
        <w:tc>
          <w:tcPr>
            <w:tcW w:w="1000" w:type="dxa"/>
            <w:vAlign w:val="bottom"/>
            <w:tcBorders>
              <w:bottom w:val="single" w:sz="8" w:color="3E3935"/>
            </w:tcBorders>
          </w:tcPr>
          <w:p>
            <w:pPr>
              <w:spacing w:after="0"/>
              <w:rPr>
                <w:sz w:val="4"/>
                <w:szCs w:val="4"/>
                <w:color w:val="auto"/>
              </w:rPr>
            </w:pPr>
          </w:p>
        </w:tc>
        <w:tc>
          <w:tcPr>
            <w:tcW w:w="1020" w:type="dxa"/>
            <w:vAlign w:val="bottom"/>
            <w:tcBorders>
              <w:bottom w:val="single" w:sz="8" w:color="3E3935"/>
            </w:tcBorders>
          </w:tcPr>
          <w:p>
            <w:pPr>
              <w:spacing w:after="0"/>
              <w:rPr>
                <w:sz w:val="4"/>
                <w:szCs w:val="4"/>
                <w:color w:val="auto"/>
              </w:rPr>
            </w:pPr>
          </w:p>
        </w:tc>
      </w:tr>
      <w:tr>
        <w:trPr>
          <w:trHeight w:val="234"/>
        </w:trPr>
        <w:tc>
          <w:tcPr>
            <w:tcW w:w="3340" w:type="dxa"/>
            <w:vAlign w:val="bottom"/>
          </w:tcPr>
          <w:p>
            <w:pPr>
              <w:spacing w:after="0"/>
              <w:rPr>
                <w:sz w:val="20"/>
                <w:szCs w:val="20"/>
                <w:color w:val="auto"/>
              </w:rPr>
            </w:pPr>
          </w:p>
        </w:tc>
        <w:tc>
          <w:tcPr>
            <w:tcW w:w="1300" w:type="dxa"/>
            <w:vAlign w:val="bottom"/>
          </w:tcPr>
          <w:p>
            <w:pPr>
              <w:ind w:left="200"/>
              <w:spacing w:after="0"/>
              <w:rPr>
                <w:sz w:val="20"/>
                <w:szCs w:val="20"/>
                <w:color w:val="auto"/>
              </w:rPr>
            </w:pPr>
            <w:r>
              <w:rPr>
                <w:rFonts w:ascii="Arial" w:cs="Arial" w:eastAsia="Arial" w:hAnsi="Arial"/>
                <w:sz w:val="14"/>
                <w:szCs w:val="14"/>
                <w:b w:val="1"/>
                <w:bCs w:val="1"/>
                <w:color w:val="3E3935"/>
              </w:rPr>
              <w:t>TOTAL</w:t>
            </w:r>
          </w:p>
        </w:tc>
        <w:tc>
          <w:tcPr>
            <w:tcW w:w="1180" w:type="dxa"/>
            <w:vAlign w:val="bottom"/>
          </w:tcPr>
          <w:p>
            <w:pPr>
              <w:jc w:val="right"/>
              <w:ind w:right="68"/>
              <w:spacing w:after="0"/>
              <w:rPr>
                <w:sz w:val="20"/>
                <w:szCs w:val="20"/>
                <w:color w:val="auto"/>
              </w:rPr>
            </w:pPr>
            <w:r>
              <w:rPr>
                <w:rFonts w:ascii="Arial" w:cs="Arial" w:eastAsia="Arial" w:hAnsi="Arial"/>
                <w:sz w:val="14"/>
                <w:szCs w:val="14"/>
                <w:b w:val="1"/>
                <w:bCs w:val="1"/>
                <w:color w:val="3E3935"/>
              </w:rPr>
              <w:t>—</w:t>
            </w:r>
          </w:p>
        </w:tc>
        <w:tc>
          <w:tcPr>
            <w:tcW w:w="1000" w:type="dxa"/>
            <w:vAlign w:val="bottom"/>
          </w:tcPr>
          <w:p>
            <w:pPr>
              <w:jc w:val="right"/>
              <w:ind w:right="48"/>
              <w:spacing w:after="0"/>
              <w:rPr>
                <w:sz w:val="20"/>
                <w:szCs w:val="20"/>
                <w:color w:val="auto"/>
              </w:rPr>
            </w:pPr>
            <w:r>
              <w:rPr>
                <w:rFonts w:ascii="Arial" w:cs="Arial" w:eastAsia="Arial" w:hAnsi="Arial"/>
                <w:sz w:val="14"/>
                <w:szCs w:val="14"/>
                <w:b w:val="1"/>
                <w:bCs w:val="1"/>
                <w:color w:val="3E3935"/>
              </w:rPr>
              <w:t>23,267,770</w:t>
            </w:r>
          </w:p>
        </w:tc>
        <w:tc>
          <w:tcPr>
            <w:tcW w:w="1160" w:type="dxa"/>
            <w:vAlign w:val="bottom"/>
          </w:tcPr>
          <w:p>
            <w:pPr>
              <w:jc w:val="right"/>
              <w:ind w:right="88"/>
              <w:spacing w:after="0"/>
              <w:rPr>
                <w:sz w:val="20"/>
                <w:szCs w:val="20"/>
                <w:color w:val="auto"/>
              </w:rPr>
            </w:pPr>
            <w:r>
              <w:rPr>
                <w:rFonts w:ascii="Arial" w:cs="Arial" w:eastAsia="Arial" w:hAnsi="Arial"/>
                <w:sz w:val="14"/>
                <w:szCs w:val="14"/>
                <w:b w:val="1"/>
                <w:bCs w:val="1"/>
                <w:color w:val="3E3935"/>
              </w:rPr>
              <w:t>38,140,931</w:t>
            </w:r>
          </w:p>
        </w:tc>
        <w:tc>
          <w:tcPr>
            <w:tcW w:w="1020" w:type="dxa"/>
            <w:vAlign w:val="bottom"/>
          </w:tcPr>
          <w:p>
            <w:pPr>
              <w:jc w:val="right"/>
              <w:ind w:right="88"/>
              <w:spacing w:after="0"/>
              <w:rPr>
                <w:sz w:val="20"/>
                <w:szCs w:val="20"/>
                <w:color w:val="auto"/>
              </w:rPr>
            </w:pPr>
            <w:r>
              <w:rPr>
                <w:rFonts w:ascii="Arial" w:cs="Arial" w:eastAsia="Arial" w:hAnsi="Arial"/>
                <w:sz w:val="14"/>
                <w:szCs w:val="14"/>
                <w:b w:val="1"/>
                <w:bCs w:val="1"/>
                <w:color w:val="3E3935"/>
              </w:rPr>
              <w:t>38,140,931</w:t>
            </w:r>
          </w:p>
        </w:tc>
        <w:tc>
          <w:tcPr>
            <w:tcW w:w="1000" w:type="dxa"/>
            <w:vAlign w:val="bottom"/>
          </w:tcPr>
          <w:p>
            <w:pPr>
              <w:jc w:val="right"/>
              <w:ind w:right="68"/>
              <w:spacing w:after="0"/>
              <w:rPr>
                <w:sz w:val="20"/>
                <w:szCs w:val="20"/>
                <w:color w:val="auto"/>
              </w:rPr>
            </w:pPr>
            <w:r>
              <w:rPr>
                <w:rFonts w:ascii="Arial" w:cs="Arial" w:eastAsia="Arial" w:hAnsi="Arial"/>
                <w:sz w:val="14"/>
                <w:szCs w:val="14"/>
                <w:b w:val="1"/>
                <w:bCs w:val="1"/>
                <w:color w:val="3E3935"/>
              </w:rPr>
              <w:t>38,140,931</w:t>
            </w:r>
          </w:p>
        </w:tc>
        <w:tc>
          <w:tcPr>
            <w:tcW w:w="1020" w:type="dxa"/>
            <w:vAlign w:val="bottom"/>
          </w:tcPr>
          <w:p>
            <w:pPr>
              <w:jc w:val="right"/>
              <w:spacing w:after="0"/>
              <w:rPr>
                <w:sz w:val="20"/>
                <w:szCs w:val="20"/>
                <w:color w:val="auto"/>
              </w:rPr>
            </w:pPr>
            <w:r>
              <w:rPr>
                <w:rFonts w:ascii="Arial" w:cs="Arial" w:eastAsia="Arial" w:hAnsi="Arial"/>
                <w:sz w:val="14"/>
                <w:szCs w:val="14"/>
                <w:b w:val="1"/>
                <w:bCs w:val="1"/>
                <w:color w:val="3E3935"/>
              </w:rPr>
              <w:t>40,523,311</w:t>
            </w:r>
          </w:p>
        </w:tc>
      </w:tr>
      <w:tr>
        <w:trPr>
          <w:trHeight w:val="43"/>
        </w:trPr>
        <w:tc>
          <w:tcPr>
            <w:tcW w:w="3340" w:type="dxa"/>
            <w:vAlign w:val="bottom"/>
            <w:tcBorders>
              <w:bottom w:val="single" w:sz="8" w:color="3E3935"/>
            </w:tcBorders>
          </w:tcPr>
          <w:p>
            <w:pPr>
              <w:spacing w:after="0"/>
              <w:rPr>
                <w:sz w:val="3"/>
                <w:szCs w:val="3"/>
                <w:color w:val="auto"/>
              </w:rPr>
            </w:pPr>
          </w:p>
        </w:tc>
        <w:tc>
          <w:tcPr>
            <w:tcW w:w="1300" w:type="dxa"/>
            <w:vAlign w:val="bottom"/>
            <w:tcBorders>
              <w:bottom w:val="single" w:sz="8" w:color="3E3935"/>
            </w:tcBorders>
          </w:tcPr>
          <w:p>
            <w:pPr>
              <w:spacing w:after="0"/>
              <w:rPr>
                <w:sz w:val="3"/>
                <w:szCs w:val="3"/>
                <w:color w:val="auto"/>
              </w:rPr>
            </w:pPr>
          </w:p>
        </w:tc>
        <w:tc>
          <w:tcPr>
            <w:tcW w:w="1180" w:type="dxa"/>
            <w:vAlign w:val="bottom"/>
            <w:tcBorders>
              <w:bottom w:val="single" w:sz="8" w:color="3E3935"/>
            </w:tcBorders>
          </w:tcPr>
          <w:p>
            <w:pPr>
              <w:spacing w:after="0"/>
              <w:rPr>
                <w:sz w:val="3"/>
                <w:szCs w:val="3"/>
                <w:color w:val="auto"/>
              </w:rPr>
            </w:pPr>
          </w:p>
        </w:tc>
        <w:tc>
          <w:tcPr>
            <w:tcW w:w="1000" w:type="dxa"/>
            <w:vAlign w:val="bottom"/>
            <w:tcBorders>
              <w:bottom w:val="single" w:sz="8" w:color="3E3935"/>
            </w:tcBorders>
          </w:tcPr>
          <w:p>
            <w:pPr>
              <w:spacing w:after="0"/>
              <w:rPr>
                <w:sz w:val="3"/>
                <w:szCs w:val="3"/>
                <w:color w:val="auto"/>
              </w:rPr>
            </w:pPr>
          </w:p>
        </w:tc>
        <w:tc>
          <w:tcPr>
            <w:tcW w:w="1160" w:type="dxa"/>
            <w:vAlign w:val="bottom"/>
            <w:tcBorders>
              <w:bottom w:val="single" w:sz="8" w:color="3E3935"/>
            </w:tcBorders>
          </w:tcPr>
          <w:p>
            <w:pPr>
              <w:spacing w:after="0"/>
              <w:rPr>
                <w:sz w:val="3"/>
                <w:szCs w:val="3"/>
                <w:color w:val="auto"/>
              </w:rPr>
            </w:pPr>
          </w:p>
        </w:tc>
        <w:tc>
          <w:tcPr>
            <w:tcW w:w="1020" w:type="dxa"/>
            <w:vAlign w:val="bottom"/>
            <w:tcBorders>
              <w:bottom w:val="single" w:sz="8" w:color="3E3935"/>
            </w:tcBorders>
          </w:tcPr>
          <w:p>
            <w:pPr>
              <w:spacing w:after="0"/>
              <w:rPr>
                <w:sz w:val="3"/>
                <w:szCs w:val="3"/>
                <w:color w:val="auto"/>
              </w:rPr>
            </w:pPr>
          </w:p>
        </w:tc>
        <w:tc>
          <w:tcPr>
            <w:tcW w:w="1000" w:type="dxa"/>
            <w:vAlign w:val="bottom"/>
            <w:tcBorders>
              <w:bottom w:val="single" w:sz="8" w:color="3E3935"/>
            </w:tcBorders>
          </w:tcPr>
          <w:p>
            <w:pPr>
              <w:spacing w:after="0"/>
              <w:rPr>
                <w:sz w:val="3"/>
                <w:szCs w:val="3"/>
                <w:color w:val="auto"/>
              </w:rPr>
            </w:pPr>
          </w:p>
        </w:tc>
        <w:tc>
          <w:tcPr>
            <w:tcW w:w="1020" w:type="dxa"/>
            <w:vAlign w:val="bottom"/>
            <w:tcBorders>
              <w:bottom w:val="single" w:sz="8" w:color="3E3935"/>
            </w:tcBorders>
          </w:tcPr>
          <w:p>
            <w:pPr>
              <w:spacing w:after="0"/>
              <w:rPr>
                <w:sz w:val="3"/>
                <w:szCs w:val="3"/>
                <w:color w:val="auto"/>
              </w:rPr>
            </w:pPr>
          </w:p>
        </w:tc>
      </w:tr>
      <w:tr>
        <w:trPr>
          <w:trHeight w:val="228"/>
        </w:trPr>
        <w:tc>
          <w:tcPr>
            <w:tcW w:w="3340" w:type="dxa"/>
            <w:vAlign w:val="bottom"/>
          </w:tcPr>
          <w:p>
            <w:pPr>
              <w:ind w:left="60"/>
              <w:spacing w:after="0"/>
              <w:rPr>
                <w:sz w:val="20"/>
                <w:szCs w:val="20"/>
                <w:color w:val="auto"/>
              </w:rPr>
            </w:pPr>
            <w:r>
              <w:rPr>
                <w:rFonts w:ascii="Arial" w:cs="Arial" w:eastAsia="Arial" w:hAnsi="Arial"/>
                <w:sz w:val="14"/>
                <w:szCs w:val="14"/>
                <w:color w:val="3E3935"/>
              </w:rPr>
              <w:t>Paul A. Jacobson</w:t>
            </w:r>
          </w:p>
        </w:tc>
        <w:tc>
          <w:tcPr>
            <w:tcW w:w="1300" w:type="dxa"/>
            <w:vAlign w:val="bottom"/>
          </w:tcPr>
          <w:p>
            <w:pPr>
              <w:ind w:left="200"/>
              <w:spacing w:after="0"/>
              <w:rPr>
                <w:sz w:val="20"/>
                <w:szCs w:val="20"/>
                <w:color w:val="auto"/>
              </w:rPr>
            </w:pPr>
            <w:r>
              <w:rPr>
                <w:rFonts w:ascii="Arial" w:cs="Arial" w:eastAsia="Arial" w:hAnsi="Arial"/>
                <w:sz w:val="14"/>
                <w:szCs w:val="14"/>
                <w:color w:val="3E3935"/>
              </w:rPr>
              <w:t>Cash</w:t>
            </w:r>
          </w:p>
        </w:tc>
        <w:tc>
          <w:tcPr>
            <w:tcW w:w="1180" w:type="dxa"/>
            <w:vAlign w:val="bottom"/>
          </w:tcPr>
          <w:p>
            <w:pPr>
              <w:jc w:val="right"/>
              <w:ind w:right="68"/>
              <w:spacing w:after="0"/>
              <w:rPr>
                <w:sz w:val="20"/>
                <w:szCs w:val="20"/>
                <w:color w:val="auto"/>
              </w:rPr>
            </w:pPr>
            <w:r>
              <w:rPr>
                <w:rFonts w:ascii="Arial" w:cs="Arial" w:eastAsia="Arial" w:hAnsi="Arial"/>
                <w:sz w:val="14"/>
                <w:szCs w:val="14"/>
                <w:color w:val="3E3935"/>
              </w:rPr>
              <w:t>—</w:t>
            </w:r>
          </w:p>
        </w:tc>
        <w:tc>
          <w:tcPr>
            <w:tcW w:w="1000" w:type="dxa"/>
            <w:vAlign w:val="bottom"/>
          </w:tcPr>
          <w:p>
            <w:pPr>
              <w:jc w:val="right"/>
              <w:ind w:right="48"/>
              <w:spacing w:after="0"/>
              <w:rPr>
                <w:sz w:val="20"/>
                <w:szCs w:val="20"/>
                <w:color w:val="auto"/>
              </w:rPr>
            </w:pPr>
            <w:r>
              <w:rPr>
                <w:rFonts w:ascii="Arial" w:cs="Arial" w:eastAsia="Arial" w:hAnsi="Arial"/>
                <w:sz w:val="14"/>
                <w:szCs w:val="14"/>
                <w:color w:val="3E3935"/>
              </w:rPr>
              <w:t>1,529,073</w:t>
            </w:r>
          </w:p>
        </w:tc>
        <w:tc>
          <w:tcPr>
            <w:tcW w:w="1160" w:type="dxa"/>
            <w:vAlign w:val="bottom"/>
          </w:tcPr>
          <w:p>
            <w:pPr>
              <w:jc w:val="right"/>
              <w:ind w:right="88"/>
              <w:spacing w:after="0"/>
              <w:rPr>
                <w:sz w:val="20"/>
                <w:szCs w:val="20"/>
                <w:color w:val="auto"/>
              </w:rPr>
            </w:pPr>
            <w:r>
              <w:rPr>
                <w:rFonts w:ascii="Arial" w:cs="Arial" w:eastAsia="Arial" w:hAnsi="Arial"/>
                <w:sz w:val="14"/>
                <w:szCs w:val="14"/>
                <w:color w:val="3E3935"/>
              </w:rPr>
              <w:t>—</w:t>
            </w:r>
          </w:p>
        </w:tc>
        <w:tc>
          <w:tcPr>
            <w:tcW w:w="1020" w:type="dxa"/>
            <w:vAlign w:val="bottom"/>
          </w:tcPr>
          <w:p>
            <w:pPr>
              <w:jc w:val="right"/>
              <w:ind w:right="88"/>
              <w:spacing w:after="0"/>
              <w:rPr>
                <w:sz w:val="20"/>
                <w:szCs w:val="20"/>
                <w:color w:val="auto"/>
              </w:rPr>
            </w:pPr>
            <w:r>
              <w:rPr>
                <w:rFonts w:ascii="Arial" w:cs="Arial" w:eastAsia="Arial" w:hAnsi="Arial"/>
                <w:sz w:val="14"/>
                <w:szCs w:val="14"/>
                <w:color w:val="3E3935"/>
              </w:rPr>
              <w:t>—</w:t>
            </w:r>
          </w:p>
        </w:tc>
        <w:tc>
          <w:tcPr>
            <w:tcW w:w="1000" w:type="dxa"/>
            <w:vAlign w:val="bottom"/>
          </w:tcPr>
          <w:p>
            <w:pPr>
              <w:jc w:val="right"/>
              <w:ind w:right="68"/>
              <w:spacing w:after="0"/>
              <w:rPr>
                <w:sz w:val="20"/>
                <w:szCs w:val="20"/>
                <w:color w:val="auto"/>
              </w:rPr>
            </w:pPr>
            <w:r>
              <w:rPr>
                <w:rFonts w:ascii="Arial" w:cs="Arial" w:eastAsia="Arial" w:hAnsi="Arial"/>
                <w:sz w:val="14"/>
                <w:szCs w:val="14"/>
                <w:color w:val="3E3935"/>
              </w:rPr>
              <w:t>—</w:t>
            </w:r>
          </w:p>
        </w:tc>
        <w:tc>
          <w:tcPr>
            <w:tcW w:w="1020" w:type="dxa"/>
            <w:vAlign w:val="bottom"/>
          </w:tcPr>
          <w:p>
            <w:pPr>
              <w:jc w:val="right"/>
              <w:spacing w:after="0"/>
              <w:rPr>
                <w:sz w:val="20"/>
                <w:szCs w:val="20"/>
                <w:color w:val="auto"/>
              </w:rPr>
            </w:pPr>
            <w:r>
              <w:rPr>
                <w:rFonts w:ascii="Arial" w:cs="Arial" w:eastAsia="Arial" w:hAnsi="Arial"/>
                <w:sz w:val="14"/>
                <w:szCs w:val="14"/>
                <w:color w:val="3E3935"/>
              </w:rPr>
              <w:t>1,514,073</w:t>
            </w:r>
          </w:p>
        </w:tc>
      </w:tr>
      <w:tr>
        <w:trPr>
          <w:trHeight w:val="48"/>
        </w:trPr>
        <w:tc>
          <w:tcPr>
            <w:tcW w:w="3340" w:type="dxa"/>
            <w:vAlign w:val="bottom"/>
          </w:tcPr>
          <w:p>
            <w:pPr>
              <w:spacing w:after="0"/>
              <w:rPr>
                <w:sz w:val="4"/>
                <w:szCs w:val="4"/>
                <w:color w:val="auto"/>
              </w:rPr>
            </w:pPr>
          </w:p>
        </w:tc>
        <w:tc>
          <w:tcPr>
            <w:tcW w:w="1300" w:type="dxa"/>
            <w:vAlign w:val="bottom"/>
            <w:tcBorders>
              <w:bottom w:val="single" w:sz="8" w:color="3E3935"/>
            </w:tcBorders>
          </w:tcPr>
          <w:p>
            <w:pPr>
              <w:spacing w:after="0"/>
              <w:rPr>
                <w:sz w:val="4"/>
                <w:szCs w:val="4"/>
                <w:color w:val="auto"/>
              </w:rPr>
            </w:pPr>
          </w:p>
        </w:tc>
        <w:tc>
          <w:tcPr>
            <w:tcW w:w="1180" w:type="dxa"/>
            <w:vAlign w:val="bottom"/>
            <w:tcBorders>
              <w:bottom w:val="single" w:sz="8" w:color="3E3935"/>
            </w:tcBorders>
          </w:tcPr>
          <w:p>
            <w:pPr>
              <w:spacing w:after="0"/>
              <w:rPr>
                <w:sz w:val="4"/>
                <w:szCs w:val="4"/>
                <w:color w:val="auto"/>
              </w:rPr>
            </w:pPr>
          </w:p>
        </w:tc>
        <w:tc>
          <w:tcPr>
            <w:tcW w:w="1000" w:type="dxa"/>
            <w:vAlign w:val="bottom"/>
            <w:tcBorders>
              <w:bottom w:val="single" w:sz="8" w:color="3E3935"/>
            </w:tcBorders>
          </w:tcPr>
          <w:p>
            <w:pPr>
              <w:spacing w:after="0"/>
              <w:rPr>
                <w:sz w:val="4"/>
                <w:szCs w:val="4"/>
                <w:color w:val="auto"/>
              </w:rPr>
            </w:pPr>
          </w:p>
        </w:tc>
        <w:tc>
          <w:tcPr>
            <w:tcW w:w="1160" w:type="dxa"/>
            <w:vAlign w:val="bottom"/>
            <w:tcBorders>
              <w:bottom w:val="single" w:sz="8" w:color="3E3935"/>
            </w:tcBorders>
          </w:tcPr>
          <w:p>
            <w:pPr>
              <w:spacing w:after="0"/>
              <w:rPr>
                <w:sz w:val="4"/>
                <w:szCs w:val="4"/>
                <w:color w:val="auto"/>
              </w:rPr>
            </w:pPr>
          </w:p>
        </w:tc>
        <w:tc>
          <w:tcPr>
            <w:tcW w:w="1020" w:type="dxa"/>
            <w:vAlign w:val="bottom"/>
            <w:tcBorders>
              <w:bottom w:val="single" w:sz="8" w:color="3E3935"/>
            </w:tcBorders>
          </w:tcPr>
          <w:p>
            <w:pPr>
              <w:spacing w:after="0"/>
              <w:rPr>
                <w:sz w:val="4"/>
                <w:szCs w:val="4"/>
                <w:color w:val="auto"/>
              </w:rPr>
            </w:pPr>
          </w:p>
        </w:tc>
        <w:tc>
          <w:tcPr>
            <w:tcW w:w="1000" w:type="dxa"/>
            <w:vAlign w:val="bottom"/>
            <w:tcBorders>
              <w:bottom w:val="single" w:sz="8" w:color="3E3935"/>
            </w:tcBorders>
          </w:tcPr>
          <w:p>
            <w:pPr>
              <w:spacing w:after="0"/>
              <w:rPr>
                <w:sz w:val="4"/>
                <w:szCs w:val="4"/>
                <w:color w:val="auto"/>
              </w:rPr>
            </w:pPr>
          </w:p>
        </w:tc>
        <w:tc>
          <w:tcPr>
            <w:tcW w:w="1020" w:type="dxa"/>
            <w:vAlign w:val="bottom"/>
            <w:tcBorders>
              <w:bottom w:val="single" w:sz="8" w:color="3E3935"/>
            </w:tcBorders>
          </w:tcPr>
          <w:p>
            <w:pPr>
              <w:spacing w:after="0"/>
              <w:rPr>
                <w:sz w:val="4"/>
                <w:szCs w:val="4"/>
                <w:color w:val="auto"/>
              </w:rPr>
            </w:pPr>
          </w:p>
        </w:tc>
      </w:tr>
      <w:tr>
        <w:trPr>
          <w:trHeight w:val="228"/>
        </w:trPr>
        <w:tc>
          <w:tcPr>
            <w:tcW w:w="3340" w:type="dxa"/>
            <w:vAlign w:val="bottom"/>
          </w:tcPr>
          <w:p>
            <w:pPr>
              <w:spacing w:after="0"/>
              <w:rPr>
                <w:sz w:val="19"/>
                <w:szCs w:val="19"/>
                <w:color w:val="auto"/>
              </w:rPr>
            </w:pPr>
          </w:p>
        </w:tc>
        <w:tc>
          <w:tcPr>
            <w:tcW w:w="1300" w:type="dxa"/>
            <w:vAlign w:val="bottom"/>
          </w:tcPr>
          <w:p>
            <w:pPr>
              <w:ind w:left="200"/>
              <w:spacing w:after="0"/>
              <w:rPr>
                <w:sz w:val="20"/>
                <w:szCs w:val="20"/>
                <w:color w:val="auto"/>
              </w:rPr>
            </w:pPr>
            <w:r>
              <w:rPr>
                <w:rFonts w:ascii="Arial" w:cs="Arial" w:eastAsia="Arial" w:hAnsi="Arial"/>
                <w:sz w:val="14"/>
                <w:szCs w:val="14"/>
                <w:color w:val="3E3935"/>
              </w:rPr>
              <w:t>STIP</w:t>
            </w:r>
          </w:p>
        </w:tc>
        <w:tc>
          <w:tcPr>
            <w:tcW w:w="1180" w:type="dxa"/>
            <w:vAlign w:val="bottom"/>
          </w:tcPr>
          <w:p>
            <w:pPr>
              <w:jc w:val="right"/>
              <w:ind w:right="68"/>
              <w:spacing w:after="0"/>
              <w:rPr>
                <w:sz w:val="20"/>
                <w:szCs w:val="20"/>
                <w:color w:val="auto"/>
              </w:rPr>
            </w:pPr>
            <w:r>
              <w:rPr>
                <w:rFonts w:ascii="Arial" w:cs="Arial" w:eastAsia="Arial" w:hAnsi="Arial"/>
                <w:sz w:val="14"/>
                <w:szCs w:val="14"/>
                <w:color w:val="3E3935"/>
              </w:rPr>
              <w:t>—</w:t>
            </w:r>
          </w:p>
        </w:tc>
        <w:tc>
          <w:tcPr>
            <w:tcW w:w="1000" w:type="dxa"/>
            <w:vAlign w:val="bottom"/>
          </w:tcPr>
          <w:p>
            <w:pPr>
              <w:jc w:val="right"/>
              <w:ind w:right="48"/>
              <w:spacing w:after="0"/>
              <w:rPr>
                <w:sz w:val="20"/>
                <w:szCs w:val="20"/>
                <w:color w:val="auto"/>
              </w:rPr>
            </w:pPr>
            <w:r>
              <w:rPr>
                <w:rFonts w:ascii="Arial" w:cs="Arial" w:eastAsia="Arial" w:hAnsi="Arial"/>
                <w:sz w:val="14"/>
                <w:szCs w:val="14"/>
                <w:color w:val="3E3935"/>
              </w:rPr>
              <w:t>1,250,000</w:t>
            </w:r>
          </w:p>
        </w:tc>
        <w:tc>
          <w:tcPr>
            <w:tcW w:w="1160" w:type="dxa"/>
            <w:vAlign w:val="bottom"/>
          </w:tcPr>
          <w:p>
            <w:pPr>
              <w:jc w:val="right"/>
              <w:ind w:right="88"/>
              <w:spacing w:after="0"/>
              <w:rPr>
                <w:sz w:val="20"/>
                <w:szCs w:val="20"/>
                <w:color w:val="auto"/>
              </w:rPr>
            </w:pPr>
            <w:r>
              <w:rPr>
                <w:rFonts w:ascii="Arial" w:cs="Arial" w:eastAsia="Arial" w:hAnsi="Arial"/>
                <w:sz w:val="14"/>
                <w:szCs w:val="14"/>
                <w:color w:val="3E3935"/>
              </w:rPr>
              <w:t>—</w:t>
            </w:r>
          </w:p>
        </w:tc>
        <w:tc>
          <w:tcPr>
            <w:tcW w:w="1020" w:type="dxa"/>
            <w:vAlign w:val="bottom"/>
          </w:tcPr>
          <w:p>
            <w:pPr>
              <w:jc w:val="right"/>
              <w:ind w:right="88"/>
              <w:spacing w:after="0"/>
              <w:rPr>
                <w:sz w:val="20"/>
                <w:szCs w:val="20"/>
                <w:color w:val="auto"/>
              </w:rPr>
            </w:pPr>
            <w:r>
              <w:rPr>
                <w:rFonts w:ascii="Arial" w:cs="Arial" w:eastAsia="Arial" w:hAnsi="Arial"/>
                <w:sz w:val="14"/>
                <w:szCs w:val="14"/>
                <w:color w:val="3E3935"/>
              </w:rPr>
              <w:t>1,800,000</w:t>
            </w:r>
          </w:p>
        </w:tc>
        <w:tc>
          <w:tcPr>
            <w:tcW w:w="1000" w:type="dxa"/>
            <w:vAlign w:val="bottom"/>
          </w:tcPr>
          <w:p>
            <w:pPr>
              <w:jc w:val="right"/>
              <w:ind w:right="68"/>
              <w:spacing w:after="0"/>
              <w:rPr>
                <w:sz w:val="20"/>
                <w:szCs w:val="20"/>
                <w:color w:val="auto"/>
              </w:rPr>
            </w:pPr>
            <w:r>
              <w:rPr>
                <w:rFonts w:ascii="Arial" w:cs="Arial" w:eastAsia="Arial" w:hAnsi="Arial"/>
                <w:sz w:val="14"/>
                <w:szCs w:val="14"/>
                <w:color w:val="3E3935"/>
              </w:rPr>
              <w:t>1,800,000</w:t>
            </w:r>
          </w:p>
        </w:tc>
        <w:tc>
          <w:tcPr>
            <w:tcW w:w="1020" w:type="dxa"/>
            <w:vAlign w:val="bottom"/>
          </w:tcPr>
          <w:p>
            <w:pPr>
              <w:jc w:val="right"/>
              <w:spacing w:after="0"/>
              <w:rPr>
                <w:sz w:val="20"/>
                <w:szCs w:val="20"/>
                <w:color w:val="auto"/>
              </w:rPr>
            </w:pPr>
            <w:r>
              <w:rPr>
                <w:rFonts w:ascii="Arial" w:cs="Arial" w:eastAsia="Arial" w:hAnsi="Arial"/>
                <w:sz w:val="14"/>
                <w:szCs w:val="14"/>
                <w:color w:val="3E3935"/>
              </w:rPr>
              <w:t>1,250,000</w:t>
            </w:r>
          </w:p>
        </w:tc>
      </w:tr>
      <w:tr>
        <w:trPr>
          <w:trHeight w:val="48"/>
        </w:trPr>
        <w:tc>
          <w:tcPr>
            <w:tcW w:w="3340" w:type="dxa"/>
            <w:vAlign w:val="bottom"/>
          </w:tcPr>
          <w:p>
            <w:pPr>
              <w:spacing w:after="0"/>
              <w:rPr>
                <w:sz w:val="4"/>
                <w:szCs w:val="4"/>
                <w:color w:val="auto"/>
              </w:rPr>
            </w:pPr>
          </w:p>
        </w:tc>
        <w:tc>
          <w:tcPr>
            <w:tcW w:w="1300" w:type="dxa"/>
            <w:vAlign w:val="bottom"/>
            <w:tcBorders>
              <w:bottom w:val="single" w:sz="8" w:color="3E3935"/>
            </w:tcBorders>
          </w:tcPr>
          <w:p>
            <w:pPr>
              <w:spacing w:after="0"/>
              <w:rPr>
                <w:sz w:val="4"/>
                <w:szCs w:val="4"/>
                <w:color w:val="auto"/>
              </w:rPr>
            </w:pPr>
          </w:p>
        </w:tc>
        <w:tc>
          <w:tcPr>
            <w:tcW w:w="1180" w:type="dxa"/>
            <w:vAlign w:val="bottom"/>
            <w:tcBorders>
              <w:bottom w:val="single" w:sz="8" w:color="3E3935"/>
            </w:tcBorders>
          </w:tcPr>
          <w:p>
            <w:pPr>
              <w:spacing w:after="0"/>
              <w:rPr>
                <w:sz w:val="4"/>
                <w:szCs w:val="4"/>
                <w:color w:val="auto"/>
              </w:rPr>
            </w:pPr>
          </w:p>
        </w:tc>
        <w:tc>
          <w:tcPr>
            <w:tcW w:w="1000" w:type="dxa"/>
            <w:vAlign w:val="bottom"/>
            <w:tcBorders>
              <w:bottom w:val="single" w:sz="8" w:color="3E3935"/>
            </w:tcBorders>
          </w:tcPr>
          <w:p>
            <w:pPr>
              <w:spacing w:after="0"/>
              <w:rPr>
                <w:sz w:val="4"/>
                <w:szCs w:val="4"/>
                <w:color w:val="auto"/>
              </w:rPr>
            </w:pPr>
          </w:p>
        </w:tc>
        <w:tc>
          <w:tcPr>
            <w:tcW w:w="1160" w:type="dxa"/>
            <w:vAlign w:val="bottom"/>
            <w:tcBorders>
              <w:bottom w:val="single" w:sz="8" w:color="3E3935"/>
            </w:tcBorders>
          </w:tcPr>
          <w:p>
            <w:pPr>
              <w:spacing w:after="0"/>
              <w:rPr>
                <w:sz w:val="4"/>
                <w:szCs w:val="4"/>
                <w:color w:val="auto"/>
              </w:rPr>
            </w:pPr>
          </w:p>
        </w:tc>
        <w:tc>
          <w:tcPr>
            <w:tcW w:w="1020" w:type="dxa"/>
            <w:vAlign w:val="bottom"/>
            <w:tcBorders>
              <w:bottom w:val="single" w:sz="8" w:color="3E3935"/>
            </w:tcBorders>
          </w:tcPr>
          <w:p>
            <w:pPr>
              <w:spacing w:after="0"/>
              <w:rPr>
                <w:sz w:val="4"/>
                <w:szCs w:val="4"/>
                <w:color w:val="auto"/>
              </w:rPr>
            </w:pPr>
          </w:p>
        </w:tc>
        <w:tc>
          <w:tcPr>
            <w:tcW w:w="1000" w:type="dxa"/>
            <w:vAlign w:val="bottom"/>
            <w:tcBorders>
              <w:bottom w:val="single" w:sz="8" w:color="3E3935"/>
            </w:tcBorders>
          </w:tcPr>
          <w:p>
            <w:pPr>
              <w:spacing w:after="0"/>
              <w:rPr>
                <w:sz w:val="4"/>
                <w:szCs w:val="4"/>
                <w:color w:val="auto"/>
              </w:rPr>
            </w:pPr>
          </w:p>
        </w:tc>
        <w:tc>
          <w:tcPr>
            <w:tcW w:w="1020" w:type="dxa"/>
            <w:vAlign w:val="bottom"/>
            <w:tcBorders>
              <w:bottom w:val="single" w:sz="8" w:color="3E3935"/>
            </w:tcBorders>
          </w:tcPr>
          <w:p>
            <w:pPr>
              <w:spacing w:after="0"/>
              <w:rPr>
                <w:sz w:val="4"/>
                <w:szCs w:val="4"/>
                <w:color w:val="auto"/>
              </w:rPr>
            </w:pPr>
          </w:p>
        </w:tc>
      </w:tr>
      <w:tr>
        <w:trPr>
          <w:trHeight w:val="228"/>
        </w:trPr>
        <w:tc>
          <w:tcPr>
            <w:tcW w:w="3340" w:type="dxa"/>
            <w:vAlign w:val="bottom"/>
          </w:tcPr>
          <w:p>
            <w:pPr>
              <w:spacing w:after="0"/>
              <w:rPr>
                <w:sz w:val="19"/>
                <w:szCs w:val="19"/>
                <w:color w:val="auto"/>
              </w:rPr>
            </w:pPr>
          </w:p>
        </w:tc>
        <w:tc>
          <w:tcPr>
            <w:tcW w:w="1300" w:type="dxa"/>
            <w:vAlign w:val="bottom"/>
          </w:tcPr>
          <w:p>
            <w:pPr>
              <w:ind w:left="200"/>
              <w:spacing w:after="0"/>
              <w:rPr>
                <w:sz w:val="20"/>
                <w:szCs w:val="20"/>
                <w:color w:val="auto"/>
              </w:rPr>
            </w:pPr>
            <w:r>
              <w:rPr>
                <w:rFonts w:ascii="Arial" w:cs="Arial" w:eastAsia="Arial" w:hAnsi="Arial"/>
                <w:sz w:val="14"/>
                <w:szCs w:val="14"/>
                <w:color w:val="3E3935"/>
              </w:rPr>
              <w:t>LTIP</w:t>
            </w:r>
          </w:p>
        </w:tc>
        <w:tc>
          <w:tcPr>
            <w:tcW w:w="1180" w:type="dxa"/>
            <w:vAlign w:val="bottom"/>
          </w:tcPr>
          <w:p>
            <w:pPr>
              <w:jc w:val="right"/>
              <w:ind w:right="68"/>
              <w:spacing w:after="0"/>
              <w:rPr>
                <w:sz w:val="20"/>
                <w:szCs w:val="20"/>
                <w:color w:val="auto"/>
              </w:rPr>
            </w:pPr>
            <w:r>
              <w:rPr>
                <w:rFonts w:ascii="Arial" w:cs="Arial" w:eastAsia="Arial" w:hAnsi="Arial"/>
                <w:sz w:val="14"/>
                <w:szCs w:val="14"/>
                <w:color w:val="3E3935"/>
              </w:rPr>
              <w:t>—</w:t>
            </w:r>
          </w:p>
        </w:tc>
        <w:tc>
          <w:tcPr>
            <w:tcW w:w="1000" w:type="dxa"/>
            <w:vAlign w:val="bottom"/>
          </w:tcPr>
          <w:p>
            <w:pPr>
              <w:jc w:val="right"/>
              <w:ind w:right="48"/>
              <w:spacing w:after="0"/>
              <w:rPr>
                <w:sz w:val="20"/>
                <w:szCs w:val="20"/>
                <w:color w:val="auto"/>
              </w:rPr>
            </w:pPr>
            <w:r>
              <w:rPr>
                <w:rFonts w:ascii="Arial" w:cs="Arial" w:eastAsia="Arial" w:hAnsi="Arial"/>
                <w:sz w:val="14"/>
                <w:szCs w:val="14"/>
                <w:color w:val="3E3935"/>
              </w:rPr>
              <w:t>1,648,326</w:t>
            </w:r>
          </w:p>
        </w:tc>
        <w:tc>
          <w:tcPr>
            <w:tcW w:w="1160" w:type="dxa"/>
            <w:vAlign w:val="bottom"/>
          </w:tcPr>
          <w:p>
            <w:pPr>
              <w:jc w:val="right"/>
              <w:ind w:right="88"/>
              <w:spacing w:after="0"/>
              <w:rPr>
                <w:sz w:val="20"/>
                <w:szCs w:val="20"/>
                <w:color w:val="auto"/>
              </w:rPr>
            </w:pPr>
            <w:r>
              <w:rPr>
                <w:rFonts w:ascii="Arial" w:cs="Arial" w:eastAsia="Arial" w:hAnsi="Arial"/>
                <w:sz w:val="14"/>
                <w:szCs w:val="14"/>
                <w:color w:val="3E3935"/>
              </w:rPr>
              <w:t>—</w:t>
            </w:r>
          </w:p>
        </w:tc>
        <w:tc>
          <w:tcPr>
            <w:tcW w:w="1020" w:type="dxa"/>
            <w:vAlign w:val="bottom"/>
          </w:tcPr>
          <w:p>
            <w:pPr>
              <w:jc w:val="right"/>
              <w:ind w:right="88"/>
              <w:spacing w:after="0"/>
              <w:rPr>
                <w:sz w:val="20"/>
                <w:szCs w:val="20"/>
                <w:color w:val="auto"/>
              </w:rPr>
            </w:pPr>
            <w:r>
              <w:rPr>
                <w:rFonts w:ascii="Arial" w:cs="Arial" w:eastAsia="Arial" w:hAnsi="Arial"/>
                <w:sz w:val="14"/>
                <w:szCs w:val="14"/>
                <w:color w:val="3E3935"/>
              </w:rPr>
              <w:t>8,668,085</w:t>
            </w:r>
          </w:p>
        </w:tc>
        <w:tc>
          <w:tcPr>
            <w:tcW w:w="1000" w:type="dxa"/>
            <w:vAlign w:val="bottom"/>
          </w:tcPr>
          <w:p>
            <w:pPr>
              <w:jc w:val="right"/>
              <w:ind w:right="68"/>
              <w:spacing w:after="0"/>
              <w:rPr>
                <w:sz w:val="20"/>
                <w:szCs w:val="20"/>
                <w:color w:val="auto"/>
              </w:rPr>
            </w:pPr>
            <w:r>
              <w:rPr>
                <w:rFonts w:ascii="Arial" w:cs="Arial" w:eastAsia="Arial" w:hAnsi="Arial"/>
                <w:sz w:val="14"/>
                <w:szCs w:val="14"/>
                <w:color w:val="3E3935"/>
              </w:rPr>
              <w:t>8,668,085</w:t>
            </w:r>
          </w:p>
        </w:tc>
        <w:tc>
          <w:tcPr>
            <w:tcW w:w="1020" w:type="dxa"/>
            <w:vAlign w:val="bottom"/>
          </w:tcPr>
          <w:p>
            <w:pPr>
              <w:jc w:val="right"/>
              <w:spacing w:after="0"/>
              <w:rPr>
                <w:sz w:val="20"/>
                <w:szCs w:val="20"/>
                <w:color w:val="auto"/>
              </w:rPr>
            </w:pPr>
            <w:r>
              <w:rPr>
                <w:rFonts w:ascii="Arial" w:cs="Arial" w:eastAsia="Arial" w:hAnsi="Arial"/>
                <w:sz w:val="14"/>
                <w:szCs w:val="14"/>
                <w:color w:val="3E3935"/>
              </w:rPr>
              <w:t>8,668,085</w:t>
            </w:r>
          </w:p>
        </w:tc>
      </w:tr>
      <w:tr>
        <w:trPr>
          <w:trHeight w:val="49"/>
        </w:trPr>
        <w:tc>
          <w:tcPr>
            <w:tcW w:w="3340" w:type="dxa"/>
            <w:vAlign w:val="bottom"/>
          </w:tcPr>
          <w:p>
            <w:pPr>
              <w:spacing w:after="0"/>
              <w:rPr>
                <w:sz w:val="4"/>
                <w:szCs w:val="4"/>
                <w:color w:val="auto"/>
              </w:rPr>
            </w:pPr>
          </w:p>
        </w:tc>
        <w:tc>
          <w:tcPr>
            <w:tcW w:w="1300" w:type="dxa"/>
            <w:vAlign w:val="bottom"/>
            <w:tcBorders>
              <w:bottom w:val="single" w:sz="8" w:color="3E3935"/>
            </w:tcBorders>
          </w:tcPr>
          <w:p>
            <w:pPr>
              <w:spacing w:after="0"/>
              <w:rPr>
                <w:sz w:val="4"/>
                <w:szCs w:val="4"/>
                <w:color w:val="auto"/>
              </w:rPr>
            </w:pPr>
          </w:p>
        </w:tc>
        <w:tc>
          <w:tcPr>
            <w:tcW w:w="1180" w:type="dxa"/>
            <w:vAlign w:val="bottom"/>
            <w:tcBorders>
              <w:bottom w:val="single" w:sz="8" w:color="3E3935"/>
            </w:tcBorders>
          </w:tcPr>
          <w:p>
            <w:pPr>
              <w:spacing w:after="0"/>
              <w:rPr>
                <w:sz w:val="4"/>
                <w:szCs w:val="4"/>
                <w:color w:val="auto"/>
              </w:rPr>
            </w:pPr>
          </w:p>
        </w:tc>
        <w:tc>
          <w:tcPr>
            <w:tcW w:w="1000" w:type="dxa"/>
            <w:vAlign w:val="bottom"/>
            <w:tcBorders>
              <w:bottom w:val="single" w:sz="8" w:color="3E3935"/>
            </w:tcBorders>
          </w:tcPr>
          <w:p>
            <w:pPr>
              <w:spacing w:after="0"/>
              <w:rPr>
                <w:sz w:val="4"/>
                <w:szCs w:val="4"/>
                <w:color w:val="auto"/>
              </w:rPr>
            </w:pPr>
          </w:p>
        </w:tc>
        <w:tc>
          <w:tcPr>
            <w:tcW w:w="1160" w:type="dxa"/>
            <w:vAlign w:val="bottom"/>
            <w:tcBorders>
              <w:bottom w:val="single" w:sz="8" w:color="3E3935"/>
            </w:tcBorders>
          </w:tcPr>
          <w:p>
            <w:pPr>
              <w:spacing w:after="0"/>
              <w:rPr>
                <w:sz w:val="4"/>
                <w:szCs w:val="4"/>
                <w:color w:val="auto"/>
              </w:rPr>
            </w:pPr>
          </w:p>
        </w:tc>
        <w:tc>
          <w:tcPr>
            <w:tcW w:w="1020" w:type="dxa"/>
            <w:vAlign w:val="bottom"/>
            <w:tcBorders>
              <w:bottom w:val="single" w:sz="8" w:color="3E3935"/>
            </w:tcBorders>
          </w:tcPr>
          <w:p>
            <w:pPr>
              <w:spacing w:after="0"/>
              <w:rPr>
                <w:sz w:val="4"/>
                <w:szCs w:val="4"/>
                <w:color w:val="auto"/>
              </w:rPr>
            </w:pPr>
          </w:p>
        </w:tc>
        <w:tc>
          <w:tcPr>
            <w:tcW w:w="1000" w:type="dxa"/>
            <w:vAlign w:val="bottom"/>
            <w:tcBorders>
              <w:bottom w:val="single" w:sz="8" w:color="3E3935"/>
            </w:tcBorders>
          </w:tcPr>
          <w:p>
            <w:pPr>
              <w:spacing w:after="0"/>
              <w:rPr>
                <w:sz w:val="4"/>
                <w:szCs w:val="4"/>
                <w:color w:val="auto"/>
              </w:rPr>
            </w:pPr>
          </w:p>
        </w:tc>
        <w:tc>
          <w:tcPr>
            <w:tcW w:w="1020" w:type="dxa"/>
            <w:vAlign w:val="bottom"/>
            <w:tcBorders>
              <w:bottom w:val="single" w:sz="8" w:color="3E3935"/>
            </w:tcBorders>
          </w:tcPr>
          <w:p>
            <w:pPr>
              <w:spacing w:after="0"/>
              <w:rPr>
                <w:sz w:val="4"/>
                <w:szCs w:val="4"/>
                <w:color w:val="auto"/>
              </w:rPr>
            </w:pPr>
          </w:p>
        </w:tc>
      </w:tr>
      <w:tr>
        <w:trPr>
          <w:trHeight w:val="234"/>
        </w:trPr>
        <w:tc>
          <w:tcPr>
            <w:tcW w:w="3340" w:type="dxa"/>
            <w:vAlign w:val="bottom"/>
          </w:tcPr>
          <w:p>
            <w:pPr>
              <w:spacing w:after="0"/>
              <w:rPr>
                <w:sz w:val="20"/>
                <w:szCs w:val="20"/>
                <w:color w:val="auto"/>
              </w:rPr>
            </w:pPr>
          </w:p>
        </w:tc>
        <w:tc>
          <w:tcPr>
            <w:tcW w:w="1300" w:type="dxa"/>
            <w:vAlign w:val="bottom"/>
          </w:tcPr>
          <w:p>
            <w:pPr>
              <w:ind w:left="200"/>
              <w:spacing w:after="0"/>
              <w:rPr>
                <w:sz w:val="20"/>
                <w:szCs w:val="20"/>
                <w:color w:val="auto"/>
              </w:rPr>
            </w:pPr>
            <w:r>
              <w:rPr>
                <w:rFonts w:ascii="Arial" w:cs="Arial" w:eastAsia="Arial" w:hAnsi="Arial"/>
                <w:sz w:val="14"/>
                <w:szCs w:val="14"/>
                <w:b w:val="1"/>
                <w:bCs w:val="1"/>
                <w:color w:val="3E3935"/>
              </w:rPr>
              <w:t>TOTAL</w:t>
            </w:r>
          </w:p>
        </w:tc>
        <w:tc>
          <w:tcPr>
            <w:tcW w:w="1180" w:type="dxa"/>
            <w:vAlign w:val="bottom"/>
          </w:tcPr>
          <w:p>
            <w:pPr>
              <w:jc w:val="right"/>
              <w:ind w:right="68"/>
              <w:spacing w:after="0"/>
              <w:rPr>
                <w:sz w:val="20"/>
                <w:szCs w:val="20"/>
                <w:color w:val="auto"/>
              </w:rPr>
            </w:pPr>
            <w:r>
              <w:rPr>
                <w:rFonts w:ascii="Arial" w:cs="Arial" w:eastAsia="Arial" w:hAnsi="Arial"/>
                <w:sz w:val="14"/>
                <w:szCs w:val="14"/>
                <w:b w:val="1"/>
                <w:bCs w:val="1"/>
                <w:color w:val="3E3935"/>
              </w:rPr>
              <w:t>—</w:t>
            </w:r>
          </w:p>
        </w:tc>
        <w:tc>
          <w:tcPr>
            <w:tcW w:w="1000" w:type="dxa"/>
            <w:vAlign w:val="bottom"/>
          </w:tcPr>
          <w:p>
            <w:pPr>
              <w:jc w:val="right"/>
              <w:ind w:right="48"/>
              <w:spacing w:after="0"/>
              <w:rPr>
                <w:sz w:val="20"/>
                <w:szCs w:val="20"/>
                <w:color w:val="auto"/>
              </w:rPr>
            </w:pPr>
            <w:r>
              <w:rPr>
                <w:rFonts w:ascii="Arial" w:cs="Arial" w:eastAsia="Arial" w:hAnsi="Arial"/>
                <w:sz w:val="14"/>
                <w:szCs w:val="14"/>
                <w:b w:val="1"/>
                <w:bCs w:val="1"/>
                <w:color w:val="3E3935"/>
              </w:rPr>
              <w:t>4,427,399</w:t>
            </w:r>
          </w:p>
        </w:tc>
        <w:tc>
          <w:tcPr>
            <w:tcW w:w="1160" w:type="dxa"/>
            <w:vAlign w:val="bottom"/>
          </w:tcPr>
          <w:p>
            <w:pPr>
              <w:jc w:val="right"/>
              <w:ind w:right="88"/>
              <w:spacing w:after="0"/>
              <w:rPr>
                <w:sz w:val="20"/>
                <w:szCs w:val="20"/>
                <w:color w:val="auto"/>
              </w:rPr>
            </w:pPr>
            <w:r>
              <w:rPr>
                <w:rFonts w:ascii="Arial" w:cs="Arial" w:eastAsia="Arial" w:hAnsi="Arial"/>
                <w:sz w:val="14"/>
                <w:szCs w:val="14"/>
                <w:b w:val="1"/>
                <w:bCs w:val="1"/>
                <w:color w:val="3E3935"/>
              </w:rPr>
              <w:t>—</w:t>
            </w:r>
          </w:p>
        </w:tc>
        <w:tc>
          <w:tcPr>
            <w:tcW w:w="1020" w:type="dxa"/>
            <w:vAlign w:val="bottom"/>
          </w:tcPr>
          <w:p>
            <w:pPr>
              <w:jc w:val="right"/>
              <w:ind w:right="88"/>
              <w:spacing w:after="0"/>
              <w:rPr>
                <w:sz w:val="20"/>
                <w:szCs w:val="20"/>
                <w:color w:val="auto"/>
              </w:rPr>
            </w:pPr>
            <w:r>
              <w:rPr>
                <w:rFonts w:ascii="Arial" w:cs="Arial" w:eastAsia="Arial" w:hAnsi="Arial"/>
                <w:sz w:val="14"/>
                <w:szCs w:val="14"/>
                <w:b w:val="1"/>
                <w:bCs w:val="1"/>
                <w:color w:val="3E3935"/>
              </w:rPr>
              <w:t>10,468,085</w:t>
            </w:r>
          </w:p>
        </w:tc>
        <w:tc>
          <w:tcPr>
            <w:tcW w:w="1000" w:type="dxa"/>
            <w:vAlign w:val="bottom"/>
          </w:tcPr>
          <w:p>
            <w:pPr>
              <w:jc w:val="right"/>
              <w:ind w:right="68"/>
              <w:spacing w:after="0"/>
              <w:rPr>
                <w:sz w:val="20"/>
                <w:szCs w:val="20"/>
                <w:color w:val="auto"/>
              </w:rPr>
            </w:pPr>
            <w:r>
              <w:rPr>
                <w:rFonts w:ascii="Arial" w:cs="Arial" w:eastAsia="Arial" w:hAnsi="Arial"/>
                <w:sz w:val="14"/>
                <w:szCs w:val="14"/>
                <w:b w:val="1"/>
                <w:bCs w:val="1"/>
                <w:color w:val="3E3935"/>
              </w:rPr>
              <w:t>10,468,085</w:t>
            </w:r>
          </w:p>
        </w:tc>
        <w:tc>
          <w:tcPr>
            <w:tcW w:w="1020" w:type="dxa"/>
            <w:vAlign w:val="bottom"/>
          </w:tcPr>
          <w:p>
            <w:pPr>
              <w:jc w:val="right"/>
              <w:spacing w:after="0"/>
              <w:rPr>
                <w:sz w:val="20"/>
                <w:szCs w:val="20"/>
                <w:color w:val="auto"/>
              </w:rPr>
            </w:pPr>
            <w:r>
              <w:rPr>
                <w:rFonts w:ascii="Arial" w:cs="Arial" w:eastAsia="Arial" w:hAnsi="Arial"/>
                <w:sz w:val="14"/>
                <w:szCs w:val="14"/>
                <w:b w:val="1"/>
                <w:bCs w:val="1"/>
                <w:color w:val="3E3935"/>
              </w:rPr>
              <w:t>11,432,158</w:t>
            </w:r>
          </w:p>
        </w:tc>
      </w:tr>
      <w:tr>
        <w:trPr>
          <w:trHeight w:val="43"/>
        </w:trPr>
        <w:tc>
          <w:tcPr>
            <w:tcW w:w="3340" w:type="dxa"/>
            <w:vAlign w:val="bottom"/>
            <w:tcBorders>
              <w:bottom w:val="single" w:sz="8" w:color="3E3935"/>
            </w:tcBorders>
          </w:tcPr>
          <w:p>
            <w:pPr>
              <w:spacing w:after="0"/>
              <w:rPr>
                <w:sz w:val="3"/>
                <w:szCs w:val="3"/>
                <w:color w:val="auto"/>
              </w:rPr>
            </w:pPr>
          </w:p>
        </w:tc>
        <w:tc>
          <w:tcPr>
            <w:tcW w:w="1300" w:type="dxa"/>
            <w:vAlign w:val="bottom"/>
            <w:tcBorders>
              <w:bottom w:val="single" w:sz="8" w:color="3E3935"/>
            </w:tcBorders>
          </w:tcPr>
          <w:p>
            <w:pPr>
              <w:spacing w:after="0"/>
              <w:rPr>
                <w:sz w:val="3"/>
                <w:szCs w:val="3"/>
                <w:color w:val="auto"/>
              </w:rPr>
            </w:pPr>
          </w:p>
        </w:tc>
        <w:tc>
          <w:tcPr>
            <w:tcW w:w="1180" w:type="dxa"/>
            <w:vAlign w:val="bottom"/>
            <w:tcBorders>
              <w:bottom w:val="single" w:sz="8" w:color="3E3935"/>
            </w:tcBorders>
          </w:tcPr>
          <w:p>
            <w:pPr>
              <w:spacing w:after="0"/>
              <w:rPr>
                <w:sz w:val="3"/>
                <w:szCs w:val="3"/>
                <w:color w:val="auto"/>
              </w:rPr>
            </w:pPr>
          </w:p>
        </w:tc>
        <w:tc>
          <w:tcPr>
            <w:tcW w:w="1000" w:type="dxa"/>
            <w:vAlign w:val="bottom"/>
            <w:tcBorders>
              <w:bottom w:val="single" w:sz="8" w:color="3E3935"/>
            </w:tcBorders>
          </w:tcPr>
          <w:p>
            <w:pPr>
              <w:spacing w:after="0"/>
              <w:rPr>
                <w:sz w:val="3"/>
                <w:szCs w:val="3"/>
                <w:color w:val="auto"/>
              </w:rPr>
            </w:pPr>
          </w:p>
        </w:tc>
        <w:tc>
          <w:tcPr>
            <w:tcW w:w="1160" w:type="dxa"/>
            <w:vAlign w:val="bottom"/>
            <w:tcBorders>
              <w:bottom w:val="single" w:sz="8" w:color="3E3935"/>
            </w:tcBorders>
          </w:tcPr>
          <w:p>
            <w:pPr>
              <w:spacing w:after="0"/>
              <w:rPr>
                <w:sz w:val="3"/>
                <w:szCs w:val="3"/>
                <w:color w:val="auto"/>
              </w:rPr>
            </w:pPr>
          </w:p>
        </w:tc>
        <w:tc>
          <w:tcPr>
            <w:tcW w:w="1020" w:type="dxa"/>
            <w:vAlign w:val="bottom"/>
            <w:tcBorders>
              <w:bottom w:val="single" w:sz="8" w:color="3E3935"/>
            </w:tcBorders>
          </w:tcPr>
          <w:p>
            <w:pPr>
              <w:spacing w:after="0"/>
              <w:rPr>
                <w:sz w:val="3"/>
                <w:szCs w:val="3"/>
                <w:color w:val="auto"/>
              </w:rPr>
            </w:pPr>
          </w:p>
        </w:tc>
        <w:tc>
          <w:tcPr>
            <w:tcW w:w="1000" w:type="dxa"/>
            <w:vAlign w:val="bottom"/>
            <w:tcBorders>
              <w:bottom w:val="single" w:sz="8" w:color="3E3935"/>
            </w:tcBorders>
          </w:tcPr>
          <w:p>
            <w:pPr>
              <w:spacing w:after="0"/>
              <w:rPr>
                <w:sz w:val="3"/>
                <w:szCs w:val="3"/>
                <w:color w:val="auto"/>
              </w:rPr>
            </w:pPr>
          </w:p>
        </w:tc>
        <w:tc>
          <w:tcPr>
            <w:tcW w:w="1020" w:type="dxa"/>
            <w:vAlign w:val="bottom"/>
            <w:tcBorders>
              <w:bottom w:val="single" w:sz="8" w:color="3E3935"/>
            </w:tcBorders>
          </w:tcPr>
          <w:p>
            <w:pPr>
              <w:spacing w:after="0"/>
              <w:rPr>
                <w:sz w:val="3"/>
                <w:szCs w:val="3"/>
                <w:color w:val="auto"/>
              </w:rPr>
            </w:pPr>
          </w:p>
        </w:tc>
      </w:tr>
      <w:tr>
        <w:trPr>
          <w:trHeight w:val="228"/>
        </w:trPr>
        <w:tc>
          <w:tcPr>
            <w:tcW w:w="3340" w:type="dxa"/>
            <w:vAlign w:val="bottom"/>
          </w:tcPr>
          <w:p>
            <w:pPr>
              <w:ind w:left="60"/>
              <w:spacing w:after="0"/>
              <w:rPr>
                <w:sz w:val="20"/>
                <w:szCs w:val="20"/>
                <w:color w:val="auto"/>
              </w:rPr>
            </w:pPr>
            <w:r>
              <w:rPr>
                <w:rFonts w:ascii="Arial" w:cs="Arial" w:eastAsia="Arial" w:hAnsi="Arial"/>
                <w:sz w:val="14"/>
                <w:szCs w:val="14"/>
                <w:color w:val="3E3935"/>
              </w:rPr>
              <w:t>Mark L. Reuss</w:t>
            </w:r>
          </w:p>
        </w:tc>
        <w:tc>
          <w:tcPr>
            <w:tcW w:w="1300" w:type="dxa"/>
            <w:vAlign w:val="bottom"/>
          </w:tcPr>
          <w:p>
            <w:pPr>
              <w:ind w:left="200"/>
              <w:spacing w:after="0"/>
              <w:rPr>
                <w:sz w:val="20"/>
                <w:szCs w:val="20"/>
                <w:color w:val="auto"/>
              </w:rPr>
            </w:pPr>
            <w:r>
              <w:rPr>
                <w:rFonts w:ascii="Arial" w:cs="Arial" w:eastAsia="Arial" w:hAnsi="Arial"/>
                <w:sz w:val="14"/>
                <w:szCs w:val="14"/>
                <w:color w:val="3E3935"/>
              </w:rPr>
              <w:t>Cash</w:t>
            </w:r>
          </w:p>
        </w:tc>
        <w:tc>
          <w:tcPr>
            <w:tcW w:w="1180" w:type="dxa"/>
            <w:vAlign w:val="bottom"/>
          </w:tcPr>
          <w:p>
            <w:pPr>
              <w:jc w:val="right"/>
              <w:ind w:right="68"/>
              <w:spacing w:after="0"/>
              <w:rPr>
                <w:sz w:val="20"/>
                <w:szCs w:val="20"/>
                <w:color w:val="auto"/>
              </w:rPr>
            </w:pPr>
            <w:r>
              <w:rPr>
                <w:rFonts w:ascii="Arial" w:cs="Arial" w:eastAsia="Arial" w:hAnsi="Arial"/>
                <w:sz w:val="14"/>
                <w:szCs w:val="14"/>
                <w:color w:val="3E3935"/>
              </w:rPr>
              <w:t>—</w:t>
            </w:r>
          </w:p>
        </w:tc>
        <w:tc>
          <w:tcPr>
            <w:tcW w:w="1000" w:type="dxa"/>
            <w:vAlign w:val="bottom"/>
          </w:tcPr>
          <w:p>
            <w:pPr>
              <w:jc w:val="right"/>
              <w:ind w:right="48"/>
              <w:spacing w:after="0"/>
              <w:rPr>
                <w:sz w:val="20"/>
                <w:szCs w:val="20"/>
                <w:color w:val="auto"/>
              </w:rPr>
            </w:pPr>
            <w:r>
              <w:rPr>
                <w:rFonts w:ascii="Arial" w:cs="Arial" w:eastAsia="Arial" w:hAnsi="Arial"/>
                <w:sz w:val="14"/>
                <w:szCs w:val="14"/>
                <w:color w:val="3E3935"/>
              </w:rPr>
              <w:t>2,062,785</w:t>
            </w:r>
          </w:p>
        </w:tc>
        <w:tc>
          <w:tcPr>
            <w:tcW w:w="1160" w:type="dxa"/>
            <w:vAlign w:val="bottom"/>
          </w:tcPr>
          <w:p>
            <w:pPr>
              <w:jc w:val="right"/>
              <w:ind w:right="88"/>
              <w:spacing w:after="0"/>
              <w:rPr>
                <w:sz w:val="20"/>
                <w:szCs w:val="20"/>
                <w:color w:val="auto"/>
              </w:rPr>
            </w:pPr>
            <w:r>
              <w:rPr>
                <w:rFonts w:ascii="Arial" w:cs="Arial" w:eastAsia="Arial" w:hAnsi="Arial"/>
                <w:sz w:val="14"/>
                <w:szCs w:val="14"/>
                <w:color w:val="3E3935"/>
              </w:rPr>
              <w:t>—</w:t>
            </w:r>
          </w:p>
        </w:tc>
        <w:tc>
          <w:tcPr>
            <w:tcW w:w="1020" w:type="dxa"/>
            <w:vAlign w:val="bottom"/>
          </w:tcPr>
          <w:p>
            <w:pPr>
              <w:jc w:val="right"/>
              <w:ind w:right="88"/>
              <w:spacing w:after="0"/>
              <w:rPr>
                <w:sz w:val="20"/>
                <w:szCs w:val="20"/>
                <w:color w:val="auto"/>
              </w:rPr>
            </w:pPr>
            <w:r>
              <w:rPr>
                <w:rFonts w:ascii="Arial" w:cs="Arial" w:eastAsia="Arial" w:hAnsi="Arial"/>
                <w:sz w:val="14"/>
                <w:szCs w:val="14"/>
                <w:color w:val="3E3935"/>
              </w:rPr>
              <w:t>—</w:t>
            </w:r>
          </w:p>
        </w:tc>
        <w:tc>
          <w:tcPr>
            <w:tcW w:w="1000" w:type="dxa"/>
            <w:vAlign w:val="bottom"/>
          </w:tcPr>
          <w:p>
            <w:pPr>
              <w:jc w:val="right"/>
              <w:ind w:right="68"/>
              <w:spacing w:after="0"/>
              <w:rPr>
                <w:sz w:val="20"/>
                <w:szCs w:val="20"/>
                <w:color w:val="auto"/>
              </w:rPr>
            </w:pPr>
            <w:r>
              <w:rPr>
                <w:rFonts w:ascii="Arial" w:cs="Arial" w:eastAsia="Arial" w:hAnsi="Arial"/>
                <w:sz w:val="14"/>
                <w:szCs w:val="14"/>
                <w:color w:val="3E3935"/>
              </w:rPr>
              <w:t>—</w:t>
            </w:r>
          </w:p>
        </w:tc>
        <w:tc>
          <w:tcPr>
            <w:tcW w:w="1020" w:type="dxa"/>
            <w:vAlign w:val="bottom"/>
          </w:tcPr>
          <w:p>
            <w:pPr>
              <w:jc w:val="right"/>
              <w:spacing w:after="0"/>
              <w:rPr>
                <w:sz w:val="20"/>
                <w:szCs w:val="20"/>
                <w:color w:val="auto"/>
              </w:rPr>
            </w:pPr>
            <w:r>
              <w:rPr>
                <w:rFonts w:ascii="Arial" w:cs="Arial" w:eastAsia="Arial" w:hAnsi="Arial"/>
                <w:sz w:val="14"/>
                <w:szCs w:val="14"/>
                <w:color w:val="3E3935"/>
              </w:rPr>
              <w:t>2,047,785</w:t>
            </w:r>
          </w:p>
        </w:tc>
      </w:tr>
      <w:tr>
        <w:trPr>
          <w:trHeight w:val="48"/>
        </w:trPr>
        <w:tc>
          <w:tcPr>
            <w:tcW w:w="3340" w:type="dxa"/>
            <w:vAlign w:val="bottom"/>
          </w:tcPr>
          <w:p>
            <w:pPr>
              <w:spacing w:after="0"/>
              <w:rPr>
                <w:sz w:val="4"/>
                <w:szCs w:val="4"/>
                <w:color w:val="auto"/>
              </w:rPr>
            </w:pPr>
          </w:p>
        </w:tc>
        <w:tc>
          <w:tcPr>
            <w:tcW w:w="1300" w:type="dxa"/>
            <w:vAlign w:val="bottom"/>
            <w:tcBorders>
              <w:bottom w:val="single" w:sz="8" w:color="3E3935"/>
            </w:tcBorders>
          </w:tcPr>
          <w:p>
            <w:pPr>
              <w:spacing w:after="0"/>
              <w:rPr>
                <w:sz w:val="4"/>
                <w:szCs w:val="4"/>
                <w:color w:val="auto"/>
              </w:rPr>
            </w:pPr>
          </w:p>
        </w:tc>
        <w:tc>
          <w:tcPr>
            <w:tcW w:w="1180" w:type="dxa"/>
            <w:vAlign w:val="bottom"/>
            <w:tcBorders>
              <w:bottom w:val="single" w:sz="8" w:color="3E3935"/>
            </w:tcBorders>
          </w:tcPr>
          <w:p>
            <w:pPr>
              <w:spacing w:after="0"/>
              <w:rPr>
                <w:sz w:val="4"/>
                <w:szCs w:val="4"/>
                <w:color w:val="auto"/>
              </w:rPr>
            </w:pPr>
          </w:p>
        </w:tc>
        <w:tc>
          <w:tcPr>
            <w:tcW w:w="1000" w:type="dxa"/>
            <w:vAlign w:val="bottom"/>
            <w:tcBorders>
              <w:bottom w:val="single" w:sz="8" w:color="3E3935"/>
            </w:tcBorders>
          </w:tcPr>
          <w:p>
            <w:pPr>
              <w:spacing w:after="0"/>
              <w:rPr>
                <w:sz w:val="4"/>
                <w:szCs w:val="4"/>
                <w:color w:val="auto"/>
              </w:rPr>
            </w:pPr>
          </w:p>
        </w:tc>
        <w:tc>
          <w:tcPr>
            <w:tcW w:w="1160" w:type="dxa"/>
            <w:vAlign w:val="bottom"/>
            <w:tcBorders>
              <w:bottom w:val="single" w:sz="8" w:color="3E3935"/>
            </w:tcBorders>
          </w:tcPr>
          <w:p>
            <w:pPr>
              <w:spacing w:after="0"/>
              <w:rPr>
                <w:sz w:val="4"/>
                <w:szCs w:val="4"/>
                <w:color w:val="auto"/>
              </w:rPr>
            </w:pPr>
          </w:p>
        </w:tc>
        <w:tc>
          <w:tcPr>
            <w:tcW w:w="1020" w:type="dxa"/>
            <w:vAlign w:val="bottom"/>
            <w:tcBorders>
              <w:bottom w:val="single" w:sz="8" w:color="3E3935"/>
            </w:tcBorders>
          </w:tcPr>
          <w:p>
            <w:pPr>
              <w:spacing w:after="0"/>
              <w:rPr>
                <w:sz w:val="4"/>
                <w:szCs w:val="4"/>
                <w:color w:val="auto"/>
              </w:rPr>
            </w:pPr>
          </w:p>
        </w:tc>
        <w:tc>
          <w:tcPr>
            <w:tcW w:w="1000" w:type="dxa"/>
            <w:vAlign w:val="bottom"/>
            <w:tcBorders>
              <w:bottom w:val="single" w:sz="8" w:color="3E3935"/>
            </w:tcBorders>
          </w:tcPr>
          <w:p>
            <w:pPr>
              <w:spacing w:after="0"/>
              <w:rPr>
                <w:sz w:val="4"/>
                <w:szCs w:val="4"/>
                <w:color w:val="auto"/>
              </w:rPr>
            </w:pPr>
          </w:p>
        </w:tc>
        <w:tc>
          <w:tcPr>
            <w:tcW w:w="1020" w:type="dxa"/>
            <w:vAlign w:val="bottom"/>
            <w:tcBorders>
              <w:bottom w:val="single" w:sz="8" w:color="3E3935"/>
            </w:tcBorders>
          </w:tcPr>
          <w:p>
            <w:pPr>
              <w:spacing w:after="0"/>
              <w:rPr>
                <w:sz w:val="4"/>
                <w:szCs w:val="4"/>
                <w:color w:val="auto"/>
              </w:rPr>
            </w:pPr>
          </w:p>
        </w:tc>
      </w:tr>
      <w:tr>
        <w:trPr>
          <w:trHeight w:val="229"/>
        </w:trPr>
        <w:tc>
          <w:tcPr>
            <w:tcW w:w="3340" w:type="dxa"/>
            <w:vAlign w:val="bottom"/>
          </w:tcPr>
          <w:p>
            <w:pPr>
              <w:spacing w:after="0"/>
              <w:rPr>
                <w:sz w:val="19"/>
                <w:szCs w:val="19"/>
                <w:color w:val="auto"/>
              </w:rPr>
            </w:pPr>
          </w:p>
        </w:tc>
        <w:tc>
          <w:tcPr>
            <w:tcW w:w="1300" w:type="dxa"/>
            <w:vAlign w:val="bottom"/>
          </w:tcPr>
          <w:p>
            <w:pPr>
              <w:ind w:left="200"/>
              <w:spacing w:after="0"/>
              <w:rPr>
                <w:sz w:val="20"/>
                <w:szCs w:val="20"/>
                <w:color w:val="auto"/>
              </w:rPr>
            </w:pPr>
            <w:r>
              <w:rPr>
                <w:rFonts w:ascii="Arial" w:cs="Arial" w:eastAsia="Arial" w:hAnsi="Arial"/>
                <w:sz w:val="14"/>
                <w:szCs w:val="14"/>
                <w:color w:val="3E3935"/>
              </w:rPr>
              <w:t>STIP</w:t>
            </w:r>
          </w:p>
        </w:tc>
        <w:tc>
          <w:tcPr>
            <w:tcW w:w="1180" w:type="dxa"/>
            <w:vAlign w:val="bottom"/>
          </w:tcPr>
          <w:p>
            <w:pPr>
              <w:jc w:val="right"/>
              <w:ind w:right="68"/>
              <w:spacing w:after="0"/>
              <w:rPr>
                <w:sz w:val="20"/>
                <w:szCs w:val="20"/>
                <w:color w:val="auto"/>
              </w:rPr>
            </w:pPr>
            <w:r>
              <w:rPr>
                <w:rFonts w:ascii="Arial" w:cs="Arial" w:eastAsia="Arial" w:hAnsi="Arial"/>
                <w:sz w:val="14"/>
                <w:szCs w:val="14"/>
                <w:color w:val="3E3935"/>
              </w:rPr>
              <w:t>—</w:t>
            </w:r>
          </w:p>
        </w:tc>
        <w:tc>
          <w:tcPr>
            <w:tcW w:w="1000" w:type="dxa"/>
            <w:vAlign w:val="bottom"/>
          </w:tcPr>
          <w:p>
            <w:pPr>
              <w:jc w:val="right"/>
              <w:ind w:right="48"/>
              <w:spacing w:after="0"/>
              <w:rPr>
                <w:sz w:val="20"/>
                <w:szCs w:val="20"/>
                <w:color w:val="auto"/>
              </w:rPr>
            </w:pPr>
            <w:r>
              <w:rPr>
                <w:rFonts w:ascii="Arial" w:cs="Arial" w:eastAsia="Arial" w:hAnsi="Arial"/>
                <w:sz w:val="14"/>
                <w:szCs w:val="14"/>
                <w:color w:val="3E3935"/>
              </w:rPr>
              <w:t>1,687,500</w:t>
            </w:r>
          </w:p>
        </w:tc>
        <w:tc>
          <w:tcPr>
            <w:tcW w:w="1160" w:type="dxa"/>
            <w:vAlign w:val="bottom"/>
          </w:tcPr>
          <w:p>
            <w:pPr>
              <w:jc w:val="right"/>
              <w:ind w:right="88"/>
              <w:spacing w:after="0"/>
              <w:rPr>
                <w:sz w:val="20"/>
                <w:szCs w:val="20"/>
                <w:color w:val="auto"/>
              </w:rPr>
            </w:pPr>
            <w:r>
              <w:rPr>
                <w:rFonts w:ascii="Arial" w:cs="Arial" w:eastAsia="Arial" w:hAnsi="Arial"/>
                <w:sz w:val="14"/>
                <w:szCs w:val="14"/>
                <w:color w:val="3E3935"/>
              </w:rPr>
              <w:t>2,430,000</w:t>
            </w:r>
          </w:p>
        </w:tc>
        <w:tc>
          <w:tcPr>
            <w:tcW w:w="1020" w:type="dxa"/>
            <w:vAlign w:val="bottom"/>
          </w:tcPr>
          <w:p>
            <w:pPr>
              <w:jc w:val="right"/>
              <w:ind w:right="88"/>
              <w:spacing w:after="0"/>
              <w:rPr>
                <w:sz w:val="20"/>
                <w:szCs w:val="20"/>
                <w:color w:val="auto"/>
              </w:rPr>
            </w:pPr>
            <w:r>
              <w:rPr>
                <w:rFonts w:ascii="Arial" w:cs="Arial" w:eastAsia="Arial" w:hAnsi="Arial"/>
                <w:sz w:val="14"/>
                <w:szCs w:val="14"/>
                <w:color w:val="3E3935"/>
              </w:rPr>
              <w:t>2,430,000</w:t>
            </w:r>
          </w:p>
        </w:tc>
        <w:tc>
          <w:tcPr>
            <w:tcW w:w="1000" w:type="dxa"/>
            <w:vAlign w:val="bottom"/>
          </w:tcPr>
          <w:p>
            <w:pPr>
              <w:jc w:val="right"/>
              <w:ind w:right="68"/>
              <w:spacing w:after="0"/>
              <w:rPr>
                <w:sz w:val="20"/>
                <w:szCs w:val="20"/>
                <w:color w:val="auto"/>
              </w:rPr>
            </w:pPr>
            <w:r>
              <w:rPr>
                <w:rFonts w:ascii="Arial" w:cs="Arial" w:eastAsia="Arial" w:hAnsi="Arial"/>
                <w:sz w:val="14"/>
                <w:szCs w:val="14"/>
                <w:color w:val="3E3935"/>
              </w:rPr>
              <w:t>2,430,000</w:t>
            </w:r>
          </w:p>
        </w:tc>
        <w:tc>
          <w:tcPr>
            <w:tcW w:w="1020" w:type="dxa"/>
            <w:vAlign w:val="bottom"/>
          </w:tcPr>
          <w:p>
            <w:pPr>
              <w:jc w:val="right"/>
              <w:spacing w:after="0"/>
              <w:rPr>
                <w:sz w:val="20"/>
                <w:szCs w:val="20"/>
                <w:color w:val="auto"/>
              </w:rPr>
            </w:pPr>
            <w:r>
              <w:rPr>
                <w:rFonts w:ascii="Arial" w:cs="Arial" w:eastAsia="Arial" w:hAnsi="Arial"/>
                <w:sz w:val="14"/>
                <w:szCs w:val="14"/>
                <w:color w:val="3E3935"/>
              </w:rPr>
              <w:t>1,687,500</w:t>
            </w:r>
          </w:p>
        </w:tc>
      </w:tr>
      <w:tr>
        <w:trPr>
          <w:trHeight w:val="49"/>
        </w:trPr>
        <w:tc>
          <w:tcPr>
            <w:tcW w:w="3340" w:type="dxa"/>
            <w:vAlign w:val="bottom"/>
          </w:tcPr>
          <w:p>
            <w:pPr>
              <w:spacing w:after="0"/>
              <w:rPr>
                <w:sz w:val="4"/>
                <w:szCs w:val="4"/>
                <w:color w:val="auto"/>
              </w:rPr>
            </w:pPr>
          </w:p>
        </w:tc>
        <w:tc>
          <w:tcPr>
            <w:tcW w:w="1300" w:type="dxa"/>
            <w:vAlign w:val="bottom"/>
            <w:tcBorders>
              <w:bottom w:val="single" w:sz="8" w:color="3E3935"/>
            </w:tcBorders>
          </w:tcPr>
          <w:p>
            <w:pPr>
              <w:spacing w:after="0"/>
              <w:rPr>
                <w:sz w:val="4"/>
                <w:szCs w:val="4"/>
                <w:color w:val="auto"/>
              </w:rPr>
            </w:pPr>
          </w:p>
        </w:tc>
        <w:tc>
          <w:tcPr>
            <w:tcW w:w="1180" w:type="dxa"/>
            <w:vAlign w:val="bottom"/>
            <w:tcBorders>
              <w:bottom w:val="single" w:sz="8" w:color="3E3935"/>
            </w:tcBorders>
          </w:tcPr>
          <w:p>
            <w:pPr>
              <w:spacing w:after="0"/>
              <w:rPr>
                <w:sz w:val="4"/>
                <w:szCs w:val="4"/>
                <w:color w:val="auto"/>
              </w:rPr>
            </w:pPr>
          </w:p>
        </w:tc>
        <w:tc>
          <w:tcPr>
            <w:tcW w:w="1000" w:type="dxa"/>
            <w:vAlign w:val="bottom"/>
            <w:tcBorders>
              <w:bottom w:val="single" w:sz="8" w:color="3E3935"/>
            </w:tcBorders>
          </w:tcPr>
          <w:p>
            <w:pPr>
              <w:spacing w:after="0"/>
              <w:rPr>
                <w:sz w:val="4"/>
                <w:szCs w:val="4"/>
                <w:color w:val="auto"/>
              </w:rPr>
            </w:pPr>
          </w:p>
        </w:tc>
        <w:tc>
          <w:tcPr>
            <w:tcW w:w="1160" w:type="dxa"/>
            <w:vAlign w:val="bottom"/>
            <w:tcBorders>
              <w:bottom w:val="single" w:sz="8" w:color="3E3935"/>
            </w:tcBorders>
          </w:tcPr>
          <w:p>
            <w:pPr>
              <w:spacing w:after="0"/>
              <w:rPr>
                <w:sz w:val="4"/>
                <w:szCs w:val="4"/>
                <w:color w:val="auto"/>
              </w:rPr>
            </w:pPr>
          </w:p>
        </w:tc>
        <w:tc>
          <w:tcPr>
            <w:tcW w:w="1020" w:type="dxa"/>
            <w:vAlign w:val="bottom"/>
            <w:tcBorders>
              <w:bottom w:val="single" w:sz="8" w:color="3E3935"/>
            </w:tcBorders>
          </w:tcPr>
          <w:p>
            <w:pPr>
              <w:spacing w:after="0"/>
              <w:rPr>
                <w:sz w:val="4"/>
                <w:szCs w:val="4"/>
                <w:color w:val="auto"/>
              </w:rPr>
            </w:pPr>
          </w:p>
        </w:tc>
        <w:tc>
          <w:tcPr>
            <w:tcW w:w="1000" w:type="dxa"/>
            <w:vAlign w:val="bottom"/>
            <w:tcBorders>
              <w:bottom w:val="single" w:sz="8" w:color="3E3935"/>
            </w:tcBorders>
          </w:tcPr>
          <w:p>
            <w:pPr>
              <w:spacing w:after="0"/>
              <w:rPr>
                <w:sz w:val="4"/>
                <w:szCs w:val="4"/>
                <w:color w:val="auto"/>
              </w:rPr>
            </w:pPr>
          </w:p>
        </w:tc>
        <w:tc>
          <w:tcPr>
            <w:tcW w:w="1020" w:type="dxa"/>
            <w:vAlign w:val="bottom"/>
            <w:tcBorders>
              <w:bottom w:val="single" w:sz="8" w:color="3E3935"/>
            </w:tcBorders>
          </w:tcPr>
          <w:p>
            <w:pPr>
              <w:spacing w:after="0"/>
              <w:rPr>
                <w:sz w:val="4"/>
                <w:szCs w:val="4"/>
                <w:color w:val="auto"/>
              </w:rPr>
            </w:pPr>
          </w:p>
        </w:tc>
      </w:tr>
      <w:tr>
        <w:trPr>
          <w:trHeight w:val="228"/>
        </w:trPr>
        <w:tc>
          <w:tcPr>
            <w:tcW w:w="3340" w:type="dxa"/>
            <w:vAlign w:val="bottom"/>
          </w:tcPr>
          <w:p>
            <w:pPr>
              <w:spacing w:after="0"/>
              <w:rPr>
                <w:sz w:val="19"/>
                <w:szCs w:val="19"/>
                <w:color w:val="auto"/>
              </w:rPr>
            </w:pPr>
          </w:p>
        </w:tc>
        <w:tc>
          <w:tcPr>
            <w:tcW w:w="1300" w:type="dxa"/>
            <w:vAlign w:val="bottom"/>
          </w:tcPr>
          <w:p>
            <w:pPr>
              <w:ind w:left="200"/>
              <w:spacing w:after="0"/>
              <w:rPr>
                <w:sz w:val="20"/>
                <w:szCs w:val="20"/>
                <w:color w:val="auto"/>
              </w:rPr>
            </w:pPr>
            <w:r>
              <w:rPr>
                <w:rFonts w:ascii="Arial" w:cs="Arial" w:eastAsia="Arial" w:hAnsi="Arial"/>
                <w:sz w:val="14"/>
                <w:szCs w:val="14"/>
                <w:color w:val="3E3935"/>
              </w:rPr>
              <w:t>LTIP</w:t>
            </w:r>
          </w:p>
        </w:tc>
        <w:tc>
          <w:tcPr>
            <w:tcW w:w="1180" w:type="dxa"/>
            <w:vAlign w:val="bottom"/>
          </w:tcPr>
          <w:p>
            <w:pPr>
              <w:jc w:val="right"/>
              <w:ind w:right="68"/>
              <w:spacing w:after="0"/>
              <w:rPr>
                <w:sz w:val="20"/>
                <w:szCs w:val="20"/>
                <w:color w:val="auto"/>
              </w:rPr>
            </w:pPr>
            <w:r>
              <w:rPr>
                <w:rFonts w:ascii="Arial" w:cs="Arial" w:eastAsia="Arial" w:hAnsi="Arial"/>
                <w:sz w:val="14"/>
                <w:szCs w:val="14"/>
                <w:color w:val="3E3935"/>
              </w:rPr>
              <w:t>—</w:t>
            </w:r>
          </w:p>
        </w:tc>
        <w:tc>
          <w:tcPr>
            <w:tcW w:w="1000" w:type="dxa"/>
            <w:vAlign w:val="bottom"/>
          </w:tcPr>
          <w:p>
            <w:pPr>
              <w:jc w:val="right"/>
              <w:ind w:right="48"/>
              <w:spacing w:after="0"/>
              <w:rPr>
                <w:sz w:val="20"/>
                <w:szCs w:val="20"/>
                <w:color w:val="auto"/>
              </w:rPr>
            </w:pPr>
            <w:r>
              <w:rPr>
                <w:rFonts w:ascii="Arial" w:cs="Arial" w:eastAsia="Arial" w:hAnsi="Arial"/>
                <w:sz w:val="14"/>
                <w:szCs w:val="14"/>
                <w:color w:val="3E3935"/>
              </w:rPr>
              <w:t>5,879,566</w:t>
            </w:r>
          </w:p>
        </w:tc>
        <w:tc>
          <w:tcPr>
            <w:tcW w:w="1160" w:type="dxa"/>
            <w:vAlign w:val="bottom"/>
          </w:tcPr>
          <w:p>
            <w:pPr>
              <w:jc w:val="right"/>
              <w:ind w:right="88"/>
              <w:spacing w:after="0"/>
              <w:rPr>
                <w:sz w:val="20"/>
                <w:szCs w:val="20"/>
                <w:color w:val="auto"/>
              </w:rPr>
            </w:pPr>
            <w:r>
              <w:rPr>
                <w:rFonts w:ascii="Arial" w:cs="Arial" w:eastAsia="Arial" w:hAnsi="Arial"/>
                <w:sz w:val="14"/>
                <w:szCs w:val="14"/>
                <w:color w:val="3E3935"/>
              </w:rPr>
              <w:t>14,039,588</w:t>
            </w:r>
          </w:p>
        </w:tc>
        <w:tc>
          <w:tcPr>
            <w:tcW w:w="1020" w:type="dxa"/>
            <w:vAlign w:val="bottom"/>
          </w:tcPr>
          <w:p>
            <w:pPr>
              <w:jc w:val="right"/>
              <w:ind w:right="88"/>
              <w:spacing w:after="0"/>
              <w:rPr>
                <w:sz w:val="20"/>
                <w:szCs w:val="20"/>
                <w:color w:val="auto"/>
              </w:rPr>
            </w:pPr>
            <w:r>
              <w:rPr>
                <w:rFonts w:ascii="Arial" w:cs="Arial" w:eastAsia="Arial" w:hAnsi="Arial"/>
                <w:sz w:val="14"/>
                <w:szCs w:val="14"/>
                <w:color w:val="3E3935"/>
              </w:rPr>
              <w:t>14,039,588</w:t>
            </w:r>
          </w:p>
        </w:tc>
        <w:tc>
          <w:tcPr>
            <w:tcW w:w="1000" w:type="dxa"/>
            <w:vAlign w:val="bottom"/>
          </w:tcPr>
          <w:p>
            <w:pPr>
              <w:jc w:val="right"/>
              <w:ind w:right="68"/>
              <w:spacing w:after="0"/>
              <w:rPr>
                <w:sz w:val="20"/>
                <w:szCs w:val="20"/>
                <w:color w:val="auto"/>
              </w:rPr>
            </w:pPr>
            <w:r>
              <w:rPr>
                <w:rFonts w:ascii="Arial" w:cs="Arial" w:eastAsia="Arial" w:hAnsi="Arial"/>
                <w:sz w:val="14"/>
                <w:szCs w:val="14"/>
                <w:color w:val="3E3935"/>
              </w:rPr>
              <w:t>14,039,588</w:t>
            </w:r>
          </w:p>
        </w:tc>
        <w:tc>
          <w:tcPr>
            <w:tcW w:w="1020" w:type="dxa"/>
            <w:vAlign w:val="bottom"/>
          </w:tcPr>
          <w:p>
            <w:pPr>
              <w:jc w:val="right"/>
              <w:spacing w:after="0"/>
              <w:rPr>
                <w:sz w:val="20"/>
                <w:szCs w:val="20"/>
                <w:color w:val="auto"/>
              </w:rPr>
            </w:pPr>
            <w:r>
              <w:rPr>
                <w:rFonts w:ascii="Arial" w:cs="Arial" w:eastAsia="Arial" w:hAnsi="Arial"/>
                <w:sz w:val="14"/>
                <w:szCs w:val="14"/>
                <w:color w:val="3E3935"/>
              </w:rPr>
              <w:t>14,039,588</w:t>
            </w:r>
          </w:p>
        </w:tc>
      </w:tr>
      <w:tr>
        <w:trPr>
          <w:trHeight w:val="48"/>
        </w:trPr>
        <w:tc>
          <w:tcPr>
            <w:tcW w:w="3340" w:type="dxa"/>
            <w:vAlign w:val="bottom"/>
          </w:tcPr>
          <w:p>
            <w:pPr>
              <w:spacing w:after="0"/>
              <w:rPr>
                <w:sz w:val="4"/>
                <w:szCs w:val="4"/>
                <w:color w:val="auto"/>
              </w:rPr>
            </w:pPr>
          </w:p>
        </w:tc>
        <w:tc>
          <w:tcPr>
            <w:tcW w:w="1300" w:type="dxa"/>
            <w:vAlign w:val="bottom"/>
            <w:tcBorders>
              <w:bottom w:val="single" w:sz="8" w:color="3E3935"/>
            </w:tcBorders>
          </w:tcPr>
          <w:p>
            <w:pPr>
              <w:spacing w:after="0"/>
              <w:rPr>
                <w:sz w:val="4"/>
                <w:szCs w:val="4"/>
                <w:color w:val="auto"/>
              </w:rPr>
            </w:pPr>
          </w:p>
        </w:tc>
        <w:tc>
          <w:tcPr>
            <w:tcW w:w="1180" w:type="dxa"/>
            <w:vAlign w:val="bottom"/>
            <w:tcBorders>
              <w:bottom w:val="single" w:sz="8" w:color="3E3935"/>
            </w:tcBorders>
          </w:tcPr>
          <w:p>
            <w:pPr>
              <w:spacing w:after="0"/>
              <w:rPr>
                <w:sz w:val="4"/>
                <w:szCs w:val="4"/>
                <w:color w:val="auto"/>
              </w:rPr>
            </w:pPr>
          </w:p>
        </w:tc>
        <w:tc>
          <w:tcPr>
            <w:tcW w:w="1000" w:type="dxa"/>
            <w:vAlign w:val="bottom"/>
            <w:tcBorders>
              <w:bottom w:val="single" w:sz="8" w:color="3E3935"/>
            </w:tcBorders>
          </w:tcPr>
          <w:p>
            <w:pPr>
              <w:spacing w:after="0"/>
              <w:rPr>
                <w:sz w:val="4"/>
                <w:szCs w:val="4"/>
                <w:color w:val="auto"/>
              </w:rPr>
            </w:pPr>
          </w:p>
        </w:tc>
        <w:tc>
          <w:tcPr>
            <w:tcW w:w="1160" w:type="dxa"/>
            <w:vAlign w:val="bottom"/>
            <w:tcBorders>
              <w:bottom w:val="single" w:sz="8" w:color="3E3935"/>
            </w:tcBorders>
          </w:tcPr>
          <w:p>
            <w:pPr>
              <w:spacing w:after="0"/>
              <w:rPr>
                <w:sz w:val="4"/>
                <w:szCs w:val="4"/>
                <w:color w:val="auto"/>
              </w:rPr>
            </w:pPr>
          </w:p>
        </w:tc>
        <w:tc>
          <w:tcPr>
            <w:tcW w:w="1020" w:type="dxa"/>
            <w:vAlign w:val="bottom"/>
            <w:tcBorders>
              <w:bottom w:val="single" w:sz="8" w:color="3E3935"/>
            </w:tcBorders>
          </w:tcPr>
          <w:p>
            <w:pPr>
              <w:spacing w:after="0"/>
              <w:rPr>
                <w:sz w:val="4"/>
                <w:szCs w:val="4"/>
                <w:color w:val="auto"/>
              </w:rPr>
            </w:pPr>
          </w:p>
        </w:tc>
        <w:tc>
          <w:tcPr>
            <w:tcW w:w="1000" w:type="dxa"/>
            <w:vAlign w:val="bottom"/>
            <w:tcBorders>
              <w:bottom w:val="single" w:sz="8" w:color="3E3935"/>
            </w:tcBorders>
          </w:tcPr>
          <w:p>
            <w:pPr>
              <w:spacing w:after="0"/>
              <w:rPr>
                <w:sz w:val="4"/>
                <w:szCs w:val="4"/>
                <w:color w:val="auto"/>
              </w:rPr>
            </w:pPr>
          </w:p>
        </w:tc>
        <w:tc>
          <w:tcPr>
            <w:tcW w:w="1020" w:type="dxa"/>
            <w:vAlign w:val="bottom"/>
            <w:tcBorders>
              <w:bottom w:val="single" w:sz="8" w:color="3E3935"/>
            </w:tcBorders>
          </w:tcPr>
          <w:p>
            <w:pPr>
              <w:spacing w:after="0"/>
              <w:rPr>
                <w:sz w:val="4"/>
                <w:szCs w:val="4"/>
                <w:color w:val="auto"/>
              </w:rPr>
            </w:pPr>
          </w:p>
        </w:tc>
      </w:tr>
      <w:tr>
        <w:trPr>
          <w:trHeight w:val="235"/>
        </w:trPr>
        <w:tc>
          <w:tcPr>
            <w:tcW w:w="3340" w:type="dxa"/>
            <w:vAlign w:val="bottom"/>
          </w:tcPr>
          <w:p>
            <w:pPr>
              <w:spacing w:after="0"/>
              <w:rPr>
                <w:sz w:val="20"/>
                <w:szCs w:val="20"/>
                <w:color w:val="auto"/>
              </w:rPr>
            </w:pPr>
          </w:p>
        </w:tc>
        <w:tc>
          <w:tcPr>
            <w:tcW w:w="1300" w:type="dxa"/>
            <w:vAlign w:val="bottom"/>
          </w:tcPr>
          <w:p>
            <w:pPr>
              <w:ind w:left="200"/>
              <w:spacing w:after="0"/>
              <w:rPr>
                <w:sz w:val="20"/>
                <w:szCs w:val="20"/>
                <w:color w:val="auto"/>
              </w:rPr>
            </w:pPr>
            <w:r>
              <w:rPr>
                <w:rFonts w:ascii="Arial" w:cs="Arial" w:eastAsia="Arial" w:hAnsi="Arial"/>
                <w:sz w:val="14"/>
                <w:szCs w:val="14"/>
                <w:b w:val="1"/>
                <w:bCs w:val="1"/>
                <w:color w:val="3E3935"/>
              </w:rPr>
              <w:t>TOTAL</w:t>
            </w:r>
          </w:p>
        </w:tc>
        <w:tc>
          <w:tcPr>
            <w:tcW w:w="1180" w:type="dxa"/>
            <w:vAlign w:val="bottom"/>
          </w:tcPr>
          <w:p>
            <w:pPr>
              <w:jc w:val="right"/>
              <w:ind w:right="68"/>
              <w:spacing w:after="0"/>
              <w:rPr>
                <w:sz w:val="20"/>
                <w:szCs w:val="20"/>
                <w:color w:val="auto"/>
              </w:rPr>
            </w:pPr>
            <w:r>
              <w:rPr>
                <w:rFonts w:ascii="Arial" w:cs="Arial" w:eastAsia="Arial" w:hAnsi="Arial"/>
                <w:sz w:val="14"/>
                <w:szCs w:val="14"/>
                <w:b w:val="1"/>
                <w:bCs w:val="1"/>
                <w:color w:val="3E3935"/>
              </w:rPr>
              <w:t>—</w:t>
            </w:r>
          </w:p>
        </w:tc>
        <w:tc>
          <w:tcPr>
            <w:tcW w:w="1000" w:type="dxa"/>
            <w:vAlign w:val="bottom"/>
          </w:tcPr>
          <w:p>
            <w:pPr>
              <w:jc w:val="right"/>
              <w:ind w:right="48"/>
              <w:spacing w:after="0"/>
              <w:rPr>
                <w:sz w:val="20"/>
                <w:szCs w:val="20"/>
                <w:color w:val="auto"/>
              </w:rPr>
            </w:pPr>
            <w:r>
              <w:rPr>
                <w:rFonts w:ascii="Arial" w:cs="Arial" w:eastAsia="Arial" w:hAnsi="Arial"/>
                <w:sz w:val="14"/>
                <w:szCs w:val="14"/>
                <w:b w:val="1"/>
                <w:bCs w:val="1"/>
                <w:color w:val="3E3935"/>
              </w:rPr>
              <w:t>9,629,851</w:t>
            </w:r>
          </w:p>
        </w:tc>
        <w:tc>
          <w:tcPr>
            <w:tcW w:w="1160" w:type="dxa"/>
            <w:vAlign w:val="bottom"/>
          </w:tcPr>
          <w:p>
            <w:pPr>
              <w:jc w:val="right"/>
              <w:ind w:right="88"/>
              <w:spacing w:after="0"/>
              <w:rPr>
                <w:sz w:val="20"/>
                <w:szCs w:val="20"/>
                <w:color w:val="auto"/>
              </w:rPr>
            </w:pPr>
            <w:r>
              <w:rPr>
                <w:rFonts w:ascii="Arial" w:cs="Arial" w:eastAsia="Arial" w:hAnsi="Arial"/>
                <w:sz w:val="14"/>
                <w:szCs w:val="14"/>
                <w:b w:val="1"/>
                <w:bCs w:val="1"/>
                <w:color w:val="3E3935"/>
              </w:rPr>
              <w:t>16,469,588</w:t>
            </w:r>
          </w:p>
        </w:tc>
        <w:tc>
          <w:tcPr>
            <w:tcW w:w="1020" w:type="dxa"/>
            <w:vAlign w:val="bottom"/>
          </w:tcPr>
          <w:p>
            <w:pPr>
              <w:jc w:val="right"/>
              <w:ind w:right="88"/>
              <w:spacing w:after="0"/>
              <w:rPr>
                <w:sz w:val="20"/>
                <w:szCs w:val="20"/>
                <w:color w:val="auto"/>
              </w:rPr>
            </w:pPr>
            <w:r>
              <w:rPr>
                <w:rFonts w:ascii="Arial" w:cs="Arial" w:eastAsia="Arial" w:hAnsi="Arial"/>
                <w:sz w:val="14"/>
                <w:szCs w:val="14"/>
                <w:b w:val="1"/>
                <w:bCs w:val="1"/>
                <w:color w:val="3E3935"/>
              </w:rPr>
              <w:t>16,469,588</w:t>
            </w:r>
          </w:p>
        </w:tc>
        <w:tc>
          <w:tcPr>
            <w:tcW w:w="1000" w:type="dxa"/>
            <w:vAlign w:val="bottom"/>
          </w:tcPr>
          <w:p>
            <w:pPr>
              <w:jc w:val="right"/>
              <w:ind w:right="68"/>
              <w:spacing w:after="0"/>
              <w:rPr>
                <w:sz w:val="20"/>
                <w:szCs w:val="20"/>
                <w:color w:val="auto"/>
              </w:rPr>
            </w:pPr>
            <w:r>
              <w:rPr>
                <w:rFonts w:ascii="Arial" w:cs="Arial" w:eastAsia="Arial" w:hAnsi="Arial"/>
                <w:sz w:val="14"/>
                <w:szCs w:val="14"/>
                <w:b w:val="1"/>
                <w:bCs w:val="1"/>
                <w:color w:val="3E3935"/>
              </w:rPr>
              <w:t>16,469,588</w:t>
            </w:r>
          </w:p>
        </w:tc>
        <w:tc>
          <w:tcPr>
            <w:tcW w:w="1020" w:type="dxa"/>
            <w:vAlign w:val="bottom"/>
          </w:tcPr>
          <w:p>
            <w:pPr>
              <w:jc w:val="right"/>
              <w:spacing w:after="0"/>
              <w:rPr>
                <w:sz w:val="20"/>
                <w:szCs w:val="20"/>
                <w:color w:val="auto"/>
              </w:rPr>
            </w:pPr>
            <w:r>
              <w:rPr>
                <w:rFonts w:ascii="Arial" w:cs="Arial" w:eastAsia="Arial" w:hAnsi="Arial"/>
                <w:sz w:val="14"/>
                <w:szCs w:val="14"/>
                <w:b w:val="1"/>
                <w:bCs w:val="1"/>
                <w:color w:val="3E3935"/>
              </w:rPr>
              <w:t>17,774,873</w:t>
            </w:r>
          </w:p>
        </w:tc>
      </w:tr>
      <w:tr>
        <w:trPr>
          <w:trHeight w:val="43"/>
        </w:trPr>
        <w:tc>
          <w:tcPr>
            <w:tcW w:w="3340" w:type="dxa"/>
            <w:vAlign w:val="bottom"/>
            <w:tcBorders>
              <w:bottom w:val="single" w:sz="8" w:color="3E3935"/>
            </w:tcBorders>
          </w:tcPr>
          <w:p>
            <w:pPr>
              <w:spacing w:after="0"/>
              <w:rPr>
                <w:sz w:val="3"/>
                <w:szCs w:val="3"/>
                <w:color w:val="auto"/>
              </w:rPr>
            </w:pPr>
          </w:p>
        </w:tc>
        <w:tc>
          <w:tcPr>
            <w:tcW w:w="1300" w:type="dxa"/>
            <w:vAlign w:val="bottom"/>
            <w:tcBorders>
              <w:bottom w:val="single" w:sz="8" w:color="3E3935"/>
            </w:tcBorders>
          </w:tcPr>
          <w:p>
            <w:pPr>
              <w:spacing w:after="0"/>
              <w:rPr>
                <w:sz w:val="3"/>
                <w:szCs w:val="3"/>
                <w:color w:val="auto"/>
              </w:rPr>
            </w:pPr>
          </w:p>
        </w:tc>
        <w:tc>
          <w:tcPr>
            <w:tcW w:w="1180" w:type="dxa"/>
            <w:vAlign w:val="bottom"/>
            <w:tcBorders>
              <w:bottom w:val="single" w:sz="8" w:color="3E3935"/>
            </w:tcBorders>
          </w:tcPr>
          <w:p>
            <w:pPr>
              <w:spacing w:after="0"/>
              <w:rPr>
                <w:sz w:val="3"/>
                <w:szCs w:val="3"/>
                <w:color w:val="auto"/>
              </w:rPr>
            </w:pPr>
          </w:p>
        </w:tc>
        <w:tc>
          <w:tcPr>
            <w:tcW w:w="1000" w:type="dxa"/>
            <w:vAlign w:val="bottom"/>
            <w:tcBorders>
              <w:bottom w:val="single" w:sz="8" w:color="3E3935"/>
            </w:tcBorders>
          </w:tcPr>
          <w:p>
            <w:pPr>
              <w:spacing w:after="0"/>
              <w:rPr>
                <w:sz w:val="3"/>
                <w:szCs w:val="3"/>
                <w:color w:val="auto"/>
              </w:rPr>
            </w:pPr>
          </w:p>
        </w:tc>
        <w:tc>
          <w:tcPr>
            <w:tcW w:w="1160" w:type="dxa"/>
            <w:vAlign w:val="bottom"/>
            <w:tcBorders>
              <w:bottom w:val="single" w:sz="8" w:color="3E3935"/>
            </w:tcBorders>
          </w:tcPr>
          <w:p>
            <w:pPr>
              <w:spacing w:after="0"/>
              <w:rPr>
                <w:sz w:val="3"/>
                <w:szCs w:val="3"/>
                <w:color w:val="auto"/>
              </w:rPr>
            </w:pPr>
          </w:p>
        </w:tc>
        <w:tc>
          <w:tcPr>
            <w:tcW w:w="1020" w:type="dxa"/>
            <w:vAlign w:val="bottom"/>
            <w:tcBorders>
              <w:bottom w:val="single" w:sz="8" w:color="3E3935"/>
            </w:tcBorders>
          </w:tcPr>
          <w:p>
            <w:pPr>
              <w:spacing w:after="0"/>
              <w:rPr>
                <w:sz w:val="3"/>
                <w:szCs w:val="3"/>
                <w:color w:val="auto"/>
              </w:rPr>
            </w:pPr>
          </w:p>
        </w:tc>
        <w:tc>
          <w:tcPr>
            <w:tcW w:w="1000" w:type="dxa"/>
            <w:vAlign w:val="bottom"/>
            <w:tcBorders>
              <w:bottom w:val="single" w:sz="8" w:color="3E3935"/>
            </w:tcBorders>
          </w:tcPr>
          <w:p>
            <w:pPr>
              <w:spacing w:after="0"/>
              <w:rPr>
                <w:sz w:val="3"/>
                <w:szCs w:val="3"/>
                <w:color w:val="auto"/>
              </w:rPr>
            </w:pPr>
          </w:p>
        </w:tc>
        <w:tc>
          <w:tcPr>
            <w:tcW w:w="1020" w:type="dxa"/>
            <w:vAlign w:val="bottom"/>
            <w:tcBorders>
              <w:bottom w:val="single" w:sz="8" w:color="3E3935"/>
            </w:tcBorders>
          </w:tcPr>
          <w:p>
            <w:pPr>
              <w:spacing w:after="0"/>
              <w:rPr>
                <w:sz w:val="3"/>
                <w:szCs w:val="3"/>
                <w:color w:val="auto"/>
              </w:rPr>
            </w:pPr>
          </w:p>
        </w:tc>
      </w:tr>
      <w:tr>
        <w:trPr>
          <w:trHeight w:val="228"/>
        </w:trPr>
        <w:tc>
          <w:tcPr>
            <w:tcW w:w="3340" w:type="dxa"/>
            <w:vAlign w:val="bottom"/>
          </w:tcPr>
          <w:p>
            <w:pPr>
              <w:ind w:left="60"/>
              <w:spacing w:after="0"/>
              <w:rPr>
                <w:sz w:val="20"/>
                <w:szCs w:val="20"/>
                <w:color w:val="auto"/>
              </w:rPr>
            </w:pPr>
            <w:r>
              <w:rPr>
                <w:rFonts w:ascii="Arial" w:cs="Arial" w:eastAsia="Arial" w:hAnsi="Arial"/>
                <w:sz w:val="14"/>
                <w:szCs w:val="14"/>
                <w:color w:val="3E3935"/>
              </w:rPr>
              <w:t>Douglas L. Parks</w:t>
            </w:r>
          </w:p>
        </w:tc>
        <w:tc>
          <w:tcPr>
            <w:tcW w:w="1300" w:type="dxa"/>
            <w:vAlign w:val="bottom"/>
          </w:tcPr>
          <w:p>
            <w:pPr>
              <w:ind w:left="200"/>
              <w:spacing w:after="0"/>
              <w:rPr>
                <w:sz w:val="20"/>
                <w:szCs w:val="20"/>
                <w:color w:val="auto"/>
              </w:rPr>
            </w:pPr>
            <w:r>
              <w:rPr>
                <w:rFonts w:ascii="Arial" w:cs="Arial" w:eastAsia="Arial" w:hAnsi="Arial"/>
                <w:sz w:val="14"/>
                <w:szCs w:val="14"/>
                <w:color w:val="3E3935"/>
              </w:rPr>
              <w:t>Cash</w:t>
            </w:r>
          </w:p>
        </w:tc>
        <w:tc>
          <w:tcPr>
            <w:tcW w:w="1180" w:type="dxa"/>
            <w:vAlign w:val="bottom"/>
          </w:tcPr>
          <w:p>
            <w:pPr>
              <w:jc w:val="right"/>
              <w:ind w:right="68"/>
              <w:spacing w:after="0"/>
              <w:rPr>
                <w:sz w:val="20"/>
                <w:szCs w:val="20"/>
                <w:color w:val="auto"/>
              </w:rPr>
            </w:pPr>
            <w:r>
              <w:rPr>
                <w:rFonts w:ascii="Arial" w:cs="Arial" w:eastAsia="Arial" w:hAnsi="Arial"/>
                <w:sz w:val="14"/>
                <w:szCs w:val="14"/>
                <w:color w:val="3E3935"/>
              </w:rPr>
              <w:t>—</w:t>
            </w:r>
          </w:p>
        </w:tc>
        <w:tc>
          <w:tcPr>
            <w:tcW w:w="1000" w:type="dxa"/>
            <w:vAlign w:val="bottom"/>
          </w:tcPr>
          <w:p>
            <w:pPr>
              <w:jc w:val="right"/>
              <w:ind w:right="48"/>
              <w:spacing w:after="0"/>
              <w:rPr>
                <w:sz w:val="20"/>
                <w:szCs w:val="20"/>
                <w:color w:val="auto"/>
              </w:rPr>
            </w:pPr>
            <w:r>
              <w:rPr>
                <w:rFonts w:ascii="Arial" w:cs="Arial" w:eastAsia="Arial" w:hAnsi="Arial"/>
                <w:sz w:val="14"/>
                <w:szCs w:val="14"/>
                <w:color w:val="3E3935"/>
              </w:rPr>
              <w:t>1,350,285</w:t>
            </w:r>
          </w:p>
        </w:tc>
        <w:tc>
          <w:tcPr>
            <w:tcW w:w="1160" w:type="dxa"/>
            <w:vAlign w:val="bottom"/>
          </w:tcPr>
          <w:p>
            <w:pPr>
              <w:jc w:val="right"/>
              <w:ind w:right="88"/>
              <w:spacing w:after="0"/>
              <w:rPr>
                <w:sz w:val="20"/>
                <w:szCs w:val="20"/>
                <w:color w:val="auto"/>
              </w:rPr>
            </w:pPr>
            <w:r>
              <w:rPr>
                <w:rFonts w:ascii="Arial" w:cs="Arial" w:eastAsia="Arial" w:hAnsi="Arial"/>
                <w:sz w:val="14"/>
                <w:szCs w:val="14"/>
                <w:color w:val="3E3935"/>
              </w:rPr>
              <w:t>—</w:t>
            </w:r>
          </w:p>
        </w:tc>
        <w:tc>
          <w:tcPr>
            <w:tcW w:w="1020" w:type="dxa"/>
            <w:vAlign w:val="bottom"/>
          </w:tcPr>
          <w:p>
            <w:pPr>
              <w:jc w:val="right"/>
              <w:ind w:right="88"/>
              <w:spacing w:after="0"/>
              <w:rPr>
                <w:sz w:val="20"/>
                <w:szCs w:val="20"/>
                <w:color w:val="auto"/>
              </w:rPr>
            </w:pPr>
            <w:r>
              <w:rPr>
                <w:rFonts w:ascii="Arial" w:cs="Arial" w:eastAsia="Arial" w:hAnsi="Arial"/>
                <w:sz w:val="14"/>
                <w:szCs w:val="14"/>
                <w:color w:val="3E3935"/>
              </w:rPr>
              <w:t>—</w:t>
            </w:r>
          </w:p>
        </w:tc>
        <w:tc>
          <w:tcPr>
            <w:tcW w:w="1000" w:type="dxa"/>
            <w:vAlign w:val="bottom"/>
          </w:tcPr>
          <w:p>
            <w:pPr>
              <w:jc w:val="right"/>
              <w:ind w:right="68"/>
              <w:spacing w:after="0"/>
              <w:rPr>
                <w:sz w:val="20"/>
                <w:szCs w:val="20"/>
                <w:color w:val="auto"/>
              </w:rPr>
            </w:pPr>
            <w:r>
              <w:rPr>
                <w:rFonts w:ascii="Arial" w:cs="Arial" w:eastAsia="Arial" w:hAnsi="Arial"/>
                <w:sz w:val="14"/>
                <w:szCs w:val="14"/>
                <w:color w:val="3E3935"/>
              </w:rPr>
              <w:t>—</w:t>
            </w:r>
          </w:p>
        </w:tc>
        <w:tc>
          <w:tcPr>
            <w:tcW w:w="1020" w:type="dxa"/>
            <w:vAlign w:val="bottom"/>
          </w:tcPr>
          <w:p>
            <w:pPr>
              <w:jc w:val="right"/>
              <w:spacing w:after="0"/>
              <w:rPr>
                <w:sz w:val="20"/>
                <w:szCs w:val="20"/>
                <w:color w:val="auto"/>
              </w:rPr>
            </w:pPr>
            <w:r>
              <w:rPr>
                <w:rFonts w:ascii="Arial" w:cs="Arial" w:eastAsia="Arial" w:hAnsi="Arial"/>
                <w:sz w:val="14"/>
                <w:szCs w:val="14"/>
                <w:color w:val="3E3935"/>
              </w:rPr>
              <w:t>1,335,285</w:t>
            </w:r>
          </w:p>
        </w:tc>
      </w:tr>
      <w:tr>
        <w:trPr>
          <w:trHeight w:val="49"/>
        </w:trPr>
        <w:tc>
          <w:tcPr>
            <w:tcW w:w="3340" w:type="dxa"/>
            <w:vAlign w:val="bottom"/>
          </w:tcPr>
          <w:p>
            <w:pPr>
              <w:spacing w:after="0"/>
              <w:rPr>
                <w:sz w:val="4"/>
                <w:szCs w:val="4"/>
                <w:color w:val="auto"/>
              </w:rPr>
            </w:pPr>
          </w:p>
        </w:tc>
        <w:tc>
          <w:tcPr>
            <w:tcW w:w="1300" w:type="dxa"/>
            <w:vAlign w:val="bottom"/>
            <w:tcBorders>
              <w:bottom w:val="single" w:sz="8" w:color="3E3935"/>
            </w:tcBorders>
          </w:tcPr>
          <w:p>
            <w:pPr>
              <w:spacing w:after="0"/>
              <w:rPr>
                <w:sz w:val="4"/>
                <w:szCs w:val="4"/>
                <w:color w:val="auto"/>
              </w:rPr>
            </w:pPr>
          </w:p>
        </w:tc>
        <w:tc>
          <w:tcPr>
            <w:tcW w:w="1180" w:type="dxa"/>
            <w:vAlign w:val="bottom"/>
            <w:tcBorders>
              <w:bottom w:val="single" w:sz="8" w:color="3E3935"/>
            </w:tcBorders>
          </w:tcPr>
          <w:p>
            <w:pPr>
              <w:spacing w:after="0"/>
              <w:rPr>
                <w:sz w:val="4"/>
                <w:szCs w:val="4"/>
                <w:color w:val="auto"/>
              </w:rPr>
            </w:pPr>
          </w:p>
        </w:tc>
        <w:tc>
          <w:tcPr>
            <w:tcW w:w="1000" w:type="dxa"/>
            <w:vAlign w:val="bottom"/>
            <w:tcBorders>
              <w:bottom w:val="single" w:sz="8" w:color="3E3935"/>
            </w:tcBorders>
          </w:tcPr>
          <w:p>
            <w:pPr>
              <w:spacing w:after="0"/>
              <w:rPr>
                <w:sz w:val="4"/>
                <w:szCs w:val="4"/>
                <w:color w:val="auto"/>
              </w:rPr>
            </w:pPr>
          </w:p>
        </w:tc>
        <w:tc>
          <w:tcPr>
            <w:tcW w:w="1160" w:type="dxa"/>
            <w:vAlign w:val="bottom"/>
            <w:tcBorders>
              <w:bottom w:val="single" w:sz="8" w:color="3E3935"/>
            </w:tcBorders>
          </w:tcPr>
          <w:p>
            <w:pPr>
              <w:spacing w:after="0"/>
              <w:rPr>
                <w:sz w:val="4"/>
                <w:szCs w:val="4"/>
                <w:color w:val="auto"/>
              </w:rPr>
            </w:pPr>
          </w:p>
        </w:tc>
        <w:tc>
          <w:tcPr>
            <w:tcW w:w="1020" w:type="dxa"/>
            <w:vAlign w:val="bottom"/>
            <w:tcBorders>
              <w:bottom w:val="single" w:sz="8" w:color="3E3935"/>
            </w:tcBorders>
          </w:tcPr>
          <w:p>
            <w:pPr>
              <w:spacing w:after="0"/>
              <w:rPr>
                <w:sz w:val="4"/>
                <w:szCs w:val="4"/>
                <w:color w:val="auto"/>
              </w:rPr>
            </w:pPr>
          </w:p>
        </w:tc>
        <w:tc>
          <w:tcPr>
            <w:tcW w:w="1000" w:type="dxa"/>
            <w:vAlign w:val="bottom"/>
            <w:tcBorders>
              <w:bottom w:val="single" w:sz="8" w:color="3E3935"/>
            </w:tcBorders>
          </w:tcPr>
          <w:p>
            <w:pPr>
              <w:spacing w:after="0"/>
              <w:rPr>
                <w:sz w:val="4"/>
                <w:szCs w:val="4"/>
                <w:color w:val="auto"/>
              </w:rPr>
            </w:pPr>
          </w:p>
        </w:tc>
        <w:tc>
          <w:tcPr>
            <w:tcW w:w="1020" w:type="dxa"/>
            <w:vAlign w:val="bottom"/>
            <w:tcBorders>
              <w:bottom w:val="single" w:sz="8" w:color="3E3935"/>
            </w:tcBorders>
          </w:tcPr>
          <w:p>
            <w:pPr>
              <w:spacing w:after="0"/>
              <w:rPr>
                <w:sz w:val="4"/>
                <w:szCs w:val="4"/>
                <w:color w:val="auto"/>
              </w:rPr>
            </w:pPr>
          </w:p>
        </w:tc>
      </w:tr>
      <w:tr>
        <w:trPr>
          <w:trHeight w:val="228"/>
        </w:trPr>
        <w:tc>
          <w:tcPr>
            <w:tcW w:w="3340" w:type="dxa"/>
            <w:vAlign w:val="bottom"/>
          </w:tcPr>
          <w:p>
            <w:pPr>
              <w:spacing w:after="0"/>
              <w:rPr>
                <w:sz w:val="19"/>
                <w:szCs w:val="19"/>
                <w:color w:val="auto"/>
              </w:rPr>
            </w:pPr>
          </w:p>
        </w:tc>
        <w:tc>
          <w:tcPr>
            <w:tcW w:w="1300" w:type="dxa"/>
            <w:vAlign w:val="bottom"/>
          </w:tcPr>
          <w:p>
            <w:pPr>
              <w:ind w:left="200"/>
              <w:spacing w:after="0"/>
              <w:rPr>
                <w:sz w:val="20"/>
                <w:szCs w:val="20"/>
                <w:color w:val="auto"/>
              </w:rPr>
            </w:pPr>
            <w:r>
              <w:rPr>
                <w:rFonts w:ascii="Arial" w:cs="Arial" w:eastAsia="Arial" w:hAnsi="Arial"/>
                <w:sz w:val="14"/>
                <w:szCs w:val="14"/>
                <w:color w:val="3E3935"/>
              </w:rPr>
              <w:t>STIP</w:t>
            </w:r>
          </w:p>
        </w:tc>
        <w:tc>
          <w:tcPr>
            <w:tcW w:w="1180" w:type="dxa"/>
            <w:vAlign w:val="bottom"/>
          </w:tcPr>
          <w:p>
            <w:pPr>
              <w:jc w:val="right"/>
              <w:ind w:right="68"/>
              <w:spacing w:after="0"/>
              <w:rPr>
                <w:sz w:val="20"/>
                <w:szCs w:val="20"/>
                <w:color w:val="auto"/>
              </w:rPr>
            </w:pPr>
            <w:r>
              <w:rPr>
                <w:rFonts w:ascii="Arial" w:cs="Arial" w:eastAsia="Arial" w:hAnsi="Arial"/>
                <w:sz w:val="14"/>
                <w:szCs w:val="14"/>
                <w:color w:val="3E3935"/>
              </w:rPr>
              <w:t>—</w:t>
            </w:r>
          </w:p>
        </w:tc>
        <w:tc>
          <w:tcPr>
            <w:tcW w:w="1000" w:type="dxa"/>
            <w:vAlign w:val="bottom"/>
          </w:tcPr>
          <w:p>
            <w:pPr>
              <w:jc w:val="right"/>
              <w:ind w:right="48"/>
              <w:spacing w:after="0"/>
              <w:rPr>
                <w:sz w:val="20"/>
                <w:szCs w:val="20"/>
                <w:color w:val="auto"/>
              </w:rPr>
            </w:pPr>
            <w:r>
              <w:rPr>
                <w:rFonts w:ascii="Arial" w:cs="Arial" w:eastAsia="Arial" w:hAnsi="Arial"/>
                <w:sz w:val="14"/>
                <w:szCs w:val="14"/>
                <w:color w:val="3E3935"/>
              </w:rPr>
              <w:t>1,093,800</w:t>
            </w:r>
          </w:p>
        </w:tc>
        <w:tc>
          <w:tcPr>
            <w:tcW w:w="1160" w:type="dxa"/>
            <w:vAlign w:val="bottom"/>
          </w:tcPr>
          <w:p>
            <w:pPr>
              <w:jc w:val="right"/>
              <w:ind w:right="88"/>
              <w:spacing w:after="0"/>
              <w:rPr>
                <w:sz w:val="20"/>
                <w:szCs w:val="20"/>
                <w:color w:val="auto"/>
              </w:rPr>
            </w:pPr>
            <w:r>
              <w:rPr>
                <w:rFonts w:ascii="Arial" w:cs="Arial" w:eastAsia="Arial" w:hAnsi="Arial"/>
                <w:sz w:val="14"/>
                <w:szCs w:val="14"/>
                <w:color w:val="3E3935"/>
              </w:rPr>
              <w:t>1,575,100</w:t>
            </w:r>
          </w:p>
        </w:tc>
        <w:tc>
          <w:tcPr>
            <w:tcW w:w="1020" w:type="dxa"/>
            <w:vAlign w:val="bottom"/>
          </w:tcPr>
          <w:p>
            <w:pPr>
              <w:jc w:val="right"/>
              <w:ind w:right="88"/>
              <w:spacing w:after="0"/>
              <w:rPr>
                <w:sz w:val="20"/>
                <w:szCs w:val="20"/>
                <w:color w:val="auto"/>
              </w:rPr>
            </w:pPr>
            <w:r>
              <w:rPr>
                <w:rFonts w:ascii="Arial" w:cs="Arial" w:eastAsia="Arial" w:hAnsi="Arial"/>
                <w:sz w:val="14"/>
                <w:szCs w:val="14"/>
                <w:color w:val="3E3935"/>
              </w:rPr>
              <w:t>1,575,100</w:t>
            </w:r>
          </w:p>
        </w:tc>
        <w:tc>
          <w:tcPr>
            <w:tcW w:w="1000" w:type="dxa"/>
            <w:vAlign w:val="bottom"/>
          </w:tcPr>
          <w:p>
            <w:pPr>
              <w:jc w:val="right"/>
              <w:ind w:right="68"/>
              <w:spacing w:after="0"/>
              <w:rPr>
                <w:sz w:val="20"/>
                <w:szCs w:val="20"/>
                <w:color w:val="auto"/>
              </w:rPr>
            </w:pPr>
            <w:r>
              <w:rPr>
                <w:rFonts w:ascii="Arial" w:cs="Arial" w:eastAsia="Arial" w:hAnsi="Arial"/>
                <w:sz w:val="14"/>
                <w:szCs w:val="14"/>
                <w:color w:val="3E3935"/>
              </w:rPr>
              <w:t>1,575,100</w:t>
            </w:r>
          </w:p>
        </w:tc>
        <w:tc>
          <w:tcPr>
            <w:tcW w:w="1020" w:type="dxa"/>
            <w:vAlign w:val="bottom"/>
          </w:tcPr>
          <w:p>
            <w:pPr>
              <w:jc w:val="right"/>
              <w:spacing w:after="0"/>
              <w:rPr>
                <w:sz w:val="20"/>
                <w:szCs w:val="20"/>
                <w:color w:val="auto"/>
              </w:rPr>
            </w:pPr>
            <w:r>
              <w:rPr>
                <w:rFonts w:ascii="Arial" w:cs="Arial" w:eastAsia="Arial" w:hAnsi="Arial"/>
                <w:sz w:val="14"/>
                <w:szCs w:val="14"/>
                <w:color w:val="3E3935"/>
              </w:rPr>
              <w:t>1,093,800</w:t>
            </w:r>
          </w:p>
        </w:tc>
      </w:tr>
      <w:tr>
        <w:trPr>
          <w:trHeight w:val="49"/>
        </w:trPr>
        <w:tc>
          <w:tcPr>
            <w:tcW w:w="3340" w:type="dxa"/>
            <w:vAlign w:val="bottom"/>
          </w:tcPr>
          <w:p>
            <w:pPr>
              <w:spacing w:after="0"/>
              <w:rPr>
                <w:sz w:val="4"/>
                <w:szCs w:val="4"/>
                <w:color w:val="auto"/>
              </w:rPr>
            </w:pPr>
          </w:p>
        </w:tc>
        <w:tc>
          <w:tcPr>
            <w:tcW w:w="1300" w:type="dxa"/>
            <w:vAlign w:val="bottom"/>
            <w:tcBorders>
              <w:bottom w:val="single" w:sz="8" w:color="3E3935"/>
            </w:tcBorders>
          </w:tcPr>
          <w:p>
            <w:pPr>
              <w:spacing w:after="0"/>
              <w:rPr>
                <w:sz w:val="4"/>
                <w:szCs w:val="4"/>
                <w:color w:val="auto"/>
              </w:rPr>
            </w:pPr>
          </w:p>
        </w:tc>
        <w:tc>
          <w:tcPr>
            <w:tcW w:w="1180" w:type="dxa"/>
            <w:vAlign w:val="bottom"/>
            <w:tcBorders>
              <w:bottom w:val="single" w:sz="8" w:color="3E3935"/>
            </w:tcBorders>
          </w:tcPr>
          <w:p>
            <w:pPr>
              <w:spacing w:after="0"/>
              <w:rPr>
                <w:sz w:val="4"/>
                <w:szCs w:val="4"/>
                <w:color w:val="auto"/>
              </w:rPr>
            </w:pPr>
          </w:p>
        </w:tc>
        <w:tc>
          <w:tcPr>
            <w:tcW w:w="1000" w:type="dxa"/>
            <w:vAlign w:val="bottom"/>
            <w:tcBorders>
              <w:bottom w:val="single" w:sz="8" w:color="3E3935"/>
            </w:tcBorders>
          </w:tcPr>
          <w:p>
            <w:pPr>
              <w:spacing w:after="0"/>
              <w:rPr>
                <w:sz w:val="4"/>
                <w:szCs w:val="4"/>
                <w:color w:val="auto"/>
              </w:rPr>
            </w:pPr>
          </w:p>
        </w:tc>
        <w:tc>
          <w:tcPr>
            <w:tcW w:w="1160" w:type="dxa"/>
            <w:vAlign w:val="bottom"/>
            <w:tcBorders>
              <w:bottom w:val="single" w:sz="8" w:color="3E3935"/>
            </w:tcBorders>
          </w:tcPr>
          <w:p>
            <w:pPr>
              <w:spacing w:after="0"/>
              <w:rPr>
                <w:sz w:val="4"/>
                <w:szCs w:val="4"/>
                <w:color w:val="auto"/>
              </w:rPr>
            </w:pPr>
          </w:p>
        </w:tc>
        <w:tc>
          <w:tcPr>
            <w:tcW w:w="1020" w:type="dxa"/>
            <w:vAlign w:val="bottom"/>
            <w:tcBorders>
              <w:bottom w:val="single" w:sz="8" w:color="3E3935"/>
            </w:tcBorders>
          </w:tcPr>
          <w:p>
            <w:pPr>
              <w:spacing w:after="0"/>
              <w:rPr>
                <w:sz w:val="4"/>
                <w:szCs w:val="4"/>
                <w:color w:val="auto"/>
              </w:rPr>
            </w:pPr>
          </w:p>
        </w:tc>
        <w:tc>
          <w:tcPr>
            <w:tcW w:w="1000" w:type="dxa"/>
            <w:vAlign w:val="bottom"/>
            <w:tcBorders>
              <w:bottom w:val="single" w:sz="8" w:color="3E3935"/>
            </w:tcBorders>
          </w:tcPr>
          <w:p>
            <w:pPr>
              <w:spacing w:after="0"/>
              <w:rPr>
                <w:sz w:val="4"/>
                <w:szCs w:val="4"/>
                <w:color w:val="auto"/>
              </w:rPr>
            </w:pPr>
          </w:p>
        </w:tc>
        <w:tc>
          <w:tcPr>
            <w:tcW w:w="1020" w:type="dxa"/>
            <w:vAlign w:val="bottom"/>
            <w:tcBorders>
              <w:bottom w:val="single" w:sz="8" w:color="3E3935"/>
            </w:tcBorders>
          </w:tcPr>
          <w:p>
            <w:pPr>
              <w:spacing w:after="0"/>
              <w:rPr>
                <w:sz w:val="4"/>
                <w:szCs w:val="4"/>
                <w:color w:val="auto"/>
              </w:rPr>
            </w:pPr>
          </w:p>
        </w:tc>
      </w:tr>
      <w:tr>
        <w:trPr>
          <w:trHeight w:val="228"/>
        </w:trPr>
        <w:tc>
          <w:tcPr>
            <w:tcW w:w="3340" w:type="dxa"/>
            <w:vAlign w:val="bottom"/>
          </w:tcPr>
          <w:p>
            <w:pPr>
              <w:spacing w:after="0"/>
              <w:rPr>
                <w:sz w:val="19"/>
                <w:szCs w:val="19"/>
                <w:color w:val="auto"/>
              </w:rPr>
            </w:pPr>
          </w:p>
        </w:tc>
        <w:tc>
          <w:tcPr>
            <w:tcW w:w="1300" w:type="dxa"/>
            <w:vAlign w:val="bottom"/>
          </w:tcPr>
          <w:p>
            <w:pPr>
              <w:ind w:left="200"/>
              <w:spacing w:after="0"/>
              <w:rPr>
                <w:sz w:val="20"/>
                <w:szCs w:val="20"/>
                <w:color w:val="auto"/>
              </w:rPr>
            </w:pPr>
            <w:r>
              <w:rPr>
                <w:rFonts w:ascii="Arial" w:cs="Arial" w:eastAsia="Arial" w:hAnsi="Arial"/>
                <w:sz w:val="14"/>
                <w:szCs w:val="14"/>
                <w:color w:val="3E3935"/>
              </w:rPr>
              <w:t>LTIP</w:t>
            </w:r>
          </w:p>
        </w:tc>
        <w:tc>
          <w:tcPr>
            <w:tcW w:w="1180" w:type="dxa"/>
            <w:vAlign w:val="bottom"/>
          </w:tcPr>
          <w:p>
            <w:pPr>
              <w:jc w:val="right"/>
              <w:ind w:right="68"/>
              <w:spacing w:after="0"/>
              <w:rPr>
                <w:sz w:val="20"/>
                <w:szCs w:val="20"/>
                <w:color w:val="auto"/>
              </w:rPr>
            </w:pPr>
            <w:r>
              <w:rPr>
                <w:rFonts w:ascii="Arial" w:cs="Arial" w:eastAsia="Arial" w:hAnsi="Arial"/>
                <w:sz w:val="14"/>
                <w:szCs w:val="14"/>
                <w:color w:val="3E3935"/>
              </w:rPr>
              <w:t>—</w:t>
            </w:r>
          </w:p>
        </w:tc>
        <w:tc>
          <w:tcPr>
            <w:tcW w:w="1000" w:type="dxa"/>
            <w:vAlign w:val="bottom"/>
          </w:tcPr>
          <w:p>
            <w:pPr>
              <w:jc w:val="right"/>
              <w:ind w:right="48"/>
              <w:spacing w:after="0"/>
              <w:rPr>
                <w:sz w:val="20"/>
                <w:szCs w:val="20"/>
                <w:color w:val="auto"/>
              </w:rPr>
            </w:pPr>
            <w:r>
              <w:rPr>
                <w:rFonts w:ascii="Arial" w:cs="Arial" w:eastAsia="Arial" w:hAnsi="Arial"/>
                <w:sz w:val="14"/>
                <w:szCs w:val="14"/>
                <w:color w:val="3E3935"/>
              </w:rPr>
              <w:t>4,296,752</w:t>
            </w:r>
          </w:p>
        </w:tc>
        <w:tc>
          <w:tcPr>
            <w:tcW w:w="1160" w:type="dxa"/>
            <w:vAlign w:val="bottom"/>
          </w:tcPr>
          <w:p>
            <w:pPr>
              <w:jc w:val="right"/>
              <w:ind w:right="88"/>
              <w:spacing w:after="0"/>
              <w:rPr>
                <w:sz w:val="20"/>
                <w:szCs w:val="20"/>
                <w:color w:val="auto"/>
              </w:rPr>
            </w:pPr>
            <w:r>
              <w:rPr>
                <w:rFonts w:ascii="Arial" w:cs="Arial" w:eastAsia="Arial" w:hAnsi="Arial"/>
                <w:sz w:val="14"/>
                <w:szCs w:val="14"/>
                <w:color w:val="3E3935"/>
              </w:rPr>
              <w:t>9,694,593</w:t>
            </w:r>
          </w:p>
        </w:tc>
        <w:tc>
          <w:tcPr>
            <w:tcW w:w="1020" w:type="dxa"/>
            <w:vAlign w:val="bottom"/>
          </w:tcPr>
          <w:p>
            <w:pPr>
              <w:jc w:val="right"/>
              <w:ind w:right="88"/>
              <w:spacing w:after="0"/>
              <w:rPr>
                <w:sz w:val="20"/>
                <w:szCs w:val="20"/>
                <w:color w:val="auto"/>
              </w:rPr>
            </w:pPr>
            <w:r>
              <w:rPr>
                <w:rFonts w:ascii="Arial" w:cs="Arial" w:eastAsia="Arial" w:hAnsi="Arial"/>
                <w:sz w:val="14"/>
                <w:szCs w:val="14"/>
                <w:color w:val="3E3935"/>
              </w:rPr>
              <w:t>9,694,593</w:t>
            </w:r>
          </w:p>
        </w:tc>
        <w:tc>
          <w:tcPr>
            <w:tcW w:w="1000" w:type="dxa"/>
            <w:vAlign w:val="bottom"/>
          </w:tcPr>
          <w:p>
            <w:pPr>
              <w:jc w:val="right"/>
              <w:ind w:right="68"/>
              <w:spacing w:after="0"/>
              <w:rPr>
                <w:sz w:val="20"/>
                <w:szCs w:val="20"/>
                <w:color w:val="auto"/>
              </w:rPr>
            </w:pPr>
            <w:r>
              <w:rPr>
                <w:rFonts w:ascii="Arial" w:cs="Arial" w:eastAsia="Arial" w:hAnsi="Arial"/>
                <w:sz w:val="14"/>
                <w:szCs w:val="14"/>
                <w:color w:val="3E3935"/>
              </w:rPr>
              <w:t>9,694,593</w:t>
            </w:r>
          </w:p>
        </w:tc>
        <w:tc>
          <w:tcPr>
            <w:tcW w:w="1020" w:type="dxa"/>
            <w:vAlign w:val="bottom"/>
          </w:tcPr>
          <w:p>
            <w:pPr>
              <w:jc w:val="right"/>
              <w:spacing w:after="0"/>
              <w:rPr>
                <w:sz w:val="20"/>
                <w:szCs w:val="20"/>
                <w:color w:val="auto"/>
              </w:rPr>
            </w:pPr>
            <w:r>
              <w:rPr>
                <w:rFonts w:ascii="Arial" w:cs="Arial" w:eastAsia="Arial" w:hAnsi="Arial"/>
                <w:sz w:val="14"/>
                <w:szCs w:val="14"/>
                <w:color w:val="3E3935"/>
              </w:rPr>
              <w:t>9,694,593</w:t>
            </w:r>
          </w:p>
        </w:tc>
      </w:tr>
      <w:tr>
        <w:trPr>
          <w:trHeight w:val="48"/>
        </w:trPr>
        <w:tc>
          <w:tcPr>
            <w:tcW w:w="3340" w:type="dxa"/>
            <w:vAlign w:val="bottom"/>
          </w:tcPr>
          <w:p>
            <w:pPr>
              <w:spacing w:after="0"/>
              <w:rPr>
                <w:sz w:val="4"/>
                <w:szCs w:val="4"/>
                <w:color w:val="auto"/>
              </w:rPr>
            </w:pPr>
          </w:p>
        </w:tc>
        <w:tc>
          <w:tcPr>
            <w:tcW w:w="1300" w:type="dxa"/>
            <w:vAlign w:val="bottom"/>
            <w:tcBorders>
              <w:bottom w:val="single" w:sz="8" w:color="3E3935"/>
            </w:tcBorders>
          </w:tcPr>
          <w:p>
            <w:pPr>
              <w:spacing w:after="0"/>
              <w:rPr>
                <w:sz w:val="4"/>
                <w:szCs w:val="4"/>
                <w:color w:val="auto"/>
              </w:rPr>
            </w:pPr>
          </w:p>
        </w:tc>
        <w:tc>
          <w:tcPr>
            <w:tcW w:w="1180" w:type="dxa"/>
            <w:vAlign w:val="bottom"/>
            <w:tcBorders>
              <w:bottom w:val="single" w:sz="8" w:color="3E3935"/>
            </w:tcBorders>
          </w:tcPr>
          <w:p>
            <w:pPr>
              <w:spacing w:after="0"/>
              <w:rPr>
                <w:sz w:val="4"/>
                <w:szCs w:val="4"/>
                <w:color w:val="auto"/>
              </w:rPr>
            </w:pPr>
          </w:p>
        </w:tc>
        <w:tc>
          <w:tcPr>
            <w:tcW w:w="1000" w:type="dxa"/>
            <w:vAlign w:val="bottom"/>
            <w:tcBorders>
              <w:bottom w:val="single" w:sz="8" w:color="3E3935"/>
            </w:tcBorders>
          </w:tcPr>
          <w:p>
            <w:pPr>
              <w:spacing w:after="0"/>
              <w:rPr>
                <w:sz w:val="4"/>
                <w:szCs w:val="4"/>
                <w:color w:val="auto"/>
              </w:rPr>
            </w:pPr>
          </w:p>
        </w:tc>
        <w:tc>
          <w:tcPr>
            <w:tcW w:w="1160" w:type="dxa"/>
            <w:vAlign w:val="bottom"/>
            <w:tcBorders>
              <w:bottom w:val="single" w:sz="8" w:color="3E3935"/>
            </w:tcBorders>
          </w:tcPr>
          <w:p>
            <w:pPr>
              <w:spacing w:after="0"/>
              <w:rPr>
                <w:sz w:val="4"/>
                <w:szCs w:val="4"/>
                <w:color w:val="auto"/>
              </w:rPr>
            </w:pPr>
          </w:p>
        </w:tc>
        <w:tc>
          <w:tcPr>
            <w:tcW w:w="1020" w:type="dxa"/>
            <w:vAlign w:val="bottom"/>
            <w:tcBorders>
              <w:bottom w:val="single" w:sz="8" w:color="3E3935"/>
            </w:tcBorders>
          </w:tcPr>
          <w:p>
            <w:pPr>
              <w:spacing w:after="0"/>
              <w:rPr>
                <w:sz w:val="4"/>
                <w:szCs w:val="4"/>
                <w:color w:val="auto"/>
              </w:rPr>
            </w:pPr>
          </w:p>
        </w:tc>
        <w:tc>
          <w:tcPr>
            <w:tcW w:w="1000" w:type="dxa"/>
            <w:vAlign w:val="bottom"/>
            <w:tcBorders>
              <w:bottom w:val="single" w:sz="8" w:color="3E3935"/>
            </w:tcBorders>
          </w:tcPr>
          <w:p>
            <w:pPr>
              <w:spacing w:after="0"/>
              <w:rPr>
                <w:sz w:val="4"/>
                <w:szCs w:val="4"/>
                <w:color w:val="auto"/>
              </w:rPr>
            </w:pPr>
          </w:p>
        </w:tc>
        <w:tc>
          <w:tcPr>
            <w:tcW w:w="1020" w:type="dxa"/>
            <w:vAlign w:val="bottom"/>
            <w:tcBorders>
              <w:bottom w:val="single" w:sz="8" w:color="3E3935"/>
            </w:tcBorders>
          </w:tcPr>
          <w:p>
            <w:pPr>
              <w:spacing w:after="0"/>
              <w:rPr>
                <w:sz w:val="4"/>
                <w:szCs w:val="4"/>
                <w:color w:val="auto"/>
              </w:rPr>
            </w:pPr>
          </w:p>
        </w:tc>
      </w:tr>
      <w:tr>
        <w:trPr>
          <w:trHeight w:val="235"/>
        </w:trPr>
        <w:tc>
          <w:tcPr>
            <w:tcW w:w="3340" w:type="dxa"/>
            <w:vAlign w:val="bottom"/>
          </w:tcPr>
          <w:p>
            <w:pPr>
              <w:spacing w:after="0"/>
              <w:rPr>
                <w:sz w:val="20"/>
                <w:szCs w:val="20"/>
                <w:color w:val="auto"/>
              </w:rPr>
            </w:pPr>
          </w:p>
        </w:tc>
        <w:tc>
          <w:tcPr>
            <w:tcW w:w="1300" w:type="dxa"/>
            <w:vAlign w:val="bottom"/>
          </w:tcPr>
          <w:p>
            <w:pPr>
              <w:ind w:left="200"/>
              <w:spacing w:after="0"/>
              <w:rPr>
                <w:sz w:val="20"/>
                <w:szCs w:val="20"/>
                <w:color w:val="auto"/>
              </w:rPr>
            </w:pPr>
            <w:r>
              <w:rPr>
                <w:rFonts w:ascii="Arial" w:cs="Arial" w:eastAsia="Arial" w:hAnsi="Arial"/>
                <w:sz w:val="14"/>
                <w:szCs w:val="14"/>
                <w:b w:val="1"/>
                <w:bCs w:val="1"/>
                <w:color w:val="3E3935"/>
              </w:rPr>
              <w:t>TOTAL</w:t>
            </w:r>
          </w:p>
        </w:tc>
        <w:tc>
          <w:tcPr>
            <w:tcW w:w="1180" w:type="dxa"/>
            <w:vAlign w:val="bottom"/>
          </w:tcPr>
          <w:p>
            <w:pPr>
              <w:jc w:val="right"/>
              <w:ind w:right="68"/>
              <w:spacing w:after="0"/>
              <w:rPr>
                <w:sz w:val="20"/>
                <w:szCs w:val="20"/>
                <w:color w:val="auto"/>
              </w:rPr>
            </w:pPr>
            <w:r>
              <w:rPr>
                <w:rFonts w:ascii="Arial" w:cs="Arial" w:eastAsia="Arial" w:hAnsi="Arial"/>
                <w:sz w:val="14"/>
                <w:szCs w:val="14"/>
                <w:b w:val="1"/>
                <w:bCs w:val="1"/>
                <w:color w:val="3E3935"/>
              </w:rPr>
              <w:t>—</w:t>
            </w:r>
          </w:p>
        </w:tc>
        <w:tc>
          <w:tcPr>
            <w:tcW w:w="1000" w:type="dxa"/>
            <w:vAlign w:val="bottom"/>
          </w:tcPr>
          <w:p>
            <w:pPr>
              <w:jc w:val="right"/>
              <w:ind w:right="48"/>
              <w:spacing w:after="0"/>
              <w:rPr>
                <w:sz w:val="20"/>
                <w:szCs w:val="20"/>
                <w:color w:val="auto"/>
              </w:rPr>
            </w:pPr>
            <w:r>
              <w:rPr>
                <w:rFonts w:ascii="Arial" w:cs="Arial" w:eastAsia="Arial" w:hAnsi="Arial"/>
                <w:sz w:val="14"/>
                <w:szCs w:val="14"/>
                <w:b w:val="1"/>
                <w:bCs w:val="1"/>
                <w:color w:val="3E3935"/>
              </w:rPr>
              <w:t>6,740,837</w:t>
            </w:r>
          </w:p>
        </w:tc>
        <w:tc>
          <w:tcPr>
            <w:tcW w:w="1160" w:type="dxa"/>
            <w:vAlign w:val="bottom"/>
          </w:tcPr>
          <w:p>
            <w:pPr>
              <w:jc w:val="right"/>
              <w:ind w:right="88"/>
              <w:spacing w:after="0"/>
              <w:rPr>
                <w:sz w:val="20"/>
                <w:szCs w:val="20"/>
                <w:color w:val="auto"/>
              </w:rPr>
            </w:pPr>
            <w:r>
              <w:rPr>
                <w:rFonts w:ascii="Arial" w:cs="Arial" w:eastAsia="Arial" w:hAnsi="Arial"/>
                <w:sz w:val="14"/>
                <w:szCs w:val="14"/>
                <w:b w:val="1"/>
                <w:bCs w:val="1"/>
                <w:color w:val="3E3935"/>
              </w:rPr>
              <w:t>11,269,693</w:t>
            </w:r>
          </w:p>
        </w:tc>
        <w:tc>
          <w:tcPr>
            <w:tcW w:w="1020" w:type="dxa"/>
            <w:vAlign w:val="bottom"/>
          </w:tcPr>
          <w:p>
            <w:pPr>
              <w:jc w:val="right"/>
              <w:ind w:right="88"/>
              <w:spacing w:after="0"/>
              <w:rPr>
                <w:sz w:val="20"/>
                <w:szCs w:val="20"/>
                <w:color w:val="auto"/>
              </w:rPr>
            </w:pPr>
            <w:r>
              <w:rPr>
                <w:rFonts w:ascii="Arial" w:cs="Arial" w:eastAsia="Arial" w:hAnsi="Arial"/>
                <w:sz w:val="14"/>
                <w:szCs w:val="14"/>
                <w:b w:val="1"/>
                <w:bCs w:val="1"/>
                <w:color w:val="3E3935"/>
              </w:rPr>
              <w:t>11,269,693</w:t>
            </w:r>
          </w:p>
        </w:tc>
        <w:tc>
          <w:tcPr>
            <w:tcW w:w="1000" w:type="dxa"/>
            <w:vAlign w:val="bottom"/>
          </w:tcPr>
          <w:p>
            <w:pPr>
              <w:jc w:val="right"/>
              <w:ind w:right="68"/>
              <w:spacing w:after="0"/>
              <w:rPr>
                <w:sz w:val="20"/>
                <w:szCs w:val="20"/>
                <w:color w:val="auto"/>
              </w:rPr>
            </w:pPr>
            <w:r>
              <w:rPr>
                <w:rFonts w:ascii="Arial" w:cs="Arial" w:eastAsia="Arial" w:hAnsi="Arial"/>
                <w:sz w:val="14"/>
                <w:szCs w:val="14"/>
                <w:b w:val="1"/>
                <w:bCs w:val="1"/>
                <w:color w:val="3E3935"/>
              </w:rPr>
              <w:t>11,269,693</w:t>
            </w:r>
          </w:p>
        </w:tc>
        <w:tc>
          <w:tcPr>
            <w:tcW w:w="1020" w:type="dxa"/>
            <w:vAlign w:val="bottom"/>
          </w:tcPr>
          <w:p>
            <w:pPr>
              <w:jc w:val="right"/>
              <w:spacing w:after="0"/>
              <w:rPr>
                <w:sz w:val="20"/>
                <w:szCs w:val="20"/>
                <w:color w:val="auto"/>
              </w:rPr>
            </w:pPr>
            <w:r>
              <w:rPr>
                <w:rFonts w:ascii="Arial" w:cs="Arial" w:eastAsia="Arial" w:hAnsi="Arial"/>
                <w:sz w:val="14"/>
                <w:szCs w:val="14"/>
                <w:b w:val="1"/>
                <w:bCs w:val="1"/>
                <w:color w:val="3E3935"/>
              </w:rPr>
              <w:t>12,123,678</w:t>
            </w:r>
          </w:p>
        </w:tc>
      </w:tr>
      <w:tr>
        <w:trPr>
          <w:trHeight w:val="43"/>
        </w:trPr>
        <w:tc>
          <w:tcPr>
            <w:tcW w:w="3340" w:type="dxa"/>
            <w:vAlign w:val="bottom"/>
            <w:tcBorders>
              <w:bottom w:val="single" w:sz="8" w:color="3E3935"/>
            </w:tcBorders>
          </w:tcPr>
          <w:p>
            <w:pPr>
              <w:spacing w:after="0"/>
              <w:rPr>
                <w:sz w:val="3"/>
                <w:szCs w:val="3"/>
                <w:color w:val="auto"/>
              </w:rPr>
            </w:pPr>
          </w:p>
        </w:tc>
        <w:tc>
          <w:tcPr>
            <w:tcW w:w="1300" w:type="dxa"/>
            <w:vAlign w:val="bottom"/>
            <w:tcBorders>
              <w:bottom w:val="single" w:sz="8" w:color="3E3935"/>
            </w:tcBorders>
          </w:tcPr>
          <w:p>
            <w:pPr>
              <w:spacing w:after="0"/>
              <w:rPr>
                <w:sz w:val="3"/>
                <w:szCs w:val="3"/>
                <w:color w:val="auto"/>
              </w:rPr>
            </w:pPr>
          </w:p>
        </w:tc>
        <w:tc>
          <w:tcPr>
            <w:tcW w:w="1180" w:type="dxa"/>
            <w:vAlign w:val="bottom"/>
            <w:tcBorders>
              <w:bottom w:val="single" w:sz="8" w:color="3E3935"/>
            </w:tcBorders>
          </w:tcPr>
          <w:p>
            <w:pPr>
              <w:spacing w:after="0"/>
              <w:rPr>
                <w:sz w:val="3"/>
                <w:szCs w:val="3"/>
                <w:color w:val="auto"/>
              </w:rPr>
            </w:pPr>
          </w:p>
        </w:tc>
        <w:tc>
          <w:tcPr>
            <w:tcW w:w="1000" w:type="dxa"/>
            <w:vAlign w:val="bottom"/>
            <w:tcBorders>
              <w:bottom w:val="single" w:sz="8" w:color="3E3935"/>
            </w:tcBorders>
          </w:tcPr>
          <w:p>
            <w:pPr>
              <w:spacing w:after="0"/>
              <w:rPr>
                <w:sz w:val="3"/>
                <w:szCs w:val="3"/>
                <w:color w:val="auto"/>
              </w:rPr>
            </w:pPr>
          </w:p>
        </w:tc>
        <w:tc>
          <w:tcPr>
            <w:tcW w:w="1160" w:type="dxa"/>
            <w:vAlign w:val="bottom"/>
            <w:tcBorders>
              <w:bottom w:val="single" w:sz="8" w:color="3E3935"/>
            </w:tcBorders>
          </w:tcPr>
          <w:p>
            <w:pPr>
              <w:spacing w:after="0"/>
              <w:rPr>
                <w:sz w:val="3"/>
                <w:szCs w:val="3"/>
                <w:color w:val="auto"/>
              </w:rPr>
            </w:pPr>
          </w:p>
        </w:tc>
        <w:tc>
          <w:tcPr>
            <w:tcW w:w="1020" w:type="dxa"/>
            <w:vAlign w:val="bottom"/>
            <w:tcBorders>
              <w:bottom w:val="single" w:sz="8" w:color="3E3935"/>
            </w:tcBorders>
          </w:tcPr>
          <w:p>
            <w:pPr>
              <w:spacing w:after="0"/>
              <w:rPr>
                <w:sz w:val="3"/>
                <w:szCs w:val="3"/>
                <w:color w:val="auto"/>
              </w:rPr>
            </w:pPr>
          </w:p>
        </w:tc>
        <w:tc>
          <w:tcPr>
            <w:tcW w:w="1000" w:type="dxa"/>
            <w:vAlign w:val="bottom"/>
            <w:tcBorders>
              <w:bottom w:val="single" w:sz="8" w:color="3E3935"/>
            </w:tcBorders>
          </w:tcPr>
          <w:p>
            <w:pPr>
              <w:spacing w:after="0"/>
              <w:rPr>
                <w:sz w:val="3"/>
                <w:szCs w:val="3"/>
                <w:color w:val="auto"/>
              </w:rPr>
            </w:pPr>
          </w:p>
        </w:tc>
        <w:tc>
          <w:tcPr>
            <w:tcW w:w="1020" w:type="dxa"/>
            <w:vAlign w:val="bottom"/>
            <w:tcBorders>
              <w:bottom w:val="single" w:sz="8" w:color="3E3935"/>
            </w:tcBorders>
          </w:tcPr>
          <w:p>
            <w:pPr>
              <w:spacing w:after="0"/>
              <w:rPr>
                <w:sz w:val="3"/>
                <w:szCs w:val="3"/>
                <w:color w:val="auto"/>
              </w:rPr>
            </w:pPr>
          </w:p>
        </w:tc>
      </w:tr>
      <w:tr>
        <w:trPr>
          <w:trHeight w:val="228"/>
        </w:trPr>
        <w:tc>
          <w:tcPr>
            <w:tcW w:w="3340" w:type="dxa"/>
            <w:vAlign w:val="bottom"/>
          </w:tcPr>
          <w:p>
            <w:pPr>
              <w:ind w:left="60"/>
              <w:spacing w:after="0"/>
              <w:rPr>
                <w:sz w:val="20"/>
                <w:szCs w:val="20"/>
                <w:color w:val="auto"/>
              </w:rPr>
            </w:pPr>
            <w:r>
              <w:rPr>
                <w:rFonts w:ascii="Arial" w:cs="Arial" w:eastAsia="Arial" w:hAnsi="Arial"/>
                <w:sz w:val="14"/>
                <w:szCs w:val="14"/>
                <w:color w:val="3E3935"/>
              </w:rPr>
              <w:t>Stephen K. Carlisle</w:t>
            </w:r>
          </w:p>
        </w:tc>
        <w:tc>
          <w:tcPr>
            <w:tcW w:w="1300" w:type="dxa"/>
            <w:vAlign w:val="bottom"/>
          </w:tcPr>
          <w:p>
            <w:pPr>
              <w:ind w:left="200"/>
              <w:spacing w:after="0"/>
              <w:rPr>
                <w:sz w:val="20"/>
                <w:szCs w:val="20"/>
                <w:color w:val="auto"/>
              </w:rPr>
            </w:pPr>
            <w:r>
              <w:rPr>
                <w:rFonts w:ascii="Arial" w:cs="Arial" w:eastAsia="Arial" w:hAnsi="Arial"/>
                <w:sz w:val="14"/>
                <w:szCs w:val="14"/>
                <w:color w:val="3E3935"/>
              </w:rPr>
              <w:t>Cash</w:t>
            </w:r>
          </w:p>
        </w:tc>
        <w:tc>
          <w:tcPr>
            <w:tcW w:w="1180" w:type="dxa"/>
            <w:vAlign w:val="bottom"/>
          </w:tcPr>
          <w:p>
            <w:pPr>
              <w:jc w:val="right"/>
              <w:ind w:right="68"/>
              <w:spacing w:after="0"/>
              <w:rPr>
                <w:sz w:val="20"/>
                <w:szCs w:val="20"/>
                <w:color w:val="auto"/>
              </w:rPr>
            </w:pPr>
            <w:r>
              <w:rPr>
                <w:rFonts w:ascii="Arial" w:cs="Arial" w:eastAsia="Arial" w:hAnsi="Arial"/>
                <w:sz w:val="14"/>
                <w:szCs w:val="14"/>
                <w:color w:val="3E3935"/>
              </w:rPr>
              <w:t>—</w:t>
            </w:r>
          </w:p>
        </w:tc>
        <w:tc>
          <w:tcPr>
            <w:tcW w:w="1000" w:type="dxa"/>
            <w:vAlign w:val="bottom"/>
          </w:tcPr>
          <w:p>
            <w:pPr>
              <w:jc w:val="right"/>
              <w:ind w:right="48"/>
              <w:spacing w:after="0"/>
              <w:rPr>
                <w:sz w:val="20"/>
                <w:szCs w:val="20"/>
                <w:color w:val="auto"/>
              </w:rPr>
            </w:pPr>
            <w:r>
              <w:rPr>
                <w:rFonts w:ascii="Arial" w:cs="Arial" w:eastAsia="Arial" w:hAnsi="Arial"/>
                <w:sz w:val="14"/>
                <w:szCs w:val="14"/>
                <w:color w:val="3E3935"/>
              </w:rPr>
              <w:t>1,345,216</w:t>
            </w:r>
          </w:p>
        </w:tc>
        <w:tc>
          <w:tcPr>
            <w:tcW w:w="1160" w:type="dxa"/>
            <w:vAlign w:val="bottom"/>
          </w:tcPr>
          <w:p>
            <w:pPr>
              <w:jc w:val="right"/>
              <w:ind w:right="88"/>
              <w:spacing w:after="0"/>
              <w:rPr>
                <w:sz w:val="20"/>
                <w:szCs w:val="20"/>
                <w:color w:val="auto"/>
              </w:rPr>
            </w:pPr>
            <w:r>
              <w:rPr>
                <w:rFonts w:ascii="Arial" w:cs="Arial" w:eastAsia="Arial" w:hAnsi="Arial"/>
                <w:sz w:val="14"/>
                <w:szCs w:val="14"/>
                <w:color w:val="3E3935"/>
              </w:rPr>
              <w:t>—</w:t>
            </w:r>
          </w:p>
        </w:tc>
        <w:tc>
          <w:tcPr>
            <w:tcW w:w="1020" w:type="dxa"/>
            <w:vAlign w:val="bottom"/>
          </w:tcPr>
          <w:p>
            <w:pPr>
              <w:jc w:val="right"/>
              <w:ind w:right="88"/>
              <w:spacing w:after="0"/>
              <w:rPr>
                <w:sz w:val="20"/>
                <w:szCs w:val="20"/>
                <w:color w:val="auto"/>
              </w:rPr>
            </w:pPr>
            <w:r>
              <w:rPr>
                <w:rFonts w:ascii="Arial" w:cs="Arial" w:eastAsia="Arial" w:hAnsi="Arial"/>
                <w:sz w:val="14"/>
                <w:szCs w:val="14"/>
                <w:color w:val="3E3935"/>
              </w:rPr>
              <w:t>—</w:t>
            </w:r>
          </w:p>
        </w:tc>
        <w:tc>
          <w:tcPr>
            <w:tcW w:w="1000" w:type="dxa"/>
            <w:vAlign w:val="bottom"/>
          </w:tcPr>
          <w:p>
            <w:pPr>
              <w:jc w:val="right"/>
              <w:ind w:right="68"/>
              <w:spacing w:after="0"/>
              <w:rPr>
                <w:sz w:val="20"/>
                <w:szCs w:val="20"/>
                <w:color w:val="auto"/>
              </w:rPr>
            </w:pPr>
            <w:r>
              <w:rPr>
                <w:rFonts w:ascii="Arial" w:cs="Arial" w:eastAsia="Arial" w:hAnsi="Arial"/>
                <w:sz w:val="14"/>
                <w:szCs w:val="14"/>
                <w:color w:val="3E3935"/>
              </w:rPr>
              <w:t>—</w:t>
            </w:r>
          </w:p>
        </w:tc>
        <w:tc>
          <w:tcPr>
            <w:tcW w:w="1020" w:type="dxa"/>
            <w:vAlign w:val="bottom"/>
          </w:tcPr>
          <w:p>
            <w:pPr>
              <w:jc w:val="right"/>
              <w:spacing w:after="0"/>
              <w:rPr>
                <w:sz w:val="20"/>
                <w:szCs w:val="20"/>
                <w:color w:val="auto"/>
              </w:rPr>
            </w:pPr>
            <w:r>
              <w:rPr>
                <w:rFonts w:ascii="Arial" w:cs="Arial" w:eastAsia="Arial" w:hAnsi="Arial"/>
                <w:sz w:val="14"/>
                <w:szCs w:val="14"/>
                <w:color w:val="3E3935"/>
              </w:rPr>
              <w:t>1,330,216</w:t>
            </w:r>
          </w:p>
        </w:tc>
      </w:tr>
      <w:tr>
        <w:trPr>
          <w:trHeight w:val="49"/>
        </w:trPr>
        <w:tc>
          <w:tcPr>
            <w:tcW w:w="3340" w:type="dxa"/>
            <w:vAlign w:val="bottom"/>
          </w:tcPr>
          <w:p>
            <w:pPr>
              <w:spacing w:after="0"/>
              <w:rPr>
                <w:sz w:val="4"/>
                <w:szCs w:val="4"/>
                <w:color w:val="auto"/>
              </w:rPr>
            </w:pPr>
          </w:p>
        </w:tc>
        <w:tc>
          <w:tcPr>
            <w:tcW w:w="1300" w:type="dxa"/>
            <w:vAlign w:val="bottom"/>
            <w:tcBorders>
              <w:bottom w:val="single" w:sz="8" w:color="3E3935"/>
            </w:tcBorders>
          </w:tcPr>
          <w:p>
            <w:pPr>
              <w:spacing w:after="0"/>
              <w:rPr>
                <w:sz w:val="4"/>
                <w:szCs w:val="4"/>
                <w:color w:val="auto"/>
              </w:rPr>
            </w:pPr>
          </w:p>
        </w:tc>
        <w:tc>
          <w:tcPr>
            <w:tcW w:w="1180" w:type="dxa"/>
            <w:vAlign w:val="bottom"/>
            <w:tcBorders>
              <w:bottom w:val="single" w:sz="8" w:color="3E3935"/>
            </w:tcBorders>
          </w:tcPr>
          <w:p>
            <w:pPr>
              <w:spacing w:after="0"/>
              <w:rPr>
                <w:sz w:val="4"/>
                <w:szCs w:val="4"/>
                <w:color w:val="auto"/>
              </w:rPr>
            </w:pPr>
          </w:p>
        </w:tc>
        <w:tc>
          <w:tcPr>
            <w:tcW w:w="1000" w:type="dxa"/>
            <w:vAlign w:val="bottom"/>
            <w:tcBorders>
              <w:bottom w:val="single" w:sz="8" w:color="3E3935"/>
            </w:tcBorders>
          </w:tcPr>
          <w:p>
            <w:pPr>
              <w:spacing w:after="0"/>
              <w:rPr>
                <w:sz w:val="4"/>
                <w:szCs w:val="4"/>
                <w:color w:val="auto"/>
              </w:rPr>
            </w:pPr>
          </w:p>
        </w:tc>
        <w:tc>
          <w:tcPr>
            <w:tcW w:w="1160" w:type="dxa"/>
            <w:vAlign w:val="bottom"/>
            <w:tcBorders>
              <w:bottom w:val="single" w:sz="8" w:color="3E3935"/>
            </w:tcBorders>
          </w:tcPr>
          <w:p>
            <w:pPr>
              <w:spacing w:after="0"/>
              <w:rPr>
                <w:sz w:val="4"/>
                <w:szCs w:val="4"/>
                <w:color w:val="auto"/>
              </w:rPr>
            </w:pPr>
          </w:p>
        </w:tc>
        <w:tc>
          <w:tcPr>
            <w:tcW w:w="1020" w:type="dxa"/>
            <w:vAlign w:val="bottom"/>
            <w:tcBorders>
              <w:bottom w:val="single" w:sz="8" w:color="3E3935"/>
            </w:tcBorders>
          </w:tcPr>
          <w:p>
            <w:pPr>
              <w:spacing w:after="0"/>
              <w:rPr>
                <w:sz w:val="4"/>
                <w:szCs w:val="4"/>
                <w:color w:val="auto"/>
              </w:rPr>
            </w:pPr>
          </w:p>
        </w:tc>
        <w:tc>
          <w:tcPr>
            <w:tcW w:w="1000" w:type="dxa"/>
            <w:vAlign w:val="bottom"/>
            <w:tcBorders>
              <w:bottom w:val="single" w:sz="8" w:color="3E3935"/>
            </w:tcBorders>
          </w:tcPr>
          <w:p>
            <w:pPr>
              <w:spacing w:after="0"/>
              <w:rPr>
                <w:sz w:val="4"/>
                <w:szCs w:val="4"/>
                <w:color w:val="auto"/>
              </w:rPr>
            </w:pPr>
          </w:p>
        </w:tc>
        <w:tc>
          <w:tcPr>
            <w:tcW w:w="1020" w:type="dxa"/>
            <w:vAlign w:val="bottom"/>
            <w:tcBorders>
              <w:bottom w:val="single" w:sz="8" w:color="3E3935"/>
            </w:tcBorders>
          </w:tcPr>
          <w:p>
            <w:pPr>
              <w:spacing w:after="0"/>
              <w:rPr>
                <w:sz w:val="4"/>
                <w:szCs w:val="4"/>
                <w:color w:val="auto"/>
              </w:rPr>
            </w:pPr>
          </w:p>
        </w:tc>
      </w:tr>
      <w:tr>
        <w:trPr>
          <w:trHeight w:val="228"/>
        </w:trPr>
        <w:tc>
          <w:tcPr>
            <w:tcW w:w="3340" w:type="dxa"/>
            <w:vAlign w:val="bottom"/>
          </w:tcPr>
          <w:p>
            <w:pPr>
              <w:spacing w:after="0"/>
              <w:rPr>
                <w:sz w:val="19"/>
                <w:szCs w:val="19"/>
                <w:color w:val="auto"/>
              </w:rPr>
            </w:pPr>
          </w:p>
        </w:tc>
        <w:tc>
          <w:tcPr>
            <w:tcW w:w="1300" w:type="dxa"/>
            <w:vAlign w:val="bottom"/>
          </w:tcPr>
          <w:p>
            <w:pPr>
              <w:ind w:left="200"/>
              <w:spacing w:after="0"/>
              <w:rPr>
                <w:sz w:val="20"/>
                <w:szCs w:val="20"/>
                <w:color w:val="auto"/>
              </w:rPr>
            </w:pPr>
            <w:r>
              <w:rPr>
                <w:rFonts w:ascii="Arial" w:cs="Arial" w:eastAsia="Arial" w:hAnsi="Arial"/>
                <w:sz w:val="14"/>
                <w:szCs w:val="14"/>
                <w:color w:val="3E3935"/>
              </w:rPr>
              <w:t>STIP</w:t>
            </w:r>
          </w:p>
        </w:tc>
        <w:tc>
          <w:tcPr>
            <w:tcW w:w="1180" w:type="dxa"/>
            <w:vAlign w:val="bottom"/>
          </w:tcPr>
          <w:p>
            <w:pPr>
              <w:jc w:val="right"/>
              <w:ind w:right="68"/>
              <w:spacing w:after="0"/>
              <w:rPr>
                <w:sz w:val="20"/>
                <w:szCs w:val="20"/>
                <w:color w:val="auto"/>
              </w:rPr>
            </w:pPr>
            <w:r>
              <w:rPr>
                <w:rFonts w:ascii="Arial" w:cs="Arial" w:eastAsia="Arial" w:hAnsi="Arial"/>
                <w:sz w:val="14"/>
                <w:szCs w:val="14"/>
                <w:color w:val="3E3935"/>
              </w:rPr>
              <w:t>—</w:t>
            </w:r>
          </w:p>
        </w:tc>
        <w:tc>
          <w:tcPr>
            <w:tcW w:w="1000" w:type="dxa"/>
            <w:vAlign w:val="bottom"/>
          </w:tcPr>
          <w:p>
            <w:pPr>
              <w:jc w:val="right"/>
              <w:ind w:right="48"/>
              <w:spacing w:after="0"/>
              <w:rPr>
                <w:sz w:val="20"/>
                <w:szCs w:val="20"/>
                <w:color w:val="auto"/>
              </w:rPr>
            </w:pPr>
            <w:r>
              <w:rPr>
                <w:rFonts w:ascii="Arial" w:cs="Arial" w:eastAsia="Arial" w:hAnsi="Arial"/>
                <w:sz w:val="14"/>
                <w:szCs w:val="14"/>
                <w:color w:val="3E3935"/>
              </w:rPr>
              <w:t>1,093,800</w:t>
            </w:r>
          </w:p>
        </w:tc>
        <w:tc>
          <w:tcPr>
            <w:tcW w:w="1160" w:type="dxa"/>
            <w:vAlign w:val="bottom"/>
          </w:tcPr>
          <w:p>
            <w:pPr>
              <w:jc w:val="right"/>
              <w:ind w:right="88"/>
              <w:spacing w:after="0"/>
              <w:rPr>
                <w:sz w:val="20"/>
                <w:szCs w:val="20"/>
                <w:color w:val="auto"/>
              </w:rPr>
            </w:pPr>
            <w:r>
              <w:rPr>
                <w:rFonts w:ascii="Arial" w:cs="Arial" w:eastAsia="Arial" w:hAnsi="Arial"/>
                <w:sz w:val="14"/>
                <w:szCs w:val="14"/>
                <w:color w:val="3E3935"/>
              </w:rPr>
              <w:t>1,575,100</w:t>
            </w:r>
          </w:p>
        </w:tc>
        <w:tc>
          <w:tcPr>
            <w:tcW w:w="1020" w:type="dxa"/>
            <w:vAlign w:val="bottom"/>
          </w:tcPr>
          <w:p>
            <w:pPr>
              <w:jc w:val="right"/>
              <w:ind w:right="88"/>
              <w:spacing w:after="0"/>
              <w:rPr>
                <w:sz w:val="20"/>
                <w:szCs w:val="20"/>
                <w:color w:val="auto"/>
              </w:rPr>
            </w:pPr>
            <w:r>
              <w:rPr>
                <w:rFonts w:ascii="Arial" w:cs="Arial" w:eastAsia="Arial" w:hAnsi="Arial"/>
                <w:sz w:val="14"/>
                <w:szCs w:val="14"/>
                <w:color w:val="3E3935"/>
              </w:rPr>
              <w:t>1,575,100</w:t>
            </w:r>
          </w:p>
        </w:tc>
        <w:tc>
          <w:tcPr>
            <w:tcW w:w="1000" w:type="dxa"/>
            <w:vAlign w:val="bottom"/>
          </w:tcPr>
          <w:p>
            <w:pPr>
              <w:jc w:val="right"/>
              <w:ind w:right="68"/>
              <w:spacing w:after="0"/>
              <w:rPr>
                <w:sz w:val="20"/>
                <w:szCs w:val="20"/>
                <w:color w:val="auto"/>
              </w:rPr>
            </w:pPr>
            <w:r>
              <w:rPr>
                <w:rFonts w:ascii="Arial" w:cs="Arial" w:eastAsia="Arial" w:hAnsi="Arial"/>
                <w:sz w:val="14"/>
                <w:szCs w:val="14"/>
                <w:color w:val="3E3935"/>
              </w:rPr>
              <w:t>1,575,100</w:t>
            </w:r>
          </w:p>
        </w:tc>
        <w:tc>
          <w:tcPr>
            <w:tcW w:w="1020" w:type="dxa"/>
            <w:vAlign w:val="bottom"/>
          </w:tcPr>
          <w:p>
            <w:pPr>
              <w:jc w:val="right"/>
              <w:spacing w:after="0"/>
              <w:rPr>
                <w:sz w:val="20"/>
                <w:szCs w:val="20"/>
                <w:color w:val="auto"/>
              </w:rPr>
            </w:pPr>
            <w:r>
              <w:rPr>
                <w:rFonts w:ascii="Arial" w:cs="Arial" w:eastAsia="Arial" w:hAnsi="Arial"/>
                <w:sz w:val="14"/>
                <w:szCs w:val="14"/>
                <w:color w:val="3E3935"/>
              </w:rPr>
              <w:t>1,093,800</w:t>
            </w:r>
          </w:p>
        </w:tc>
      </w:tr>
      <w:tr>
        <w:trPr>
          <w:trHeight w:val="49"/>
        </w:trPr>
        <w:tc>
          <w:tcPr>
            <w:tcW w:w="3340" w:type="dxa"/>
            <w:vAlign w:val="bottom"/>
          </w:tcPr>
          <w:p>
            <w:pPr>
              <w:spacing w:after="0"/>
              <w:rPr>
                <w:sz w:val="4"/>
                <w:szCs w:val="4"/>
                <w:color w:val="auto"/>
              </w:rPr>
            </w:pPr>
          </w:p>
        </w:tc>
        <w:tc>
          <w:tcPr>
            <w:tcW w:w="1300" w:type="dxa"/>
            <w:vAlign w:val="bottom"/>
            <w:tcBorders>
              <w:bottom w:val="single" w:sz="8" w:color="3E3935"/>
            </w:tcBorders>
          </w:tcPr>
          <w:p>
            <w:pPr>
              <w:spacing w:after="0"/>
              <w:rPr>
                <w:sz w:val="4"/>
                <w:szCs w:val="4"/>
                <w:color w:val="auto"/>
              </w:rPr>
            </w:pPr>
          </w:p>
        </w:tc>
        <w:tc>
          <w:tcPr>
            <w:tcW w:w="1180" w:type="dxa"/>
            <w:vAlign w:val="bottom"/>
            <w:tcBorders>
              <w:bottom w:val="single" w:sz="8" w:color="3E3935"/>
            </w:tcBorders>
          </w:tcPr>
          <w:p>
            <w:pPr>
              <w:spacing w:after="0"/>
              <w:rPr>
                <w:sz w:val="4"/>
                <w:szCs w:val="4"/>
                <w:color w:val="auto"/>
              </w:rPr>
            </w:pPr>
          </w:p>
        </w:tc>
        <w:tc>
          <w:tcPr>
            <w:tcW w:w="1000" w:type="dxa"/>
            <w:vAlign w:val="bottom"/>
            <w:tcBorders>
              <w:bottom w:val="single" w:sz="8" w:color="3E3935"/>
            </w:tcBorders>
          </w:tcPr>
          <w:p>
            <w:pPr>
              <w:spacing w:after="0"/>
              <w:rPr>
                <w:sz w:val="4"/>
                <w:szCs w:val="4"/>
                <w:color w:val="auto"/>
              </w:rPr>
            </w:pPr>
          </w:p>
        </w:tc>
        <w:tc>
          <w:tcPr>
            <w:tcW w:w="1160" w:type="dxa"/>
            <w:vAlign w:val="bottom"/>
            <w:tcBorders>
              <w:bottom w:val="single" w:sz="8" w:color="3E3935"/>
            </w:tcBorders>
          </w:tcPr>
          <w:p>
            <w:pPr>
              <w:spacing w:after="0"/>
              <w:rPr>
                <w:sz w:val="4"/>
                <w:szCs w:val="4"/>
                <w:color w:val="auto"/>
              </w:rPr>
            </w:pPr>
          </w:p>
        </w:tc>
        <w:tc>
          <w:tcPr>
            <w:tcW w:w="1020" w:type="dxa"/>
            <w:vAlign w:val="bottom"/>
            <w:tcBorders>
              <w:bottom w:val="single" w:sz="8" w:color="3E3935"/>
            </w:tcBorders>
          </w:tcPr>
          <w:p>
            <w:pPr>
              <w:spacing w:after="0"/>
              <w:rPr>
                <w:sz w:val="4"/>
                <w:szCs w:val="4"/>
                <w:color w:val="auto"/>
              </w:rPr>
            </w:pPr>
          </w:p>
        </w:tc>
        <w:tc>
          <w:tcPr>
            <w:tcW w:w="1000" w:type="dxa"/>
            <w:vAlign w:val="bottom"/>
            <w:tcBorders>
              <w:bottom w:val="single" w:sz="8" w:color="3E3935"/>
            </w:tcBorders>
          </w:tcPr>
          <w:p>
            <w:pPr>
              <w:spacing w:after="0"/>
              <w:rPr>
                <w:sz w:val="4"/>
                <w:szCs w:val="4"/>
                <w:color w:val="auto"/>
              </w:rPr>
            </w:pPr>
          </w:p>
        </w:tc>
        <w:tc>
          <w:tcPr>
            <w:tcW w:w="1020" w:type="dxa"/>
            <w:vAlign w:val="bottom"/>
            <w:tcBorders>
              <w:bottom w:val="single" w:sz="8" w:color="3E3935"/>
            </w:tcBorders>
          </w:tcPr>
          <w:p>
            <w:pPr>
              <w:spacing w:after="0"/>
              <w:rPr>
                <w:sz w:val="4"/>
                <w:szCs w:val="4"/>
                <w:color w:val="auto"/>
              </w:rPr>
            </w:pPr>
          </w:p>
        </w:tc>
      </w:tr>
      <w:tr>
        <w:trPr>
          <w:trHeight w:val="228"/>
        </w:trPr>
        <w:tc>
          <w:tcPr>
            <w:tcW w:w="3340" w:type="dxa"/>
            <w:vAlign w:val="bottom"/>
          </w:tcPr>
          <w:p>
            <w:pPr>
              <w:spacing w:after="0"/>
              <w:rPr>
                <w:sz w:val="19"/>
                <w:szCs w:val="19"/>
                <w:color w:val="auto"/>
              </w:rPr>
            </w:pPr>
          </w:p>
        </w:tc>
        <w:tc>
          <w:tcPr>
            <w:tcW w:w="1300" w:type="dxa"/>
            <w:vAlign w:val="bottom"/>
          </w:tcPr>
          <w:p>
            <w:pPr>
              <w:ind w:left="200"/>
              <w:spacing w:after="0"/>
              <w:rPr>
                <w:sz w:val="20"/>
                <w:szCs w:val="20"/>
                <w:color w:val="auto"/>
              </w:rPr>
            </w:pPr>
            <w:r>
              <w:rPr>
                <w:rFonts w:ascii="Arial" w:cs="Arial" w:eastAsia="Arial" w:hAnsi="Arial"/>
                <w:sz w:val="14"/>
                <w:szCs w:val="14"/>
                <w:color w:val="3E3935"/>
              </w:rPr>
              <w:t>LTIP</w:t>
            </w:r>
          </w:p>
        </w:tc>
        <w:tc>
          <w:tcPr>
            <w:tcW w:w="1180" w:type="dxa"/>
            <w:vAlign w:val="bottom"/>
          </w:tcPr>
          <w:p>
            <w:pPr>
              <w:jc w:val="right"/>
              <w:ind w:right="68"/>
              <w:spacing w:after="0"/>
              <w:rPr>
                <w:sz w:val="20"/>
                <w:szCs w:val="20"/>
                <w:color w:val="auto"/>
              </w:rPr>
            </w:pPr>
            <w:r>
              <w:rPr>
                <w:rFonts w:ascii="Arial" w:cs="Arial" w:eastAsia="Arial" w:hAnsi="Arial"/>
                <w:sz w:val="14"/>
                <w:szCs w:val="14"/>
                <w:color w:val="3E3935"/>
              </w:rPr>
              <w:t>—</w:t>
            </w:r>
          </w:p>
        </w:tc>
        <w:tc>
          <w:tcPr>
            <w:tcW w:w="1000" w:type="dxa"/>
            <w:vAlign w:val="bottom"/>
          </w:tcPr>
          <w:p>
            <w:pPr>
              <w:jc w:val="right"/>
              <w:ind w:right="48"/>
              <w:spacing w:after="0"/>
              <w:rPr>
                <w:sz w:val="20"/>
                <w:szCs w:val="20"/>
                <w:color w:val="auto"/>
              </w:rPr>
            </w:pPr>
            <w:r>
              <w:rPr>
                <w:rFonts w:ascii="Arial" w:cs="Arial" w:eastAsia="Arial" w:hAnsi="Arial"/>
                <w:sz w:val="14"/>
                <w:szCs w:val="14"/>
                <w:color w:val="3E3935"/>
              </w:rPr>
              <w:t>4,154,756</w:t>
            </w:r>
          </w:p>
        </w:tc>
        <w:tc>
          <w:tcPr>
            <w:tcW w:w="1160" w:type="dxa"/>
            <w:vAlign w:val="bottom"/>
          </w:tcPr>
          <w:p>
            <w:pPr>
              <w:jc w:val="right"/>
              <w:ind w:right="88"/>
              <w:spacing w:after="0"/>
              <w:rPr>
                <w:sz w:val="20"/>
                <w:szCs w:val="20"/>
                <w:color w:val="auto"/>
              </w:rPr>
            </w:pPr>
            <w:r>
              <w:rPr>
                <w:rFonts w:ascii="Arial" w:cs="Arial" w:eastAsia="Arial" w:hAnsi="Arial"/>
                <w:sz w:val="14"/>
                <w:szCs w:val="14"/>
                <w:color w:val="3E3935"/>
              </w:rPr>
              <w:t>9,552,597</w:t>
            </w:r>
          </w:p>
        </w:tc>
        <w:tc>
          <w:tcPr>
            <w:tcW w:w="1020" w:type="dxa"/>
            <w:vAlign w:val="bottom"/>
          </w:tcPr>
          <w:p>
            <w:pPr>
              <w:jc w:val="right"/>
              <w:ind w:right="88"/>
              <w:spacing w:after="0"/>
              <w:rPr>
                <w:sz w:val="20"/>
                <w:szCs w:val="20"/>
                <w:color w:val="auto"/>
              </w:rPr>
            </w:pPr>
            <w:r>
              <w:rPr>
                <w:rFonts w:ascii="Arial" w:cs="Arial" w:eastAsia="Arial" w:hAnsi="Arial"/>
                <w:sz w:val="14"/>
                <w:szCs w:val="14"/>
                <w:color w:val="3E3935"/>
              </w:rPr>
              <w:t>9,552,597</w:t>
            </w:r>
          </w:p>
        </w:tc>
        <w:tc>
          <w:tcPr>
            <w:tcW w:w="1000" w:type="dxa"/>
            <w:vAlign w:val="bottom"/>
          </w:tcPr>
          <w:p>
            <w:pPr>
              <w:jc w:val="right"/>
              <w:ind w:right="68"/>
              <w:spacing w:after="0"/>
              <w:rPr>
                <w:sz w:val="20"/>
                <w:szCs w:val="20"/>
                <w:color w:val="auto"/>
              </w:rPr>
            </w:pPr>
            <w:r>
              <w:rPr>
                <w:rFonts w:ascii="Arial" w:cs="Arial" w:eastAsia="Arial" w:hAnsi="Arial"/>
                <w:sz w:val="14"/>
                <w:szCs w:val="14"/>
                <w:color w:val="3E3935"/>
              </w:rPr>
              <w:t>9,552,597</w:t>
            </w:r>
          </w:p>
        </w:tc>
        <w:tc>
          <w:tcPr>
            <w:tcW w:w="1020" w:type="dxa"/>
            <w:vAlign w:val="bottom"/>
          </w:tcPr>
          <w:p>
            <w:pPr>
              <w:jc w:val="right"/>
              <w:spacing w:after="0"/>
              <w:rPr>
                <w:sz w:val="20"/>
                <w:szCs w:val="20"/>
                <w:color w:val="auto"/>
              </w:rPr>
            </w:pPr>
            <w:r>
              <w:rPr>
                <w:rFonts w:ascii="Arial" w:cs="Arial" w:eastAsia="Arial" w:hAnsi="Arial"/>
                <w:sz w:val="14"/>
                <w:szCs w:val="14"/>
                <w:color w:val="3E3935"/>
              </w:rPr>
              <w:t>9,552,597</w:t>
            </w:r>
          </w:p>
        </w:tc>
      </w:tr>
      <w:tr>
        <w:trPr>
          <w:trHeight w:val="49"/>
        </w:trPr>
        <w:tc>
          <w:tcPr>
            <w:tcW w:w="3340" w:type="dxa"/>
            <w:vAlign w:val="bottom"/>
          </w:tcPr>
          <w:p>
            <w:pPr>
              <w:spacing w:after="0"/>
              <w:rPr>
                <w:sz w:val="4"/>
                <w:szCs w:val="4"/>
                <w:color w:val="auto"/>
              </w:rPr>
            </w:pPr>
          </w:p>
        </w:tc>
        <w:tc>
          <w:tcPr>
            <w:tcW w:w="1300" w:type="dxa"/>
            <w:vAlign w:val="bottom"/>
            <w:tcBorders>
              <w:bottom w:val="single" w:sz="8" w:color="3E3935"/>
            </w:tcBorders>
          </w:tcPr>
          <w:p>
            <w:pPr>
              <w:spacing w:after="0"/>
              <w:rPr>
                <w:sz w:val="4"/>
                <w:szCs w:val="4"/>
                <w:color w:val="auto"/>
              </w:rPr>
            </w:pPr>
          </w:p>
        </w:tc>
        <w:tc>
          <w:tcPr>
            <w:tcW w:w="1180" w:type="dxa"/>
            <w:vAlign w:val="bottom"/>
            <w:tcBorders>
              <w:bottom w:val="single" w:sz="8" w:color="3E3935"/>
            </w:tcBorders>
          </w:tcPr>
          <w:p>
            <w:pPr>
              <w:spacing w:after="0"/>
              <w:rPr>
                <w:sz w:val="4"/>
                <w:szCs w:val="4"/>
                <w:color w:val="auto"/>
              </w:rPr>
            </w:pPr>
          </w:p>
        </w:tc>
        <w:tc>
          <w:tcPr>
            <w:tcW w:w="1000" w:type="dxa"/>
            <w:vAlign w:val="bottom"/>
            <w:tcBorders>
              <w:bottom w:val="single" w:sz="8" w:color="3E3935"/>
            </w:tcBorders>
          </w:tcPr>
          <w:p>
            <w:pPr>
              <w:spacing w:after="0"/>
              <w:rPr>
                <w:sz w:val="4"/>
                <w:szCs w:val="4"/>
                <w:color w:val="auto"/>
              </w:rPr>
            </w:pPr>
          </w:p>
        </w:tc>
        <w:tc>
          <w:tcPr>
            <w:tcW w:w="1160" w:type="dxa"/>
            <w:vAlign w:val="bottom"/>
            <w:tcBorders>
              <w:bottom w:val="single" w:sz="8" w:color="3E3935"/>
            </w:tcBorders>
          </w:tcPr>
          <w:p>
            <w:pPr>
              <w:spacing w:after="0"/>
              <w:rPr>
                <w:sz w:val="4"/>
                <w:szCs w:val="4"/>
                <w:color w:val="auto"/>
              </w:rPr>
            </w:pPr>
          </w:p>
        </w:tc>
        <w:tc>
          <w:tcPr>
            <w:tcW w:w="1020" w:type="dxa"/>
            <w:vAlign w:val="bottom"/>
            <w:tcBorders>
              <w:bottom w:val="single" w:sz="8" w:color="3E3935"/>
            </w:tcBorders>
          </w:tcPr>
          <w:p>
            <w:pPr>
              <w:spacing w:after="0"/>
              <w:rPr>
                <w:sz w:val="4"/>
                <w:szCs w:val="4"/>
                <w:color w:val="auto"/>
              </w:rPr>
            </w:pPr>
          </w:p>
        </w:tc>
        <w:tc>
          <w:tcPr>
            <w:tcW w:w="1000" w:type="dxa"/>
            <w:vAlign w:val="bottom"/>
            <w:tcBorders>
              <w:bottom w:val="single" w:sz="8" w:color="3E3935"/>
            </w:tcBorders>
          </w:tcPr>
          <w:p>
            <w:pPr>
              <w:spacing w:after="0"/>
              <w:rPr>
                <w:sz w:val="4"/>
                <w:szCs w:val="4"/>
                <w:color w:val="auto"/>
              </w:rPr>
            </w:pPr>
          </w:p>
        </w:tc>
        <w:tc>
          <w:tcPr>
            <w:tcW w:w="1020" w:type="dxa"/>
            <w:vAlign w:val="bottom"/>
            <w:tcBorders>
              <w:bottom w:val="single" w:sz="8" w:color="3E3935"/>
            </w:tcBorders>
          </w:tcPr>
          <w:p>
            <w:pPr>
              <w:spacing w:after="0"/>
              <w:rPr>
                <w:sz w:val="4"/>
                <w:szCs w:val="4"/>
                <w:color w:val="auto"/>
              </w:rPr>
            </w:pPr>
          </w:p>
        </w:tc>
      </w:tr>
      <w:tr>
        <w:trPr>
          <w:trHeight w:val="235"/>
        </w:trPr>
        <w:tc>
          <w:tcPr>
            <w:tcW w:w="3340" w:type="dxa"/>
            <w:vAlign w:val="bottom"/>
          </w:tcPr>
          <w:p>
            <w:pPr>
              <w:spacing w:after="0"/>
              <w:rPr>
                <w:sz w:val="20"/>
                <w:szCs w:val="20"/>
                <w:color w:val="auto"/>
              </w:rPr>
            </w:pPr>
          </w:p>
        </w:tc>
        <w:tc>
          <w:tcPr>
            <w:tcW w:w="1300" w:type="dxa"/>
            <w:vAlign w:val="bottom"/>
          </w:tcPr>
          <w:p>
            <w:pPr>
              <w:ind w:left="200"/>
              <w:spacing w:after="0"/>
              <w:rPr>
                <w:sz w:val="20"/>
                <w:szCs w:val="20"/>
                <w:color w:val="auto"/>
              </w:rPr>
            </w:pPr>
            <w:r>
              <w:rPr>
                <w:rFonts w:ascii="Arial" w:cs="Arial" w:eastAsia="Arial" w:hAnsi="Arial"/>
                <w:sz w:val="14"/>
                <w:szCs w:val="14"/>
                <w:b w:val="1"/>
                <w:bCs w:val="1"/>
                <w:color w:val="3E3935"/>
              </w:rPr>
              <w:t>TOTAL</w:t>
            </w:r>
          </w:p>
        </w:tc>
        <w:tc>
          <w:tcPr>
            <w:tcW w:w="1180" w:type="dxa"/>
            <w:vAlign w:val="bottom"/>
          </w:tcPr>
          <w:p>
            <w:pPr>
              <w:jc w:val="right"/>
              <w:ind w:right="68"/>
              <w:spacing w:after="0"/>
              <w:rPr>
                <w:sz w:val="20"/>
                <w:szCs w:val="20"/>
                <w:color w:val="auto"/>
              </w:rPr>
            </w:pPr>
            <w:r>
              <w:rPr>
                <w:rFonts w:ascii="Arial" w:cs="Arial" w:eastAsia="Arial" w:hAnsi="Arial"/>
                <w:sz w:val="14"/>
                <w:szCs w:val="14"/>
                <w:b w:val="1"/>
                <w:bCs w:val="1"/>
                <w:color w:val="3E3935"/>
              </w:rPr>
              <w:t>—</w:t>
            </w:r>
          </w:p>
        </w:tc>
        <w:tc>
          <w:tcPr>
            <w:tcW w:w="1000" w:type="dxa"/>
            <w:vAlign w:val="bottom"/>
          </w:tcPr>
          <w:p>
            <w:pPr>
              <w:jc w:val="right"/>
              <w:ind w:right="48"/>
              <w:spacing w:after="0"/>
              <w:rPr>
                <w:sz w:val="20"/>
                <w:szCs w:val="20"/>
                <w:color w:val="auto"/>
              </w:rPr>
            </w:pPr>
            <w:r>
              <w:rPr>
                <w:rFonts w:ascii="Arial" w:cs="Arial" w:eastAsia="Arial" w:hAnsi="Arial"/>
                <w:sz w:val="14"/>
                <w:szCs w:val="14"/>
                <w:b w:val="1"/>
                <w:bCs w:val="1"/>
                <w:color w:val="3E3935"/>
              </w:rPr>
              <w:t>6,593,772</w:t>
            </w:r>
          </w:p>
        </w:tc>
        <w:tc>
          <w:tcPr>
            <w:tcW w:w="1160" w:type="dxa"/>
            <w:vAlign w:val="bottom"/>
          </w:tcPr>
          <w:p>
            <w:pPr>
              <w:jc w:val="right"/>
              <w:ind w:right="88"/>
              <w:spacing w:after="0"/>
              <w:rPr>
                <w:sz w:val="20"/>
                <w:szCs w:val="20"/>
                <w:color w:val="auto"/>
              </w:rPr>
            </w:pPr>
            <w:r>
              <w:rPr>
                <w:rFonts w:ascii="Arial" w:cs="Arial" w:eastAsia="Arial" w:hAnsi="Arial"/>
                <w:sz w:val="14"/>
                <w:szCs w:val="14"/>
                <w:b w:val="1"/>
                <w:bCs w:val="1"/>
                <w:color w:val="3E3935"/>
              </w:rPr>
              <w:t>11,127,697</w:t>
            </w:r>
          </w:p>
        </w:tc>
        <w:tc>
          <w:tcPr>
            <w:tcW w:w="1020" w:type="dxa"/>
            <w:vAlign w:val="bottom"/>
          </w:tcPr>
          <w:p>
            <w:pPr>
              <w:jc w:val="right"/>
              <w:ind w:right="88"/>
              <w:spacing w:after="0"/>
              <w:rPr>
                <w:sz w:val="20"/>
                <w:szCs w:val="20"/>
                <w:color w:val="auto"/>
              </w:rPr>
            </w:pPr>
            <w:r>
              <w:rPr>
                <w:rFonts w:ascii="Arial" w:cs="Arial" w:eastAsia="Arial" w:hAnsi="Arial"/>
                <w:sz w:val="14"/>
                <w:szCs w:val="14"/>
                <w:b w:val="1"/>
                <w:bCs w:val="1"/>
                <w:color w:val="3E3935"/>
              </w:rPr>
              <w:t>11,127,697</w:t>
            </w:r>
          </w:p>
        </w:tc>
        <w:tc>
          <w:tcPr>
            <w:tcW w:w="1000" w:type="dxa"/>
            <w:vAlign w:val="bottom"/>
          </w:tcPr>
          <w:p>
            <w:pPr>
              <w:jc w:val="right"/>
              <w:ind w:right="68"/>
              <w:spacing w:after="0"/>
              <w:rPr>
                <w:sz w:val="20"/>
                <w:szCs w:val="20"/>
                <w:color w:val="auto"/>
              </w:rPr>
            </w:pPr>
            <w:r>
              <w:rPr>
                <w:rFonts w:ascii="Arial" w:cs="Arial" w:eastAsia="Arial" w:hAnsi="Arial"/>
                <w:sz w:val="14"/>
                <w:szCs w:val="14"/>
                <w:b w:val="1"/>
                <w:bCs w:val="1"/>
                <w:color w:val="3E3935"/>
              </w:rPr>
              <w:t>11,127,697</w:t>
            </w:r>
          </w:p>
        </w:tc>
        <w:tc>
          <w:tcPr>
            <w:tcW w:w="1020" w:type="dxa"/>
            <w:vAlign w:val="bottom"/>
          </w:tcPr>
          <w:p>
            <w:pPr>
              <w:jc w:val="right"/>
              <w:spacing w:after="0"/>
              <w:rPr>
                <w:sz w:val="20"/>
                <w:szCs w:val="20"/>
                <w:color w:val="auto"/>
              </w:rPr>
            </w:pPr>
            <w:r>
              <w:rPr>
                <w:rFonts w:ascii="Arial" w:cs="Arial" w:eastAsia="Arial" w:hAnsi="Arial"/>
                <w:sz w:val="14"/>
                <w:szCs w:val="14"/>
                <w:b w:val="1"/>
                <w:bCs w:val="1"/>
                <w:color w:val="3E3935"/>
              </w:rPr>
              <w:t>11,976,613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27305</wp:posOffset>
            </wp:positionV>
            <wp:extent cx="6995160" cy="825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00" w:lineRule="exact"/>
        <w:rPr>
          <w:sz w:val="20"/>
          <w:szCs w:val="20"/>
          <w:color w:val="auto"/>
        </w:rPr>
      </w:pPr>
    </w:p>
    <w:p>
      <w:pPr>
        <w:jc w:val="both"/>
        <w:ind w:left="540" w:right="20" w:hanging="424"/>
        <w:spacing w:after="0" w:line="243" w:lineRule="auto"/>
        <w:tabs>
          <w:tab w:leader="none" w:pos="540" w:val="left"/>
        </w:tabs>
        <w:numPr>
          <w:ilvl w:val="0"/>
          <w:numId w:val="134"/>
        </w:numPr>
        <w:rPr>
          <w:rFonts w:ascii="Arial" w:cs="Arial" w:eastAsia="Arial" w:hAnsi="Arial"/>
          <w:sz w:val="18"/>
          <w:szCs w:val="18"/>
          <w:i w:val="1"/>
          <w:iCs w:val="1"/>
          <w:color w:val="3E3935"/>
        </w:rPr>
      </w:pPr>
      <w:r>
        <w:rPr>
          <w:rFonts w:ascii="Arial" w:cs="Arial" w:eastAsia="Arial" w:hAnsi="Arial"/>
          <w:sz w:val="18"/>
          <w:szCs w:val="18"/>
          <w:i w:val="1"/>
          <w:iCs w:val="1"/>
          <w:color w:val="3E3935"/>
        </w:rPr>
        <w:t>Cash amounts shown for Executive Severance Program and Change in Control with Termination are based on the Executive Severance Program. Payments are 2X base salary for the CEO and 1.5X base salary for all other NEOs. Under the Executive Severance Program, the CEO is eligible for a cash payment equal to 24 months of COBRA premiums and the other NEOs are eligible for a cash payment equal to 18 months of COBRA premiums. There are no cash payments due upon Voluntary Separation or Termination for Cause, Retirement, Disability, or Death.</w:t>
      </w:r>
    </w:p>
    <w:p>
      <w:pPr>
        <w:spacing w:after="0" w:line="45" w:lineRule="exact"/>
        <w:rPr>
          <w:rFonts w:ascii="Arial" w:cs="Arial" w:eastAsia="Arial" w:hAnsi="Arial"/>
          <w:sz w:val="18"/>
          <w:szCs w:val="18"/>
          <w:i w:val="1"/>
          <w:iCs w:val="1"/>
          <w:color w:val="3E3935"/>
        </w:rPr>
      </w:pPr>
    </w:p>
    <w:p>
      <w:pPr>
        <w:jc w:val="both"/>
        <w:ind w:left="540" w:right="20" w:hanging="424"/>
        <w:spacing w:after="0" w:line="252" w:lineRule="auto"/>
        <w:tabs>
          <w:tab w:leader="none" w:pos="540" w:val="left"/>
        </w:tabs>
        <w:numPr>
          <w:ilvl w:val="0"/>
          <w:numId w:val="134"/>
        </w:numPr>
        <w:rPr>
          <w:rFonts w:ascii="Arial" w:cs="Arial" w:eastAsia="Arial" w:hAnsi="Arial"/>
          <w:sz w:val="18"/>
          <w:szCs w:val="18"/>
          <w:i w:val="1"/>
          <w:iCs w:val="1"/>
          <w:color w:val="3E3935"/>
        </w:rPr>
      </w:pPr>
      <w:r>
        <w:rPr>
          <w:rFonts w:ascii="Arial" w:cs="Arial" w:eastAsia="Arial" w:hAnsi="Arial"/>
          <w:sz w:val="18"/>
          <w:szCs w:val="18"/>
          <w:i w:val="1"/>
          <w:iCs w:val="1"/>
          <w:color w:val="3E3935"/>
        </w:rPr>
        <w:t>STIP amounts shown under Retirement, Disability, and Death are based on final company performance. STIP amounts shown for Executive Severance Program and Change in Control with Termination reflect target-level performance. Executives forfeit STIP awards for Voluntary Separation or Termination for Cause.</w:t>
      </w:r>
    </w:p>
    <w:p>
      <w:pPr>
        <w:spacing w:after="0" w:line="36" w:lineRule="exact"/>
        <w:rPr>
          <w:rFonts w:ascii="Arial" w:cs="Arial" w:eastAsia="Arial" w:hAnsi="Arial"/>
          <w:sz w:val="18"/>
          <w:szCs w:val="18"/>
          <w:i w:val="1"/>
          <w:iCs w:val="1"/>
          <w:color w:val="3E3935"/>
        </w:rPr>
      </w:pPr>
    </w:p>
    <w:p>
      <w:pPr>
        <w:jc w:val="both"/>
        <w:ind w:left="540" w:right="20" w:hanging="424"/>
        <w:spacing w:after="0" w:line="246" w:lineRule="auto"/>
        <w:tabs>
          <w:tab w:leader="none" w:pos="540" w:val="left"/>
        </w:tabs>
        <w:numPr>
          <w:ilvl w:val="0"/>
          <w:numId w:val="134"/>
        </w:numPr>
        <w:rPr>
          <w:rFonts w:ascii="Arial" w:cs="Arial" w:eastAsia="Arial" w:hAnsi="Arial"/>
          <w:sz w:val="18"/>
          <w:szCs w:val="18"/>
          <w:i w:val="1"/>
          <w:iCs w:val="1"/>
          <w:color w:val="3E3935"/>
        </w:rPr>
      </w:pPr>
      <w:r>
        <w:rPr>
          <w:rFonts w:ascii="Arial" w:cs="Arial" w:eastAsia="Arial" w:hAnsi="Arial"/>
          <w:sz w:val="18"/>
          <w:szCs w:val="18"/>
          <w:i w:val="1"/>
          <w:iCs w:val="1"/>
          <w:color w:val="3E3935"/>
        </w:rPr>
        <w:t>LTIP amounts shown reflect the value of any unvested RSU awards, PSU awards, and stock options that may vest upon termination. The value of the awards is based on the closing price of GM common stock on December 30, 2022, of $33.64. Under the Executive Severance Program, structure equity awards are delivered in cash once vested; the value displayed reflects the value of awards that would be subject to payment based on awards outstanding as of December 31, 2022.</w:t>
      </w:r>
    </w:p>
    <w:p>
      <w:pPr>
        <w:spacing w:after="0" w:line="42" w:lineRule="exact"/>
        <w:rPr>
          <w:rFonts w:ascii="Arial" w:cs="Arial" w:eastAsia="Arial" w:hAnsi="Arial"/>
          <w:sz w:val="18"/>
          <w:szCs w:val="18"/>
          <w:i w:val="1"/>
          <w:iCs w:val="1"/>
          <w:color w:val="3E3935"/>
        </w:rPr>
      </w:pPr>
    </w:p>
    <w:p>
      <w:pPr>
        <w:ind w:left="540" w:hanging="424"/>
        <w:spacing w:after="0"/>
        <w:tabs>
          <w:tab w:leader="none" w:pos="540" w:val="left"/>
        </w:tabs>
        <w:numPr>
          <w:ilvl w:val="0"/>
          <w:numId w:val="134"/>
        </w:numPr>
        <w:rPr>
          <w:rFonts w:ascii="Arial" w:cs="Arial" w:eastAsia="Arial" w:hAnsi="Arial"/>
          <w:sz w:val="18"/>
          <w:szCs w:val="18"/>
          <w:i w:val="1"/>
          <w:iCs w:val="1"/>
          <w:color w:val="3E3935"/>
        </w:rPr>
      </w:pPr>
      <w:r>
        <w:rPr>
          <w:rFonts w:ascii="Arial" w:cs="Arial" w:eastAsia="Arial" w:hAnsi="Arial"/>
          <w:sz w:val="18"/>
          <w:szCs w:val="18"/>
          <w:i w:val="1"/>
          <w:iCs w:val="1"/>
          <w:color w:val="3E3935"/>
        </w:rPr>
        <w:t>Ms. Barra and Messrs. Reuss, Parks, and Carlisle were eligible for full career status retirement as of December 31, 2022.</w:t>
      </w:r>
    </w:p>
    <w:p>
      <w:pPr>
        <w:spacing w:after="0" w:line="152" w:lineRule="exact"/>
        <w:rPr>
          <w:sz w:val="20"/>
          <w:szCs w:val="20"/>
          <w:color w:val="auto"/>
        </w:rPr>
      </w:pPr>
    </w:p>
    <w:p>
      <w:pPr>
        <w:ind w:left="10660"/>
        <w:spacing w:after="0"/>
        <w:rPr>
          <w:sz w:val="20"/>
          <w:szCs w:val="20"/>
          <w:color w:val="auto"/>
        </w:rPr>
      </w:pPr>
      <w:r>
        <w:rPr>
          <w:rFonts w:ascii="Arial" w:cs="Arial" w:eastAsia="Arial" w:hAnsi="Arial"/>
          <w:sz w:val="14"/>
          <w:szCs w:val="14"/>
          <w:color w:val="0071CE"/>
        </w:rPr>
        <w:t>83</w:t>
      </w:r>
    </w:p>
    <w:p>
      <w:pPr>
        <w:sectPr>
          <w:pgSz w:w="11900" w:h="16838" w:orient="portrait"/>
          <w:cols w:equalWidth="0" w:num="1">
            <w:col w:w="11140"/>
          </w:cols>
          <w:pgMar w:left="320" w:top="482" w:right="43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31"/>
          <w:szCs w:val="31"/>
          <w:color w:val="3E3935"/>
        </w:rPr>
        <w:t>CEO Pay Ratio</w:t>
      </w:r>
    </w:p>
    <w:p>
      <w:pPr>
        <w:spacing w:after="0" w:line="166" w:lineRule="exact"/>
        <w:rPr>
          <w:sz w:val="20"/>
          <w:szCs w:val="20"/>
          <w:color w:val="auto"/>
        </w:rPr>
      </w:pPr>
    </w:p>
    <w:p>
      <w:pPr>
        <w:jc w:val="both"/>
        <w:ind w:left="120"/>
        <w:spacing w:after="0" w:line="241" w:lineRule="auto"/>
        <w:rPr>
          <w:sz w:val="20"/>
          <w:szCs w:val="20"/>
          <w:color w:val="auto"/>
        </w:rPr>
      </w:pPr>
      <w:r>
        <w:rPr>
          <w:rFonts w:ascii="Arial" w:cs="Arial" w:eastAsia="Arial" w:hAnsi="Arial"/>
          <w:sz w:val="20"/>
          <w:szCs w:val="20"/>
          <w:color w:val="3E3935"/>
        </w:rPr>
        <w:t>Our CEO, who leads our global workforce of 167,000 employees (104,000 located in the United States and 63,000 non-U.S. employees) as of December 31, 2022, earned $28,979,570 in total compensation in 2022 as reported in the Summary Compensation Table.</w:t>
      </w:r>
    </w:p>
    <w:p>
      <w:pPr>
        <w:spacing w:after="0" w:line="104" w:lineRule="exact"/>
        <w:rPr>
          <w:sz w:val="20"/>
          <w:szCs w:val="20"/>
          <w:color w:val="auto"/>
        </w:rPr>
      </w:pPr>
    </w:p>
    <w:p>
      <w:pPr>
        <w:ind w:left="120"/>
        <w:spacing w:after="0"/>
        <w:rPr>
          <w:sz w:val="20"/>
          <w:szCs w:val="20"/>
          <w:color w:val="auto"/>
        </w:rPr>
      </w:pPr>
      <w:r>
        <w:rPr>
          <w:rFonts w:ascii="Arial" w:cs="Arial" w:eastAsia="Arial" w:hAnsi="Arial"/>
          <w:sz w:val="20"/>
          <w:szCs w:val="20"/>
          <w:color w:val="3E3935"/>
        </w:rPr>
        <w:t>To identify our new median employee for 2022, we:</w:t>
      </w:r>
    </w:p>
    <w:p>
      <w:pPr>
        <w:spacing w:after="0" w:line="67" w:lineRule="exact"/>
        <w:rPr>
          <w:sz w:val="20"/>
          <w:szCs w:val="20"/>
          <w:color w:val="auto"/>
        </w:rPr>
      </w:pPr>
    </w:p>
    <w:p>
      <w:pPr>
        <w:jc w:val="both"/>
        <w:ind w:left="1200" w:hanging="544"/>
        <w:spacing w:after="0" w:line="234" w:lineRule="auto"/>
        <w:tabs>
          <w:tab w:leader="none" w:pos="1200" w:val="left"/>
        </w:tabs>
        <w:numPr>
          <w:ilvl w:val="0"/>
          <w:numId w:val="135"/>
        </w:numPr>
        <w:rPr>
          <w:rFonts w:ascii="Arial" w:cs="Arial" w:eastAsia="Arial" w:hAnsi="Arial"/>
          <w:sz w:val="20"/>
          <w:szCs w:val="20"/>
          <w:color w:val="3E3935"/>
        </w:rPr>
      </w:pPr>
      <w:r>
        <w:rPr>
          <w:rFonts w:ascii="Arial" w:cs="Arial" w:eastAsia="Arial" w:hAnsi="Arial"/>
          <w:sz w:val="20"/>
          <w:szCs w:val="20"/>
          <w:color w:val="3E3935"/>
        </w:rPr>
        <w:t>Excluded all employees (7,574) in the following 27 countries under the SEC’s 5 percent de minimis exception: Argentina (1,481), Australia (196), Chile (218), China (910), Colombia (1,164), Ecuador (406), Egypt (700), Germany (91), India (321), Indonesia (8), Ireland (469), Israel (740), Italy (1), Japan (36), New Zealand (14), Peru (35), Philippines (473), Russia (1), Singapore (4), South Africa (8), Switzerland (37), Taiwan (8), Thailand (48), United Arab Emirates (180), United Kingdom (11), Uruguay (8), and Uzbekistan (6);</w:t>
      </w:r>
    </w:p>
    <w:p>
      <w:pPr>
        <w:spacing w:after="0" w:line="39" w:lineRule="exact"/>
        <w:rPr>
          <w:rFonts w:ascii="Arial" w:cs="Arial" w:eastAsia="Arial" w:hAnsi="Arial"/>
          <w:sz w:val="20"/>
          <w:szCs w:val="20"/>
          <w:color w:val="3E3935"/>
        </w:rPr>
      </w:pPr>
    </w:p>
    <w:p>
      <w:pPr>
        <w:ind w:left="1200" w:hanging="544"/>
        <w:spacing w:after="0"/>
        <w:tabs>
          <w:tab w:leader="none" w:pos="1200" w:val="left"/>
        </w:tabs>
        <w:numPr>
          <w:ilvl w:val="0"/>
          <w:numId w:val="135"/>
        </w:numPr>
        <w:rPr>
          <w:rFonts w:ascii="Arial" w:cs="Arial" w:eastAsia="Arial" w:hAnsi="Arial"/>
          <w:sz w:val="20"/>
          <w:szCs w:val="20"/>
          <w:color w:val="3E3935"/>
        </w:rPr>
      </w:pPr>
      <w:r>
        <w:rPr>
          <w:rFonts w:ascii="Arial" w:cs="Arial" w:eastAsia="Arial" w:hAnsi="Arial"/>
          <w:sz w:val="20"/>
          <w:szCs w:val="20"/>
          <w:color w:val="3E3935"/>
        </w:rPr>
        <w:t>Calculated year-to-date payroll as of November 1, 2022, for all employees excluding the CEO;</w:t>
      </w:r>
    </w:p>
    <w:p>
      <w:pPr>
        <w:spacing w:after="0" w:line="67" w:lineRule="exact"/>
        <w:rPr>
          <w:rFonts w:ascii="Arial" w:cs="Arial" w:eastAsia="Arial" w:hAnsi="Arial"/>
          <w:sz w:val="20"/>
          <w:szCs w:val="20"/>
          <w:color w:val="3E3935"/>
        </w:rPr>
      </w:pPr>
    </w:p>
    <w:p>
      <w:pPr>
        <w:ind w:left="1200" w:hanging="544"/>
        <w:spacing w:after="0" w:line="257" w:lineRule="auto"/>
        <w:tabs>
          <w:tab w:leader="none" w:pos="1200" w:val="left"/>
        </w:tabs>
        <w:numPr>
          <w:ilvl w:val="0"/>
          <w:numId w:val="135"/>
        </w:numPr>
        <w:rPr>
          <w:rFonts w:ascii="Arial" w:cs="Arial" w:eastAsia="Arial" w:hAnsi="Arial"/>
          <w:sz w:val="20"/>
          <w:szCs w:val="20"/>
          <w:color w:val="3E3935"/>
        </w:rPr>
      </w:pPr>
      <w:r>
        <w:rPr>
          <w:rFonts w:ascii="Arial" w:cs="Arial" w:eastAsia="Arial" w:hAnsi="Arial"/>
          <w:sz w:val="20"/>
          <w:szCs w:val="20"/>
          <w:color w:val="3E3935"/>
        </w:rPr>
        <w:t>Identified the middle 51 employees using year-to-date payroll converted to U.S. dollars as a consistently applied compensation measure;</w:t>
      </w:r>
    </w:p>
    <w:p>
      <w:pPr>
        <w:spacing w:after="0" w:line="20" w:lineRule="exact"/>
        <w:rPr>
          <w:rFonts w:ascii="Arial" w:cs="Arial" w:eastAsia="Arial" w:hAnsi="Arial"/>
          <w:sz w:val="20"/>
          <w:szCs w:val="20"/>
          <w:color w:val="3E3935"/>
        </w:rPr>
      </w:pPr>
    </w:p>
    <w:p>
      <w:pPr>
        <w:ind w:left="1200" w:hanging="544"/>
        <w:spacing w:after="0" w:line="257" w:lineRule="auto"/>
        <w:tabs>
          <w:tab w:leader="none" w:pos="1200" w:val="left"/>
        </w:tabs>
        <w:numPr>
          <w:ilvl w:val="0"/>
          <w:numId w:val="135"/>
        </w:numPr>
        <w:rPr>
          <w:rFonts w:ascii="Arial" w:cs="Arial" w:eastAsia="Arial" w:hAnsi="Arial"/>
          <w:sz w:val="20"/>
          <w:szCs w:val="20"/>
          <w:color w:val="3E3935"/>
        </w:rPr>
      </w:pPr>
      <w:r>
        <w:rPr>
          <w:rFonts w:ascii="Arial" w:cs="Arial" w:eastAsia="Arial" w:hAnsi="Arial"/>
          <w:sz w:val="20"/>
          <w:szCs w:val="20"/>
          <w:color w:val="3E3935"/>
        </w:rPr>
        <w:t>Calculated annual total compensation for the 51 middle employees based on the same SEC requirements that apply to determine total compensation in the Summary Compensation Table; and</w:t>
      </w:r>
    </w:p>
    <w:p>
      <w:pPr>
        <w:spacing w:after="0" w:line="20" w:lineRule="exact"/>
        <w:rPr>
          <w:rFonts w:ascii="Arial" w:cs="Arial" w:eastAsia="Arial" w:hAnsi="Arial"/>
          <w:sz w:val="20"/>
          <w:szCs w:val="20"/>
          <w:color w:val="3E3935"/>
        </w:rPr>
      </w:pPr>
    </w:p>
    <w:p>
      <w:pPr>
        <w:ind w:left="1200" w:hanging="544"/>
        <w:spacing w:after="0"/>
        <w:tabs>
          <w:tab w:leader="none" w:pos="1200" w:val="left"/>
        </w:tabs>
        <w:numPr>
          <w:ilvl w:val="0"/>
          <w:numId w:val="135"/>
        </w:numPr>
        <w:rPr>
          <w:rFonts w:ascii="Arial" w:cs="Arial" w:eastAsia="Arial" w:hAnsi="Arial"/>
          <w:sz w:val="20"/>
          <w:szCs w:val="20"/>
          <w:color w:val="3E3935"/>
        </w:rPr>
      </w:pPr>
      <w:r>
        <w:rPr>
          <w:rFonts w:ascii="Arial" w:cs="Arial" w:eastAsia="Arial" w:hAnsi="Arial"/>
          <w:sz w:val="20"/>
          <w:szCs w:val="20"/>
          <w:color w:val="3E3935"/>
        </w:rPr>
        <w:t>Re-ranked all middle 51 employees and selected the median employee.</w:t>
      </w:r>
    </w:p>
    <w:p>
      <w:pPr>
        <w:spacing w:after="0" w:line="121" w:lineRule="exact"/>
        <w:rPr>
          <w:sz w:val="20"/>
          <w:szCs w:val="20"/>
          <w:color w:val="auto"/>
        </w:rPr>
      </w:pPr>
    </w:p>
    <w:p>
      <w:pPr>
        <w:jc w:val="both"/>
        <w:ind w:left="120"/>
        <w:spacing w:after="0" w:line="237" w:lineRule="auto"/>
        <w:rPr>
          <w:sz w:val="20"/>
          <w:szCs w:val="20"/>
          <w:color w:val="auto"/>
        </w:rPr>
      </w:pPr>
      <w:r>
        <w:rPr>
          <w:rFonts w:ascii="Arial" w:cs="Arial" w:eastAsia="Arial" w:hAnsi="Arial"/>
          <w:sz w:val="20"/>
          <w:szCs w:val="20"/>
          <w:color w:val="3E3935"/>
        </w:rPr>
        <w:t>At GM, we believe that fair and equitable pay is an essential element of any successful organization, and we invest in our employees with market-competitive pay and benefits. We compensate our employees to create alignment with the short-term and long-term goals tied to the success of the Company and with our vision of zero crashes, zero emissions, and zero congestion.</w:t>
      </w:r>
    </w:p>
    <w:p>
      <w:pPr>
        <w:spacing w:after="0" w:line="104" w:lineRule="exact"/>
        <w:rPr>
          <w:sz w:val="20"/>
          <w:szCs w:val="20"/>
          <w:color w:val="auto"/>
        </w:rPr>
      </w:pPr>
    </w:p>
    <w:p>
      <w:pPr>
        <w:jc w:val="both"/>
        <w:ind w:left="120"/>
        <w:spacing w:after="0" w:line="257" w:lineRule="auto"/>
        <w:rPr>
          <w:sz w:val="20"/>
          <w:szCs w:val="20"/>
          <w:color w:val="auto"/>
        </w:rPr>
      </w:pPr>
      <w:r>
        <w:rPr>
          <w:rFonts w:ascii="Arial" w:cs="Arial" w:eastAsia="Arial" w:hAnsi="Arial"/>
          <w:sz w:val="20"/>
          <w:szCs w:val="20"/>
          <w:color w:val="3E3935"/>
        </w:rPr>
        <w:t>Based on our calculation, we can reasonably estimate that our median employee earned $80,034 in 2022. The ratio of our CEO’s compensation to that of our median employee is estimated to be 362:1.</w:t>
      </w:r>
    </w:p>
    <w:p>
      <w:pPr>
        <w:spacing w:after="0" w:line="88" w:lineRule="exact"/>
        <w:rPr>
          <w:sz w:val="20"/>
          <w:szCs w:val="20"/>
          <w:color w:val="auto"/>
        </w:rPr>
      </w:pPr>
    </w:p>
    <w:p>
      <w:pPr>
        <w:jc w:val="both"/>
        <w:ind w:left="120"/>
        <w:spacing w:after="0" w:line="233" w:lineRule="auto"/>
        <w:rPr>
          <w:sz w:val="20"/>
          <w:szCs w:val="20"/>
          <w:color w:val="auto"/>
        </w:rPr>
      </w:pPr>
      <w:r>
        <w:rPr>
          <w:rFonts w:ascii="Arial" w:cs="Arial" w:eastAsia="Arial" w:hAnsi="Arial"/>
          <w:sz w:val="20"/>
          <w:szCs w:val="20"/>
          <w:color w:val="3E3935"/>
        </w:rPr>
        <w:t>The rules outlined by the SEC for identifying the median employee and calculating the pay ratio based on that employee’s annual total compensation allow companies to adopt a variety of methodologies to calculate the median employee, excluding up to 5 percent of the workforce, and make reasonable estimates and assumptions that may impact their employee populations. As a result, the pay ratio reported by other companies may not be comparable to the pay ratio reported above. Other companies have different employee populations, compensation practices, and the ability to utilize different methodologies, exclusions, estimates, and assumptions in calculating their own pay ratios.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4"/>
          <w:szCs w:val="14"/>
          <w:color w:val="0071CE"/>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wp:posOffset>
            </wp:positionH>
            <wp:positionV relativeFrom="paragraph">
              <wp:posOffset>-95885</wp:posOffset>
            </wp:positionV>
            <wp:extent cx="5983605" cy="10287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5983605" cy="102870"/>
                    </a:xfrm>
                    <a:prstGeom prst="rect">
                      <a:avLst/>
                    </a:prstGeom>
                    <a:noFill/>
                  </pic:spPr>
                </pic:pic>
              </a:graphicData>
            </a:graphic>
          </wp:anchor>
        </w:drawing>
      </w:r>
    </w:p>
    <w:p>
      <w:pPr>
        <w:sectPr>
          <w:pgSz w:w="11900" w:h="16838" w:orient="portrait"/>
          <w:cols w:equalWidth="0" w:num="1">
            <w:col w:w="11120"/>
          </w:cols>
          <w:pgMar w:left="320" w:top="482" w:right="45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ectPr>
          <w:pgSz w:w="11900" w:h="16838" w:orient="portrait"/>
          <w:cols w:equalWidth="0" w:num="1">
            <w:col w:w="10139"/>
          </w:cols>
          <w:pgMar w:left="320" w:top="482" w:right="1440" w:bottom="1440" w:gutter="0" w:footer="0" w:header="0"/>
        </w:sectPr>
      </w:pPr>
    </w:p>
    <w:bookmarkStart w:id="91" w:name="page92"/>
    <w:bookmarkEnd w:id="91"/>
    <w:p>
      <w:pPr>
        <w:ind w:left="4"/>
        <w:spacing w:after="0"/>
        <w:rPr>
          <w:sz w:val="20"/>
          <w:szCs w:val="20"/>
          <w:color w:val="auto"/>
        </w:rPr>
      </w:pPr>
      <w:r>
        <w:rPr>
          <w:rFonts w:ascii="Arial" w:cs="Arial" w:eastAsia="Arial" w:hAnsi="Arial"/>
          <w:sz w:val="29"/>
          <w:szCs w:val="29"/>
          <w:color w:val="3E3935"/>
        </w:rPr>
        <w:t>Pay Versus Performance</w:t>
      </w:r>
    </w:p>
    <w:p>
      <w:pPr>
        <w:spacing w:after="0" w:line="163" w:lineRule="exact"/>
        <w:rPr>
          <w:sz w:val="20"/>
          <w:szCs w:val="20"/>
          <w:color w:val="auto"/>
        </w:rPr>
      </w:pPr>
    </w:p>
    <w:p>
      <w:pPr>
        <w:jc w:val="both"/>
        <w:ind w:left="4"/>
        <w:spacing w:after="0" w:line="233" w:lineRule="auto"/>
        <w:rPr>
          <w:sz w:val="20"/>
          <w:szCs w:val="20"/>
          <w:color w:val="auto"/>
        </w:rPr>
      </w:pPr>
      <w:r>
        <w:rPr>
          <w:rFonts w:ascii="Arial" w:cs="Arial" w:eastAsia="Arial" w:hAnsi="Arial"/>
          <w:sz w:val="20"/>
          <w:szCs w:val="20"/>
          <w:color w:val="3E3935"/>
        </w:rPr>
        <w:t>Pursuant to Item 402(v) of Regulation S-K, we are providing the following information about the relationship between CAP for the Company’s CEO and non-CEO NEOs and certain aspects of the financial performance of the Company. The CAP values disclosed do not reflect the actual amount of compensation paid to our NEOs during the applicable year. The Compensation Committee does not utilize CAP as a basis for making compensation decisions. For information regarding compensation decisions made by our Compensation Committee, refer to the “Compensation Discussion and Analysis” section beginning on page 51.</w:t>
      </w:r>
    </w:p>
    <w:p>
      <w:pPr>
        <w:spacing w:after="0" w:line="201" w:lineRule="exact"/>
        <w:rPr>
          <w:sz w:val="20"/>
          <w:szCs w:val="20"/>
          <w:color w:val="auto"/>
        </w:rPr>
      </w:pPr>
    </w:p>
    <w:tbl>
      <w:tblPr>
        <w:tblLayout w:type="fixed"/>
        <w:tblInd w:w="4" w:type="dxa"/>
        <w:tblCellMar>
          <w:top w:w="0" w:type="dxa"/>
          <w:left w:w="0" w:type="dxa"/>
          <w:bottom w:w="0" w:type="dxa"/>
          <w:right w:w="0" w:type="dxa"/>
        </w:tblCellMar>
      </w:tblPr>
      <w:tr>
        <w:trPr>
          <w:trHeight w:val="180"/>
        </w:trPr>
        <w:tc>
          <w:tcPr>
            <w:tcW w:w="2060" w:type="dxa"/>
            <w:vAlign w:val="bottom"/>
            <w:tcBorders>
              <w:top w:val="single" w:sz="8" w:color="00C1DE"/>
            </w:tcBorders>
          </w:tcPr>
          <w:p>
            <w:pPr>
              <w:spacing w:after="0"/>
              <w:rPr>
                <w:sz w:val="15"/>
                <w:szCs w:val="15"/>
                <w:color w:val="auto"/>
              </w:rPr>
            </w:pPr>
          </w:p>
        </w:tc>
        <w:tc>
          <w:tcPr>
            <w:tcW w:w="1180" w:type="dxa"/>
            <w:vAlign w:val="bottom"/>
            <w:tcBorders>
              <w:top w:val="single" w:sz="8" w:color="00C1DE"/>
            </w:tcBorders>
          </w:tcPr>
          <w:p>
            <w:pPr>
              <w:spacing w:after="0"/>
              <w:rPr>
                <w:sz w:val="15"/>
                <w:szCs w:val="15"/>
                <w:color w:val="auto"/>
              </w:rPr>
            </w:pPr>
          </w:p>
        </w:tc>
        <w:tc>
          <w:tcPr>
            <w:tcW w:w="1220" w:type="dxa"/>
            <w:vAlign w:val="bottom"/>
            <w:tcBorders>
              <w:top w:val="single" w:sz="8" w:color="00C1DE"/>
            </w:tcBorders>
          </w:tcPr>
          <w:p>
            <w:pPr>
              <w:spacing w:after="0"/>
              <w:rPr>
                <w:sz w:val="15"/>
                <w:szCs w:val="15"/>
                <w:color w:val="auto"/>
              </w:rPr>
            </w:pPr>
          </w:p>
        </w:tc>
        <w:tc>
          <w:tcPr>
            <w:tcW w:w="1200" w:type="dxa"/>
            <w:vAlign w:val="bottom"/>
            <w:tcBorders>
              <w:top w:val="single" w:sz="8" w:color="00C1DE"/>
            </w:tcBorders>
          </w:tcPr>
          <w:p>
            <w:pPr>
              <w:jc w:val="right"/>
              <w:ind w:right="43"/>
              <w:spacing w:after="0"/>
              <w:rPr>
                <w:sz w:val="20"/>
                <w:szCs w:val="20"/>
                <w:color w:val="auto"/>
              </w:rPr>
            </w:pPr>
            <w:r>
              <w:rPr>
                <w:rFonts w:ascii="Arial" w:cs="Arial" w:eastAsia="Arial" w:hAnsi="Arial"/>
                <w:sz w:val="14"/>
                <w:szCs w:val="14"/>
                <w:b w:val="1"/>
                <w:bCs w:val="1"/>
                <w:color w:val="00C1DE"/>
              </w:rPr>
              <w:t>Average</w:t>
            </w:r>
          </w:p>
        </w:tc>
        <w:tc>
          <w:tcPr>
            <w:tcW w:w="1320" w:type="dxa"/>
            <w:vAlign w:val="bottom"/>
            <w:tcBorders>
              <w:top w:val="single" w:sz="8" w:color="00C1DE"/>
            </w:tcBorders>
          </w:tcPr>
          <w:p>
            <w:pPr>
              <w:spacing w:after="0"/>
              <w:rPr>
                <w:sz w:val="15"/>
                <w:szCs w:val="15"/>
                <w:color w:val="auto"/>
              </w:rPr>
            </w:pPr>
          </w:p>
        </w:tc>
        <w:tc>
          <w:tcPr>
            <w:tcW w:w="2320" w:type="dxa"/>
            <w:vAlign w:val="bottom"/>
            <w:tcBorders>
              <w:top w:val="single" w:sz="8" w:color="00C1DE"/>
            </w:tcBorders>
            <w:gridSpan w:val="3"/>
            <w:vMerge w:val="restart"/>
          </w:tcPr>
          <w:p>
            <w:pPr>
              <w:jc w:val="right"/>
              <w:ind w:right="160"/>
              <w:spacing w:after="0"/>
              <w:rPr>
                <w:sz w:val="20"/>
                <w:szCs w:val="20"/>
                <w:color w:val="auto"/>
              </w:rPr>
            </w:pPr>
            <w:r>
              <w:rPr>
                <w:rFonts w:ascii="Arial" w:cs="Arial" w:eastAsia="Arial" w:hAnsi="Arial"/>
                <w:sz w:val="14"/>
                <w:szCs w:val="14"/>
                <w:b w:val="1"/>
                <w:bCs w:val="1"/>
                <w:color w:val="00C1DE"/>
              </w:rPr>
              <w:t>Value of Initial Fixed $100</w:t>
            </w:r>
          </w:p>
        </w:tc>
        <w:tc>
          <w:tcPr>
            <w:tcW w:w="880" w:type="dxa"/>
            <w:vAlign w:val="bottom"/>
            <w:tcBorders>
              <w:top w:val="single" w:sz="8" w:color="00C1DE"/>
            </w:tcBorders>
          </w:tcPr>
          <w:p>
            <w:pPr>
              <w:spacing w:after="0"/>
              <w:rPr>
                <w:sz w:val="15"/>
                <w:szCs w:val="15"/>
                <w:color w:val="auto"/>
              </w:rPr>
            </w:pPr>
          </w:p>
        </w:tc>
        <w:tc>
          <w:tcPr>
            <w:tcW w:w="840" w:type="dxa"/>
            <w:vAlign w:val="bottom"/>
            <w:tcBorders>
              <w:top w:val="single" w:sz="8" w:color="00C1DE"/>
            </w:tcBorders>
          </w:tcPr>
          <w:p>
            <w:pPr>
              <w:spacing w:after="0"/>
              <w:rPr>
                <w:sz w:val="15"/>
                <w:szCs w:val="15"/>
                <w:color w:val="auto"/>
              </w:rPr>
            </w:pPr>
          </w:p>
        </w:tc>
        <w:tc>
          <w:tcPr>
            <w:tcW w:w="0" w:type="dxa"/>
            <w:vAlign w:val="bottom"/>
          </w:tcPr>
          <w:p>
            <w:pPr>
              <w:spacing w:after="0"/>
              <w:rPr>
                <w:sz w:val="1"/>
                <w:szCs w:val="1"/>
                <w:color w:val="auto"/>
              </w:rPr>
            </w:pPr>
          </w:p>
        </w:tc>
      </w:tr>
      <w:tr>
        <w:trPr>
          <w:trHeight w:val="144"/>
        </w:trPr>
        <w:tc>
          <w:tcPr>
            <w:tcW w:w="20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200" w:type="dxa"/>
            <w:vAlign w:val="bottom"/>
          </w:tcPr>
          <w:p>
            <w:pPr>
              <w:jc w:val="right"/>
              <w:ind w:right="43"/>
              <w:spacing w:after="0" w:line="145" w:lineRule="exact"/>
              <w:rPr>
                <w:sz w:val="20"/>
                <w:szCs w:val="20"/>
                <w:color w:val="auto"/>
              </w:rPr>
            </w:pPr>
            <w:r>
              <w:rPr>
                <w:rFonts w:ascii="Arial" w:cs="Arial" w:eastAsia="Arial" w:hAnsi="Arial"/>
                <w:sz w:val="14"/>
                <w:szCs w:val="14"/>
                <w:b w:val="1"/>
                <w:bCs w:val="1"/>
                <w:color w:val="00C1DE"/>
              </w:rPr>
              <w:t>Summary</w:t>
            </w:r>
          </w:p>
        </w:tc>
        <w:tc>
          <w:tcPr>
            <w:tcW w:w="1320" w:type="dxa"/>
            <w:vAlign w:val="bottom"/>
          </w:tcPr>
          <w:p>
            <w:pPr>
              <w:spacing w:after="0"/>
              <w:rPr>
                <w:sz w:val="12"/>
                <w:szCs w:val="12"/>
                <w:color w:val="auto"/>
              </w:rPr>
            </w:pPr>
          </w:p>
        </w:tc>
        <w:tc>
          <w:tcPr>
            <w:tcW w:w="2320" w:type="dxa"/>
            <w:vAlign w:val="bottom"/>
            <w:gridSpan w:val="3"/>
            <w:vMerge w:val="continue"/>
          </w:tcPr>
          <w:p>
            <w:pPr>
              <w:spacing w:after="0"/>
              <w:rPr>
                <w:sz w:val="12"/>
                <w:szCs w:val="12"/>
                <w:color w:val="auto"/>
              </w:rPr>
            </w:pPr>
          </w:p>
        </w:tc>
        <w:tc>
          <w:tcPr>
            <w:tcW w:w="8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2060" w:type="dxa"/>
            <w:vAlign w:val="bottom"/>
          </w:tcPr>
          <w:p>
            <w:pPr>
              <w:spacing w:after="0"/>
              <w:rPr>
                <w:sz w:val="15"/>
                <w:szCs w:val="15"/>
                <w:color w:val="auto"/>
              </w:rPr>
            </w:pPr>
          </w:p>
        </w:tc>
        <w:tc>
          <w:tcPr>
            <w:tcW w:w="1180" w:type="dxa"/>
            <w:vAlign w:val="bottom"/>
          </w:tcPr>
          <w:p>
            <w:pPr>
              <w:jc w:val="right"/>
              <w:ind w:right="41"/>
              <w:spacing w:after="0"/>
              <w:rPr>
                <w:sz w:val="20"/>
                <w:szCs w:val="20"/>
                <w:color w:val="auto"/>
              </w:rPr>
            </w:pPr>
            <w:r>
              <w:rPr>
                <w:rFonts w:ascii="Arial" w:cs="Arial" w:eastAsia="Arial" w:hAnsi="Arial"/>
                <w:sz w:val="14"/>
                <w:szCs w:val="14"/>
                <w:b w:val="1"/>
                <w:bCs w:val="1"/>
                <w:color w:val="00C1DE"/>
              </w:rPr>
              <w:t>Summary</w:t>
            </w:r>
          </w:p>
        </w:tc>
        <w:tc>
          <w:tcPr>
            <w:tcW w:w="1220" w:type="dxa"/>
            <w:vAlign w:val="bottom"/>
          </w:tcPr>
          <w:p>
            <w:pPr>
              <w:spacing w:after="0"/>
              <w:rPr>
                <w:sz w:val="15"/>
                <w:szCs w:val="15"/>
                <w:color w:val="auto"/>
              </w:rPr>
            </w:pPr>
          </w:p>
        </w:tc>
        <w:tc>
          <w:tcPr>
            <w:tcW w:w="1200" w:type="dxa"/>
            <w:vAlign w:val="bottom"/>
          </w:tcPr>
          <w:p>
            <w:pPr>
              <w:jc w:val="right"/>
              <w:ind w:right="43"/>
              <w:spacing w:after="0"/>
              <w:rPr>
                <w:sz w:val="20"/>
                <w:szCs w:val="20"/>
                <w:color w:val="auto"/>
              </w:rPr>
            </w:pPr>
            <w:r>
              <w:rPr>
                <w:rFonts w:ascii="Arial" w:cs="Arial" w:eastAsia="Arial" w:hAnsi="Arial"/>
                <w:sz w:val="14"/>
                <w:szCs w:val="14"/>
                <w:b w:val="1"/>
                <w:bCs w:val="1"/>
                <w:color w:val="00C1DE"/>
              </w:rPr>
              <w:t>Compensation</w:t>
            </w:r>
          </w:p>
        </w:tc>
        <w:tc>
          <w:tcPr>
            <w:tcW w:w="1320" w:type="dxa"/>
            <w:vAlign w:val="bottom"/>
          </w:tcPr>
          <w:p>
            <w:pPr>
              <w:jc w:val="right"/>
              <w:ind w:right="201"/>
              <w:spacing w:after="0"/>
              <w:rPr>
                <w:sz w:val="20"/>
                <w:szCs w:val="20"/>
                <w:color w:val="auto"/>
              </w:rPr>
            </w:pPr>
            <w:r>
              <w:rPr>
                <w:rFonts w:ascii="Arial" w:cs="Arial" w:eastAsia="Arial" w:hAnsi="Arial"/>
                <w:sz w:val="14"/>
                <w:szCs w:val="14"/>
                <w:b w:val="1"/>
                <w:bCs w:val="1"/>
                <w:color w:val="00C1DE"/>
              </w:rPr>
              <w:t>Average</w:t>
            </w:r>
          </w:p>
        </w:tc>
        <w:tc>
          <w:tcPr>
            <w:tcW w:w="232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00C1DE"/>
              </w:rPr>
              <w:t>Investment Based On:</w:t>
            </w:r>
          </w:p>
        </w:tc>
        <w:tc>
          <w:tcPr>
            <w:tcW w:w="8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2060" w:type="dxa"/>
            <w:vAlign w:val="bottom"/>
          </w:tcPr>
          <w:p>
            <w:pPr>
              <w:spacing w:after="0" w:line="20" w:lineRule="exact"/>
              <w:rPr>
                <w:sz w:val="1"/>
                <w:szCs w:val="1"/>
                <w:color w:val="auto"/>
              </w:rPr>
            </w:pPr>
          </w:p>
        </w:tc>
        <w:tc>
          <w:tcPr>
            <w:tcW w:w="1180" w:type="dxa"/>
            <w:vAlign w:val="bottom"/>
            <w:vMerge w:val="restart"/>
          </w:tcPr>
          <w:p>
            <w:pPr>
              <w:jc w:val="right"/>
              <w:ind w:right="41"/>
              <w:spacing w:after="0"/>
              <w:rPr>
                <w:sz w:val="20"/>
                <w:szCs w:val="20"/>
                <w:color w:val="auto"/>
              </w:rPr>
            </w:pPr>
            <w:r>
              <w:rPr>
                <w:rFonts w:ascii="Arial" w:cs="Arial" w:eastAsia="Arial" w:hAnsi="Arial"/>
                <w:sz w:val="14"/>
                <w:szCs w:val="14"/>
                <w:b w:val="1"/>
                <w:bCs w:val="1"/>
                <w:color w:val="00C1DE"/>
              </w:rPr>
              <w:t>Compensation</w:t>
            </w:r>
          </w:p>
        </w:tc>
        <w:tc>
          <w:tcPr>
            <w:tcW w:w="1220" w:type="dxa"/>
            <w:vAlign w:val="bottom"/>
          </w:tcPr>
          <w:p>
            <w:pPr>
              <w:spacing w:after="0" w:line="20" w:lineRule="exact"/>
              <w:rPr>
                <w:sz w:val="1"/>
                <w:szCs w:val="1"/>
                <w:color w:val="auto"/>
              </w:rPr>
            </w:pPr>
          </w:p>
        </w:tc>
        <w:tc>
          <w:tcPr>
            <w:tcW w:w="1200" w:type="dxa"/>
            <w:vAlign w:val="bottom"/>
            <w:vMerge w:val="restart"/>
          </w:tcPr>
          <w:p>
            <w:pPr>
              <w:jc w:val="right"/>
              <w:ind w:right="43"/>
              <w:spacing w:after="0"/>
              <w:rPr>
                <w:sz w:val="20"/>
                <w:szCs w:val="20"/>
                <w:color w:val="auto"/>
              </w:rPr>
            </w:pPr>
            <w:r>
              <w:rPr>
                <w:rFonts w:ascii="Arial" w:cs="Arial" w:eastAsia="Arial" w:hAnsi="Arial"/>
                <w:sz w:val="14"/>
                <w:szCs w:val="14"/>
                <w:b w:val="1"/>
                <w:bCs w:val="1"/>
                <w:color w:val="00C1DE"/>
              </w:rPr>
              <w:t>Table Total</w:t>
            </w:r>
          </w:p>
        </w:tc>
        <w:tc>
          <w:tcPr>
            <w:tcW w:w="1320" w:type="dxa"/>
            <w:vAlign w:val="bottom"/>
            <w:vMerge w:val="restart"/>
          </w:tcPr>
          <w:p>
            <w:pPr>
              <w:jc w:val="right"/>
              <w:ind w:right="201"/>
              <w:spacing w:after="0"/>
              <w:rPr>
                <w:sz w:val="20"/>
                <w:szCs w:val="20"/>
                <w:color w:val="auto"/>
              </w:rPr>
            </w:pPr>
            <w:r>
              <w:rPr>
                <w:rFonts w:ascii="Arial" w:cs="Arial" w:eastAsia="Arial" w:hAnsi="Arial"/>
                <w:sz w:val="14"/>
                <w:szCs w:val="14"/>
                <w:b w:val="1"/>
                <w:bCs w:val="1"/>
                <w:color w:val="00C1DE"/>
              </w:rPr>
              <w:t>CAP</w:t>
            </w:r>
          </w:p>
        </w:tc>
        <w:tc>
          <w:tcPr>
            <w:tcW w:w="1120" w:type="dxa"/>
            <w:vAlign w:val="bottom"/>
            <w:tcBorders>
              <w:bottom w:val="single" w:sz="8" w:color="00C1DE"/>
            </w:tcBorders>
          </w:tcPr>
          <w:p>
            <w:pPr>
              <w:spacing w:after="0" w:line="20" w:lineRule="exact"/>
              <w:rPr>
                <w:sz w:val="1"/>
                <w:szCs w:val="1"/>
                <w:color w:val="auto"/>
              </w:rPr>
            </w:pPr>
          </w:p>
        </w:tc>
        <w:tc>
          <w:tcPr>
            <w:tcW w:w="1040" w:type="dxa"/>
            <w:vAlign w:val="bottom"/>
            <w:tcBorders>
              <w:bottom w:val="single" w:sz="8" w:color="00C1D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19"/>
        </w:trPr>
        <w:tc>
          <w:tcPr>
            <w:tcW w:w="2060" w:type="dxa"/>
            <w:vAlign w:val="bottom"/>
          </w:tcPr>
          <w:p>
            <w:pPr>
              <w:spacing w:after="0"/>
              <w:rPr>
                <w:sz w:val="10"/>
                <w:szCs w:val="10"/>
                <w:color w:val="auto"/>
              </w:rPr>
            </w:pPr>
          </w:p>
        </w:tc>
        <w:tc>
          <w:tcPr>
            <w:tcW w:w="1180" w:type="dxa"/>
            <w:vAlign w:val="bottom"/>
            <w:vMerge w:val="continue"/>
          </w:tcPr>
          <w:p>
            <w:pPr>
              <w:spacing w:after="0"/>
              <w:rPr>
                <w:sz w:val="10"/>
                <w:szCs w:val="10"/>
                <w:color w:val="auto"/>
              </w:rPr>
            </w:pPr>
          </w:p>
        </w:tc>
        <w:tc>
          <w:tcPr>
            <w:tcW w:w="1220" w:type="dxa"/>
            <w:vAlign w:val="bottom"/>
          </w:tcPr>
          <w:p>
            <w:pPr>
              <w:spacing w:after="0"/>
              <w:rPr>
                <w:sz w:val="10"/>
                <w:szCs w:val="10"/>
                <w:color w:val="auto"/>
              </w:rPr>
            </w:pPr>
          </w:p>
        </w:tc>
        <w:tc>
          <w:tcPr>
            <w:tcW w:w="120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2060" w:type="dxa"/>
            <w:vAlign w:val="bottom"/>
          </w:tcPr>
          <w:p>
            <w:pPr>
              <w:spacing w:after="0"/>
              <w:rPr>
                <w:sz w:val="14"/>
                <w:szCs w:val="14"/>
                <w:color w:val="auto"/>
              </w:rPr>
            </w:pPr>
          </w:p>
        </w:tc>
        <w:tc>
          <w:tcPr>
            <w:tcW w:w="1180" w:type="dxa"/>
            <w:vAlign w:val="bottom"/>
          </w:tcPr>
          <w:p>
            <w:pPr>
              <w:jc w:val="right"/>
              <w:ind w:right="41"/>
              <w:spacing w:after="0"/>
              <w:rPr>
                <w:sz w:val="20"/>
                <w:szCs w:val="20"/>
                <w:color w:val="auto"/>
              </w:rPr>
            </w:pPr>
            <w:r>
              <w:rPr>
                <w:rFonts w:ascii="Arial" w:cs="Arial" w:eastAsia="Arial" w:hAnsi="Arial"/>
                <w:sz w:val="14"/>
                <w:szCs w:val="14"/>
                <w:b w:val="1"/>
                <w:bCs w:val="1"/>
                <w:color w:val="00C1DE"/>
              </w:rPr>
              <w:t>Table Total</w:t>
            </w:r>
          </w:p>
        </w:tc>
        <w:tc>
          <w:tcPr>
            <w:tcW w:w="1220" w:type="dxa"/>
            <w:vAlign w:val="bottom"/>
          </w:tcPr>
          <w:p>
            <w:pPr>
              <w:jc w:val="right"/>
              <w:spacing w:after="0"/>
              <w:rPr>
                <w:sz w:val="20"/>
                <w:szCs w:val="20"/>
                <w:color w:val="auto"/>
              </w:rPr>
            </w:pPr>
            <w:r>
              <w:rPr>
                <w:rFonts w:ascii="Arial" w:cs="Arial" w:eastAsia="Arial" w:hAnsi="Arial"/>
                <w:sz w:val="14"/>
                <w:szCs w:val="14"/>
                <w:b w:val="1"/>
                <w:bCs w:val="1"/>
                <w:color w:val="00C1DE"/>
              </w:rPr>
              <w:t>CAP</w:t>
            </w:r>
          </w:p>
        </w:tc>
        <w:tc>
          <w:tcPr>
            <w:tcW w:w="1200" w:type="dxa"/>
            <w:vAlign w:val="bottom"/>
          </w:tcPr>
          <w:p>
            <w:pPr>
              <w:jc w:val="right"/>
              <w:ind w:right="43"/>
              <w:spacing w:after="0"/>
              <w:rPr>
                <w:sz w:val="20"/>
                <w:szCs w:val="20"/>
                <w:color w:val="auto"/>
              </w:rPr>
            </w:pPr>
            <w:r>
              <w:rPr>
                <w:rFonts w:ascii="Arial" w:cs="Arial" w:eastAsia="Arial" w:hAnsi="Arial"/>
                <w:sz w:val="14"/>
                <w:szCs w:val="14"/>
                <w:b w:val="1"/>
                <w:bCs w:val="1"/>
                <w:color w:val="00C1DE"/>
              </w:rPr>
              <w:t>for Non-CEO</w:t>
            </w:r>
          </w:p>
        </w:tc>
        <w:tc>
          <w:tcPr>
            <w:tcW w:w="1320" w:type="dxa"/>
            <w:vAlign w:val="bottom"/>
          </w:tcPr>
          <w:p>
            <w:pPr>
              <w:jc w:val="right"/>
              <w:ind w:right="201"/>
              <w:spacing w:after="0"/>
              <w:rPr>
                <w:sz w:val="20"/>
                <w:szCs w:val="20"/>
                <w:color w:val="auto"/>
              </w:rPr>
            </w:pPr>
            <w:r>
              <w:rPr>
                <w:rFonts w:ascii="Arial" w:cs="Arial" w:eastAsia="Arial" w:hAnsi="Arial"/>
                <w:sz w:val="14"/>
                <w:szCs w:val="14"/>
                <w:b w:val="1"/>
                <w:bCs w:val="1"/>
                <w:color w:val="00C1DE"/>
              </w:rPr>
              <w:t>to Non-CEO</w:t>
            </w:r>
          </w:p>
        </w:tc>
        <w:tc>
          <w:tcPr>
            <w:tcW w:w="1120" w:type="dxa"/>
            <w:vAlign w:val="bottom"/>
          </w:tcPr>
          <w:p>
            <w:pPr>
              <w:spacing w:after="0"/>
              <w:rPr>
                <w:sz w:val="14"/>
                <w:szCs w:val="14"/>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00C1DE"/>
              </w:rPr>
              <w:t>Peer Group</w:t>
            </w:r>
          </w:p>
        </w:tc>
        <w:tc>
          <w:tcPr>
            <w:tcW w:w="880" w:type="dxa"/>
            <w:vAlign w:val="bottom"/>
          </w:tcPr>
          <w:p>
            <w:pPr>
              <w:jc w:val="right"/>
              <w:spacing w:after="0"/>
              <w:rPr>
                <w:sz w:val="20"/>
                <w:szCs w:val="20"/>
                <w:color w:val="auto"/>
              </w:rPr>
            </w:pPr>
            <w:r>
              <w:rPr>
                <w:rFonts w:ascii="Arial" w:cs="Arial" w:eastAsia="Arial" w:hAnsi="Arial"/>
                <w:sz w:val="14"/>
                <w:szCs w:val="14"/>
                <w:b w:val="1"/>
                <w:bCs w:val="1"/>
                <w:color w:val="00C1DE"/>
              </w:rPr>
              <w:t>Net</w:t>
            </w:r>
          </w:p>
        </w:tc>
        <w:tc>
          <w:tcPr>
            <w:tcW w:w="840" w:type="dxa"/>
            <w:vAlign w:val="bottom"/>
          </w:tcPr>
          <w:p>
            <w:pPr>
              <w:jc w:val="right"/>
              <w:spacing w:after="0"/>
              <w:rPr>
                <w:sz w:val="20"/>
                <w:szCs w:val="20"/>
                <w:color w:val="auto"/>
              </w:rPr>
            </w:pPr>
            <w:r>
              <w:rPr>
                <w:rFonts w:ascii="Arial" w:cs="Arial" w:eastAsia="Arial" w:hAnsi="Arial"/>
                <w:sz w:val="14"/>
                <w:szCs w:val="14"/>
                <w:b w:val="1"/>
                <w:bCs w:val="1"/>
                <w:color w:val="00C1DE"/>
              </w:rPr>
              <w:t>EBIT-</w:t>
            </w:r>
          </w:p>
        </w:tc>
        <w:tc>
          <w:tcPr>
            <w:tcW w:w="0" w:type="dxa"/>
            <w:vAlign w:val="bottom"/>
          </w:tcPr>
          <w:p>
            <w:pPr>
              <w:spacing w:after="0"/>
              <w:rPr>
                <w:sz w:val="1"/>
                <w:szCs w:val="1"/>
                <w:color w:val="auto"/>
              </w:rPr>
            </w:pPr>
          </w:p>
        </w:tc>
      </w:tr>
      <w:tr>
        <w:trPr>
          <w:trHeight w:val="162"/>
        </w:trPr>
        <w:tc>
          <w:tcPr>
            <w:tcW w:w="2060" w:type="dxa"/>
            <w:vAlign w:val="bottom"/>
          </w:tcPr>
          <w:p>
            <w:pPr>
              <w:spacing w:after="0"/>
              <w:rPr>
                <w:sz w:val="14"/>
                <w:szCs w:val="14"/>
                <w:color w:val="auto"/>
              </w:rPr>
            </w:pPr>
          </w:p>
        </w:tc>
        <w:tc>
          <w:tcPr>
            <w:tcW w:w="1180" w:type="dxa"/>
            <w:vAlign w:val="bottom"/>
          </w:tcPr>
          <w:p>
            <w:pPr>
              <w:jc w:val="right"/>
              <w:ind w:right="41"/>
              <w:spacing w:after="0" w:line="162" w:lineRule="exact"/>
              <w:rPr>
                <w:sz w:val="20"/>
                <w:szCs w:val="20"/>
                <w:color w:val="auto"/>
              </w:rPr>
            </w:pPr>
            <w:r>
              <w:rPr>
                <w:rFonts w:ascii="Arial" w:cs="Arial" w:eastAsia="Arial" w:hAnsi="Arial"/>
                <w:sz w:val="14"/>
                <w:szCs w:val="14"/>
                <w:b w:val="1"/>
                <w:bCs w:val="1"/>
                <w:color w:val="00C1DE"/>
              </w:rPr>
              <w:t>for CEO</w:t>
            </w:r>
            <w:r>
              <w:rPr>
                <w:rFonts w:ascii="Arial" w:cs="Arial" w:eastAsia="Arial" w:hAnsi="Arial"/>
                <w:sz w:val="17"/>
                <w:szCs w:val="17"/>
                <w:b w:val="1"/>
                <w:bCs w:val="1"/>
                <w:color w:val="00C1DE"/>
                <w:vertAlign w:val="superscript"/>
              </w:rPr>
              <w:t>(1)</w:t>
            </w:r>
          </w:p>
        </w:tc>
        <w:tc>
          <w:tcPr>
            <w:tcW w:w="1220" w:type="dxa"/>
            <w:vAlign w:val="bottom"/>
          </w:tcPr>
          <w:p>
            <w:pPr>
              <w:jc w:val="right"/>
              <w:spacing w:after="0" w:line="162" w:lineRule="exact"/>
              <w:rPr>
                <w:sz w:val="20"/>
                <w:szCs w:val="20"/>
                <w:color w:val="auto"/>
              </w:rPr>
            </w:pPr>
            <w:r>
              <w:rPr>
                <w:rFonts w:ascii="Arial" w:cs="Arial" w:eastAsia="Arial" w:hAnsi="Arial"/>
                <w:sz w:val="14"/>
                <w:szCs w:val="14"/>
                <w:b w:val="1"/>
                <w:bCs w:val="1"/>
                <w:color w:val="00C1DE"/>
              </w:rPr>
              <w:t>to CEO</w:t>
            </w:r>
            <w:r>
              <w:rPr>
                <w:rFonts w:ascii="Arial" w:cs="Arial" w:eastAsia="Arial" w:hAnsi="Arial"/>
                <w:sz w:val="17"/>
                <w:szCs w:val="17"/>
                <w:b w:val="1"/>
                <w:bCs w:val="1"/>
                <w:color w:val="00C1DE"/>
                <w:vertAlign w:val="superscript"/>
              </w:rPr>
              <w:t>(3)</w:t>
            </w:r>
          </w:p>
        </w:tc>
        <w:tc>
          <w:tcPr>
            <w:tcW w:w="1200" w:type="dxa"/>
            <w:vAlign w:val="bottom"/>
          </w:tcPr>
          <w:p>
            <w:pPr>
              <w:jc w:val="right"/>
              <w:ind w:right="43"/>
              <w:spacing w:after="0" w:line="162" w:lineRule="exact"/>
              <w:rPr>
                <w:sz w:val="20"/>
                <w:szCs w:val="20"/>
                <w:color w:val="auto"/>
              </w:rPr>
            </w:pPr>
            <w:r>
              <w:rPr>
                <w:rFonts w:ascii="Arial" w:cs="Arial" w:eastAsia="Arial" w:hAnsi="Arial"/>
                <w:sz w:val="14"/>
                <w:szCs w:val="14"/>
                <w:b w:val="1"/>
                <w:bCs w:val="1"/>
                <w:color w:val="00C1DE"/>
              </w:rPr>
              <w:t>NEOs</w:t>
            </w:r>
            <w:r>
              <w:rPr>
                <w:rFonts w:ascii="Arial" w:cs="Arial" w:eastAsia="Arial" w:hAnsi="Arial"/>
                <w:sz w:val="17"/>
                <w:szCs w:val="17"/>
                <w:b w:val="1"/>
                <w:bCs w:val="1"/>
                <w:color w:val="00C1DE"/>
                <w:vertAlign w:val="superscript"/>
              </w:rPr>
              <w:t>(2)</w:t>
            </w:r>
          </w:p>
        </w:tc>
        <w:tc>
          <w:tcPr>
            <w:tcW w:w="1320" w:type="dxa"/>
            <w:vAlign w:val="bottom"/>
          </w:tcPr>
          <w:p>
            <w:pPr>
              <w:jc w:val="right"/>
              <w:ind w:right="201"/>
              <w:spacing w:after="0" w:line="162" w:lineRule="exact"/>
              <w:rPr>
                <w:sz w:val="20"/>
                <w:szCs w:val="20"/>
                <w:color w:val="auto"/>
              </w:rPr>
            </w:pPr>
            <w:r>
              <w:rPr>
                <w:rFonts w:ascii="Arial" w:cs="Arial" w:eastAsia="Arial" w:hAnsi="Arial"/>
                <w:sz w:val="14"/>
                <w:szCs w:val="14"/>
                <w:b w:val="1"/>
                <w:bCs w:val="1"/>
                <w:color w:val="00C1DE"/>
              </w:rPr>
              <w:t>NEOs</w:t>
            </w:r>
            <w:r>
              <w:rPr>
                <w:rFonts w:ascii="Arial" w:cs="Arial" w:eastAsia="Arial" w:hAnsi="Arial"/>
                <w:sz w:val="17"/>
                <w:szCs w:val="17"/>
                <w:b w:val="1"/>
                <w:bCs w:val="1"/>
                <w:color w:val="00C1DE"/>
                <w:vertAlign w:val="superscript"/>
              </w:rPr>
              <w:t>(3)</w:t>
            </w:r>
          </w:p>
        </w:tc>
        <w:tc>
          <w:tcPr>
            <w:tcW w:w="1120" w:type="dxa"/>
            <w:vAlign w:val="bottom"/>
          </w:tcPr>
          <w:p>
            <w:pPr>
              <w:jc w:val="right"/>
              <w:ind w:right="185"/>
              <w:spacing w:after="0" w:line="162" w:lineRule="exact"/>
              <w:rPr>
                <w:sz w:val="20"/>
                <w:szCs w:val="20"/>
                <w:color w:val="auto"/>
              </w:rPr>
            </w:pPr>
            <w:r>
              <w:rPr>
                <w:rFonts w:ascii="Arial" w:cs="Arial" w:eastAsia="Arial" w:hAnsi="Arial"/>
                <w:sz w:val="18"/>
                <w:szCs w:val="18"/>
                <w:b w:val="1"/>
                <w:bCs w:val="1"/>
                <w:color w:val="00C1DE"/>
                <w:vertAlign w:val="subscript"/>
              </w:rPr>
              <w:t>TSR</w:t>
            </w:r>
            <w:r>
              <w:rPr>
                <w:rFonts w:ascii="Arial" w:cs="Arial" w:eastAsia="Arial" w:hAnsi="Arial"/>
                <w:sz w:val="7"/>
                <w:szCs w:val="7"/>
                <w:b w:val="1"/>
                <w:bCs w:val="1"/>
                <w:color w:val="00C1DE"/>
              </w:rPr>
              <w:t>(4)</w:t>
            </w:r>
          </w:p>
        </w:tc>
        <w:tc>
          <w:tcPr>
            <w:tcW w:w="1200" w:type="dxa"/>
            <w:vAlign w:val="bottom"/>
            <w:gridSpan w:val="2"/>
          </w:tcPr>
          <w:p>
            <w:pPr>
              <w:jc w:val="right"/>
              <w:ind w:right="160"/>
              <w:spacing w:after="0" w:line="162" w:lineRule="exact"/>
              <w:rPr>
                <w:sz w:val="20"/>
                <w:szCs w:val="20"/>
                <w:color w:val="auto"/>
              </w:rPr>
            </w:pPr>
            <w:r>
              <w:rPr>
                <w:rFonts w:ascii="Arial" w:cs="Arial" w:eastAsia="Arial" w:hAnsi="Arial"/>
                <w:sz w:val="14"/>
                <w:szCs w:val="14"/>
                <w:b w:val="1"/>
                <w:bCs w:val="1"/>
                <w:color w:val="00C1DE"/>
              </w:rPr>
              <w:t>TSR</w:t>
            </w:r>
            <w:r>
              <w:rPr>
                <w:rFonts w:ascii="Arial" w:cs="Arial" w:eastAsia="Arial" w:hAnsi="Arial"/>
                <w:sz w:val="17"/>
                <w:szCs w:val="17"/>
                <w:b w:val="1"/>
                <w:bCs w:val="1"/>
                <w:color w:val="00C1DE"/>
                <w:vertAlign w:val="superscript"/>
              </w:rPr>
              <w:t>(5)</w:t>
            </w:r>
          </w:p>
        </w:tc>
        <w:tc>
          <w:tcPr>
            <w:tcW w:w="880" w:type="dxa"/>
            <w:vAlign w:val="bottom"/>
          </w:tcPr>
          <w:p>
            <w:pPr>
              <w:jc w:val="right"/>
              <w:spacing w:after="0" w:line="162" w:lineRule="exact"/>
              <w:rPr>
                <w:sz w:val="20"/>
                <w:szCs w:val="20"/>
                <w:color w:val="auto"/>
              </w:rPr>
            </w:pPr>
            <w:r>
              <w:rPr>
                <w:rFonts w:ascii="Arial" w:cs="Arial" w:eastAsia="Arial" w:hAnsi="Arial"/>
                <w:sz w:val="14"/>
                <w:szCs w:val="14"/>
                <w:b w:val="1"/>
                <w:bCs w:val="1"/>
                <w:color w:val="00C1DE"/>
              </w:rPr>
              <w:t>Income</w:t>
            </w:r>
            <w:r>
              <w:rPr>
                <w:rFonts w:ascii="Arial" w:cs="Arial" w:eastAsia="Arial" w:hAnsi="Arial"/>
                <w:sz w:val="17"/>
                <w:szCs w:val="17"/>
                <w:b w:val="1"/>
                <w:bCs w:val="1"/>
                <w:color w:val="00C1DE"/>
                <w:vertAlign w:val="superscript"/>
              </w:rPr>
              <w:t>(6)</w:t>
            </w:r>
          </w:p>
        </w:tc>
        <w:tc>
          <w:tcPr>
            <w:tcW w:w="840" w:type="dxa"/>
            <w:vAlign w:val="bottom"/>
          </w:tcPr>
          <w:p>
            <w:pPr>
              <w:jc w:val="right"/>
              <w:spacing w:after="0" w:line="162" w:lineRule="exact"/>
              <w:rPr>
                <w:sz w:val="20"/>
                <w:szCs w:val="20"/>
                <w:color w:val="auto"/>
              </w:rPr>
            </w:pPr>
            <w:r>
              <w:rPr>
                <w:rFonts w:ascii="Arial" w:cs="Arial" w:eastAsia="Arial" w:hAnsi="Arial"/>
                <w:sz w:val="14"/>
                <w:szCs w:val="14"/>
                <w:b w:val="1"/>
                <w:bCs w:val="1"/>
                <w:color w:val="00C1DE"/>
              </w:rPr>
              <w:t>adjusted</w:t>
            </w:r>
            <w:r>
              <w:rPr>
                <w:rFonts w:ascii="Arial" w:cs="Arial" w:eastAsia="Arial" w:hAnsi="Arial"/>
                <w:sz w:val="17"/>
                <w:szCs w:val="17"/>
                <w:b w:val="1"/>
                <w:bCs w:val="1"/>
                <w:color w:val="00C1DE"/>
                <w:vertAlign w:val="superscript"/>
              </w:rPr>
              <w:t>(7)</w:t>
            </w:r>
          </w:p>
        </w:tc>
        <w:tc>
          <w:tcPr>
            <w:tcW w:w="0" w:type="dxa"/>
            <w:vAlign w:val="bottom"/>
          </w:tcPr>
          <w:p>
            <w:pPr>
              <w:spacing w:after="0"/>
              <w:rPr>
                <w:sz w:val="1"/>
                <w:szCs w:val="1"/>
                <w:color w:val="auto"/>
              </w:rPr>
            </w:pPr>
          </w:p>
        </w:tc>
      </w:tr>
      <w:tr>
        <w:trPr>
          <w:trHeight w:val="211"/>
        </w:trPr>
        <w:tc>
          <w:tcPr>
            <w:tcW w:w="2060" w:type="dxa"/>
            <w:vAlign w:val="bottom"/>
            <w:tcBorders>
              <w:bottom w:val="single" w:sz="8" w:color="00C1DE"/>
            </w:tcBorders>
          </w:tcPr>
          <w:p>
            <w:pPr>
              <w:jc w:val="right"/>
              <w:spacing w:after="0"/>
              <w:rPr>
                <w:sz w:val="20"/>
                <w:szCs w:val="20"/>
                <w:color w:val="auto"/>
              </w:rPr>
            </w:pPr>
            <w:r>
              <w:rPr>
                <w:rFonts w:ascii="Arial" w:cs="Arial" w:eastAsia="Arial" w:hAnsi="Arial"/>
                <w:sz w:val="14"/>
                <w:szCs w:val="14"/>
                <w:b w:val="1"/>
                <w:bCs w:val="1"/>
                <w:color w:val="00C1DE"/>
              </w:rPr>
              <w:t>Year</w:t>
            </w:r>
          </w:p>
        </w:tc>
        <w:tc>
          <w:tcPr>
            <w:tcW w:w="1180" w:type="dxa"/>
            <w:vAlign w:val="bottom"/>
            <w:tcBorders>
              <w:bottom w:val="single" w:sz="8" w:color="00C1DE"/>
            </w:tcBorders>
          </w:tcPr>
          <w:p>
            <w:pPr>
              <w:jc w:val="right"/>
              <w:ind w:right="41"/>
              <w:spacing w:after="0"/>
              <w:rPr>
                <w:sz w:val="20"/>
                <w:szCs w:val="20"/>
                <w:color w:val="auto"/>
              </w:rPr>
            </w:pPr>
            <w:r>
              <w:rPr>
                <w:rFonts w:ascii="Arial" w:cs="Arial" w:eastAsia="Arial" w:hAnsi="Arial"/>
                <w:sz w:val="14"/>
                <w:szCs w:val="14"/>
                <w:b w:val="1"/>
                <w:bCs w:val="1"/>
                <w:color w:val="00C1DE"/>
              </w:rPr>
              <w:t>($)</w:t>
            </w:r>
          </w:p>
        </w:tc>
        <w:tc>
          <w:tcPr>
            <w:tcW w:w="1220" w:type="dxa"/>
            <w:vAlign w:val="bottom"/>
            <w:tcBorders>
              <w:bottom w:val="single" w:sz="8" w:color="00C1DE"/>
            </w:tcBorders>
          </w:tcPr>
          <w:p>
            <w:pPr>
              <w:jc w:val="right"/>
              <w:spacing w:after="0"/>
              <w:rPr>
                <w:sz w:val="20"/>
                <w:szCs w:val="20"/>
                <w:color w:val="auto"/>
              </w:rPr>
            </w:pPr>
            <w:r>
              <w:rPr>
                <w:rFonts w:ascii="Arial" w:cs="Arial" w:eastAsia="Arial" w:hAnsi="Arial"/>
                <w:sz w:val="14"/>
                <w:szCs w:val="14"/>
                <w:b w:val="1"/>
                <w:bCs w:val="1"/>
                <w:color w:val="00C1DE"/>
              </w:rPr>
              <w:t>($)</w:t>
            </w:r>
          </w:p>
        </w:tc>
        <w:tc>
          <w:tcPr>
            <w:tcW w:w="1200" w:type="dxa"/>
            <w:vAlign w:val="bottom"/>
            <w:tcBorders>
              <w:bottom w:val="single" w:sz="8" w:color="00C1DE"/>
            </w:tcBorders>
          </w:tcPr>
          <w:p>
            <w:pPr>
              <w:jc w:val="right"/>
              <w:ind w:right="43"/>
              <w:spacing w:after="0"/>
              <w:rPr>
                <w:sz w:val="20"/>
                <w:szCs w:val="20"/>
                <w:color w:val="auto"/>
              </w:rPr>
            </w:pPr>
            <w:r>
              <w:rPr>
                <w:rFonts w:ascii="Arial" w:cs="Arial" w:eastAsia="Arial" w:hAnsi="Arial"/>
                <w:sz w:val="14"/>
                <w:szCs w:val="14"/>
                <w:b w:val="1"/>
                <w:bCs w:val="1"/>
                <w:color w:val="00C1DE"/>
              </w:rPr>
              <w:t>($)</w:t>
            </w:r>
          </w:p>
        </w:tc>
        <w:tc>
          <w:tcPr>
            <w:tcW w:w="1320" w:type="dxa"/>
            <w:vAlign w:val="bottom"/>
            <w:tcBorders>
              <w:bottom w:val="single" w:sz="8" w:color="00C1DE"/>
            </w:tcBorders>
          </w:tcPr>
          <w:p>
            <w:pPr>
              <w:jc w:val="right"/>
              <w:ind w:right="201"/>
              <w:spacing w:after="0"/>
              <w:rPr>
                <w:sz w:val="20"/>
                <w:szCs w:val="20"/>
                <w:color w:val="auto"/>
              </w:rPr>
            </w:pPr>
            <w:r>
              <w:rPr>
                <w:rFonts w:ascii="Arial" w:cs="Arial" w:eastAsia="Arial" w:hAnsi="Arial"/>
                <w:sz w:val="14"/>
                <w:szCs w:val="14"/>
                <w:b w:val="1"/>
                <w:bCs w:val="1"/>
                <w:color w:val="00C1DE"/>
              </w:rPr>
              <w:t>($)</w:t>
            </w:r>
          </w:p>
        </w:tc>
        <w:tc>
          <w:tcPr>
            <w:tcW w:w="1120" w:type="dxa"/>
            <w:vAlign w:val="bottom"/>
            <w:tcBorders>
              <w:bottom w:val="single" w:sz="8" w:color="00C1DE"/>
            </w:tcBorders>
          </w:tcPr>
          <w:p>
            <w:pPr>
              <w:jc w:val="right"/>
              <w:ind w:right="185"/>
              <w:spacing w:after="0"/>
              <w:rPr>
                <w:sz w:val="20"/>
                <w:szCs w:val="20"/>
                <w:color w:val="auto"/>
              </w:rPr>
            </w:pPr>
            <w:r>
              <w:rPr>
                <w:rFonts w:ascii="Arial" w:cs="Arial" w:eastAsia="Arial" w:hAnsi="Arial"/>
                <w:sz w:val="14"/>
                <w:szCs w:val="14"/>
                <w:b w:val="1"/>
                <w:bCs w:val="1"/>
                <w:color w:val="00C1DE"/>
              </w:rPr>
              <w:t>($)</w:t>
            </w:r>
          </w:p>
        </w:tc>
        <w:tc>
          <w:tcPr>
            <w:tcW w:w="1200" w:type="dxa"/>
            <w:vAlign w:val="bottom"/>
            <w:tcBorders>
              <w:bottom w:val="single" w:sz="8" w:color="00C1DE"/>
            </w:tcBorders>
            <w:gridSpan w:val="2"/>
          </w:tcPr>
          <w:p>
            <w:pPr>
              <w:jc w:val="right"/>
              <w:ind w:right="160"/>
              <w:spacing w:after="0"/>
              <w:rPr>
                <w:sz w:val="20"/>
                <w:szCs w:val="20"/>
                <w:color w:val="auto"/>
              </w:rPr>
            </w:pPr>
            <w:r>
              <w:rPr>
                <w:rFonts w:ascii="Arial" w:cs="Arial" w:eastAsia="Arial" w:hAnsi="Arial"/>
                <w:sz w:val="14"/>
                <w:szCs w:val="14"/>
                <w:b w:val="1"/>
                <w:bCs w:val="1"/>
                <w:color w:val="00C1DE"/>
              </w:rPr>
              <w:t>($)</w:t>
            </w:r>
          </w:p>
        </w:tc>
        <w:tc>
          <w:tcPr>
            <w:tcW w:w="880" w:type="dxa"/>
            <w:vAlign w:val="bottom"/>
            <w:tcBorders>
              <w:bottom w:val="single" w:sz="8" w:color="00C1DE"/>
            </w:tcBorders>
          </w:tcPr>
          <w:p>
            <w:pPr>
              <w:jc w:val="right"/>
              <w:spacing w:after="0"/>
              <w:rPr>
                <w:sz w:val="20"/>
                <w:szCs w:val="20"/>
                <w:color w:val="auto"/>
              </w:rPr>
            </w:pPr>
            <w:r>
              <w:rPr>
                <w:rFonts w:ascii="Arial" w:cs="Arial" w:eastAsia="Arial" w:hAnsi="Arial"/>
                <w:sz w:val="14"/>
                <w:szCs w:val="14"/>
                <w:b w:val="1"/>
                <w:bCs w:val="1"/>
                <w:color w:val="00C1DE"/>
              </w:rPr>
              <w:t>($B)</w:t>
            </w:r>
          </w:p>
        </w:tc>
        <w:tc>
          <w:tcPr>
            <w:tcW w:w="840" w:type="dxa"/>
            <w:vAlign w:val="bottom"/>
            <w:tcBorders>
              <w:bottom w:val="single" w:sz="8" w:color="00C1DE"/>
            </w:tcBorders>
          </w:tcPr>
          <w:p>
            <w:pPr>
              <w:jc w:val="right"/>
              <w:spacing w:after="0"/>
              <w:rPr>
                <w:sz w:val="20"/>
                <w:szCs w:val="20"/>
                <w:color w:val="auto"/>
              </w:rPr>
            </w:pPr>
            <w:r>
              <w:rPr>
                <w:rFonts w:ascii="Arial" w:cs="Arial" w:eastAsia="Arial" w:hAnsi="Arial"/>
                <w:sz w:val="14"/>
                <w:szCs w:val="14"/>
                <w:b w:val="1"/>
                <w:bCs w:val="1"/>
                <w:color w:val="00C1DE"/>
              </w:rPr>
              <w:t>($B)</w:t>
            </w:r>
          </w:p>
        </w:tc>
        <w:tc>
          <w:tcPr>
            <w:tcW w:w="0" w:type="dxa"/>
            <w:vAlign w:val="bottom"/>
          </w:tcPr>
          <w:p>
            <w:pPr>
              <w:spacing w:after="0"/>
              <w:rPr>
                <w:sz w:val="1"/>
                <w:szCs w:val="1"/>
                <w:color w:val="auto"/>
              </w:rPr>
            </w:pPr>
          </w:p>
        </w:tc>
      </w:tr>
      <w:tr>
        <w:trPr>
          <w:trHeight w:val="282"/>
        </w:trPr>
        <w:tc>
          <w:tcPr>
            <w:tcW w:w="2060" w:type="dxa"/>
            <w:vAlign w:val="bottom"/>
          </w:tcPr>
          <w:p>
            <w:pPr>
              <w:jc w:val="right"/>
              <w:spacing w:after="0"/>
              <w:rPr>
                <w:sz w:val="20"/>
                <w:szCs w:val="20"/>
                <w:color w:val="auto"/>
              </w:rPr>
            </w:pPr>
            <w:r>
              <w:rPr>
                <w:rFonts w:ascii="Arial" w:cs="Arial" w:eastAsia="Arial" w:hAnsi="Arial"/>
                <w:sz w:val="18"/>
                <w:szCs w:val="18"/>
                <w:color w:val="3E3935"/>
              </w:rPr>
              <w:t>2022</w:t>
            </w:r>
          </w:p>
        </w:tc>
        <w:tc>
          <w:tcPr>
            <w:tcW w:w="1180" w:type="dxa"/>
            <w:vAlign w:val="bottom"/>
          </w:tcPr>
          <w:p>
            <w:pPr>
              <w:jc w:val="right"/>
              <w:ind w:right="41"/>
              <w:spacing w:after="0"/>
              <w:rPr>
                <w:sz w:val="20"/>
                <w:szCs w:val="20"/>
                <w:color w:val="auto"/>
              </w:rPr>
            </w:pPr>
            <w:r>
              <w:rPr>
                <w:rFonts w:ascii="Arial" w:cs="Arial" w:eastAsia="Arial" w:hAnsi="Arial"/>
                <w:sz w:val="18"/>
                <w:szCs w:val="18"/>
                <w:color w:val="3E3935"/>
              </w:rPr>
              <w:t>28,979,570</w:t>
            </w:r>
          </w:p>
        </w:tc>
        <w:tc>
          <w:tcPr>
            <w:tcW w:w="1220" w:type="dxa"/>
            <w:vAlign w:val="bottom"/>
          </w:tcPr>
          <w:p>
            <w:pPr>
              <w:jc w:val="right"/>
              <w:spacing w:after="0"/>
              <w:rPr>
                <w:sz w:val="20"/>
                <w:szCs w:val="20"/>
                <w:color w:val="auto"/>
              </w:rPr>
            </w:pPr>
            <w:r>
              <w:rPr>
                <w:rFonts w:ascii="Arial" w:cs="Arial" w:eastAsia="Arial" w:hAnsi="Arial"/>
                <w:sz w:val="18"/>
                <w:szCs w:val="18"/>
                <w:color w:val="3E3935"/>
              </w:rPr>
              <w:t>(16,991,516)</w:t>
            </w:r>
          </w:p>
        </w:tc>
        <w:tc>
          <w:tcPr>
            <w:tcW w:w="1200" w:type="dxa"/>
            <w:vAlign w:val="bottom"/>
          </w:tcPr>
          <w:p>
            <w:pPr>
              <w:jc w:val="right"/>
              <w:ind w:right="43"/>
              <w:spacing w:after="0"/>
              <w:rPr>
                <w:sz w:val="20"/>
                <w:szCs w:val="20"/>
                <w:color w:val="auto"/>
              </w:rPr>
            </w:pPr>
            <w:r>
              <w:rPr>
                <w:rFonts w:ascii="Arial" w:cs="Arial" w:eastAsia="Arial" w:hAnsi="Arial"/>
                <w:sz w:val="18"/>
                <w:szCs w:val="18"/>
                <w:color w:val="3E3935"/>
              </w:rPr>
              <w:t>10,539,930</w:t>
            </w:r>
          </w:p>
        </w:tc>
        <w:tc>
          <w:tcPr>
            <w:tcW w:w="1320" w:type="dxa"/>
            <w:vAlign w:val="bottom"/>
          </w:tcPr>
          <w:p>
            <w:pPr>
              <w:jc w:val="right"/>
              <w:ind w:right="201"/>
              <w:spacing w:after="0"/>
              <w:rPr>
                <w:sz w:val="20"/>
                <w:szCs w:val="20"/>
                <w:color w:val="auto"/>
              </w:rPr>
            </w:pPr>
            <w:r>
              <w:rPr>
                <w:rFonts w:ascii="Arial" w:cs="Arial" w:eastAsia="Arial" w:hAnsi="Arial"/>
                <w:sz w:val="18"/>
                <w:szCs w:val="18"/>
                <w:color w:val="3E3935"/>
              </w:rPr>
              <w:t>(2,724,335)</w:t>
            </w:r>
          </w:p>
        </w:tc>
        <w:tc>
          <w:tcPr>
            <w:tcW w:w="1120" w:type="dxa"/>
            <w:vAlign w:val="bottom"/>
          </w:tcPr>
          <w:p>
            <w:pPr>
              <w:jc w:val="right"/>
              <w:ind w:right="185"/>
              <w:spacing w:after="0"/>
              <w:rPr>
                <w:sz w:val="20"/>
                <w:szCs w:val="20"/>
                <w:color w:val="auto"/>
              </w:rPr>
            </w:pPr>
            <w:r>
              <w:rPr>
                <w:rFonts w:ascii="Arial" w:cs="Arial" w:eastAsia="Arial" w:hAnsi="Arial"/>
                <w:sz w:val="18"/>
                <w:szCs w:val="18"/>
                <w:color w:val="3E3935"/>
              </w:rPr>
              <w:t>94</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3E3935"/>
              </w:rPr>
              <w:t>128</w:t>
            </w:r>
          </w:p>
        </w:tc>
        <w:tc>
          <w:tcPr>
            <w:tcW w:w="880" w:type="dxa"/>
            <w:vAlign w:val="bottom"/>
          </w:tcPr>
          <w:p>
            <w:pPr>
              <w:jc w:val="right"/>
              <w:spacing w:after="0"/>
              <w:rPr>
                <w:sz w:val="20"/>
                <w:szCs w:val="20"/>
                <w:color w:val="auto"/>
              </w:rPr>
            </w:pPr>
            <w:r>
              <w:rPr>
                <w:rFonts w:ascii="Arial" w:cs="Arial" w:eastAsia="Arial" w:hAnsi="Arial"/>
                <w:sz w:val="18"/>
                <w:szCs w:val="18"/>
                <w:color w:val="3E3935"/>
              </w:rPr>
              <w:t>9.708</w:t>
            </w:r>
          </w:p>
        </w:tc>
        <w:tc>
          <w:tcPr>
            <w:tcW w:w="840" w:type="dxa"/>
            <w:vAlign w:val="bottom"/>
          </w:tcPr>
          <w:p>
            <w:pPr>
              <w:jc w:val="right"/>
              <w:spacing w:after="0"/>
              <w:rPr>
                <w:sz w:val="20"/>
                <w:szCs w:val="20"/>
                <w:color w:val="auto"/>
              </w:rPr>
            </w:pPr>
            <w:r>
              <w:rPr>
                <w:rFonts w:ascii="Arial" w:cs="Arial" w:eastAsia="Arial" w:hAnsi="Arial"/>
                <w:sz w:val="18"/>
                <w:szCs w:val="18"/>
                <w:color w:val="3E3935"/>
              </w:rPr>
              <w:t>14.474</w:t>
            </w:r>
          </w:p>
        </w:tc>
        <w:tc>
          <w:tcPr>
            <w:tcW w:w="0" w:type="dxa"/>
            <w:vAlign w:val="bottom"/>
          </w:tcPr>
          <w:p>
            <w:pPr>
              <w:spacing w:after="0"/>
              <w:rPr>
                <w:sz w:val="1"/>
                <w:szCs w:val="1"/>
                <w:color w:val="auto"/>
              </w:rPr>
            </w:pPr>
          </w:p>
        </w:tc>
      </w:tr>
      <w:tr>
        <w:trPr>
          <w:trHeight w:val="36"/>
        </w:trPr>
        <w:tc>
          <w:tcPr>
            <w:tcW w:w="2060" w:type="dxa"/>
            <w:vAlign w:val="bottom"/>
            <w:tcBorders>
              <w:bottom w:val="single" w:sz="8" w:color="3E3935"/>
            </w:tcBorders>
          </w:tcPr>
          <w:p>
            <w:pPr>
              <w:spacing w:after="0"/>
              <w:rPr>
                <w:sz w:val="3"/>
                <w:szCs w:val="3"/>
                <w:color w:val="auto"/>
              </w:rPr>
            </w:pPr>
          </w:p>
        </w:tc>
        <w:tc>
          <w:tcPr>
            <w:tcW w:w="1180" w:type="dxa"/>
            <w:vAlign w:val="bottom"/>
            <w:tcBorders>
              <w:bottom w:val="single" w:sz="8" w:color="3E3935"/>
            </w:tcBorders>
          </w:tcPr>
          <w:p>
            <w:pPr>
              <w:spacing w:after="0"/>
              <w:rPr>
                <w:sz w:val="3"/>
                <w:szCs w:val="3"/>
                <w:color w:val="auto"/>
              </w:rPr>
            </w:pPr>
          </w:p>
        </w:tc>
        <w:tc>
          <w:tcPr>
            <w:tcW w:w="1220" w:type="dxa"/>
            <w:vAlign w:val="bottom"/>
            <w:tcBorders>
              <w:bottom w:val="single" w:sz="8" w:color="3E3935"/>
            </w:tcBorders>
          </w:tcPr>
          <w:p>
            <w:pPr>
              <w:spacing w:after="0"/>
              <w:rPr>
                <w:sz w:val="3"/>
                <w:szCs w:val="3"/>
                <w:color w:val="auto"/>
              </w:rPr>
            </w:pPr>
          </w:p>
        </w:tc>
        <w:tc>
          <w:tcPr>
            <w:tcW w:w="1200" w:type="dxa"/>
            <w:vAlign w:val="bottom"/>
            <w:tcBorders>
              <w:bottom w:val="single" w:sz="8" w:color="3E3935"/>
            </w:tcBorders>
          </w:tcPr>
          <w:p>
            <w:pPr>
              <w:spacing w:after="0"/>
              <w:rPr>
                <w:sz w:val="3"/>
                <w:szCs w:val="3"/>
                <w:color w:val="auto"/>
              </w:rPr>
            </w:pPr>
          </w:p>
        </w:tc>
        <w:tc>
          <w:tcPr>
            <w:tcW w:w="1320" w:type="dxa"/>
            <w:vAlign w:val="bottom"/>
            <w:tcBorders>
              <w:bottom w:val="single" w:sz="8" w:color="3E3935"/>
            </w:tcBorders>
          </w:tcPr>
          <w:p>
            <w:pPr>
              <w:spacing w:after="0"/>
              <w:rPr>
                <w:sz w:val="3"/>
                <w:szCs w:val="3"/>
                <w:color w:val="auto"/>
              </w:rPr>
            </w:pPr>
          </w:p>
        </w:tc>
        <w:tc>
          <w:tcPr>
            <w:tcW w:w="1120" w:type="dxa"/>
            <w:vAlign w:val="bottom"/>
            <w:tcBorders>
              <w:bottom w:val="single" w:sz="8" w:color="3E3935"/>
            </w:tcBorders>
          </w:tcPr>
          <w:p>
            <w:pPr>
              <w:spacing w:after="0"/>
              <w:rPr>
                <w:sz w:val="3"/>
                <w:szCs w:val="3"/>
                <w:color w:val="auto"/>
              </w:rPr>
            </w:pPr>
          </w:p>
        </w:tc>
        <w:tc>
          <w:tcPr>
            <w:tcW w:w="1040" w:type="dxa"/>
            <w:vAlign w:val="bottom"/>
            <w:tcBorders>
              <w:bottom w:val="single" w:sz="8" w:color="3E3935"/>
            </w:tcBorders>
          </w:tcPr>
          <w:p>
            <w:pPr>
              <w:spacing w:after="0"/>
              <w:rPr>
                <w:sz w:val="3"/>
                <w:szCs w:val="3"/>
                <w:color w:val="auto"/>
              </w:rPr>
            </w:pPr>
          </w:p>
        </w:tc>
        <w:tc>
          <w:tcPr>
            <w:tcW w:w="160" w:type="dxa"/>
            <w:vAlign w:val="bottom"/>
            <w:tcBorders>
              <w:bottom w:val="single" w:sz="8" w:color="3E3935"/>
            </w:tcBorders>
          </w:tcPr>
          <w:p>
            <w:pPr>
              <w:spacing w:after="0"/>
              <w:rPr>
                <w:sz w:val="3"/>
                <w:szCs w:val="3"/>
                <w:color w:val="auto"/>
              </w:rPr>
            </w:pPr>
          </w:p>
        </w:tc>
        <w:tc>
          <w:tcPr>
            <w:tcW w:w="880" w:type="dxa"/>
            <w:vAlign w:val="bottom"/>
            <w:tcBorders>
              <w:bottom w:val="single" w:sz="8" w:color="3E3935"/>
            </w:tcBorders>
          </w:tcPr>
          <w:p>
            <w:pPr>
              <w:spacing w:after="0"/>
              <w:rPr>
                <w:sz w:val="3"/>
                <w:szCs w:val="3"/>
                <w:color w:val="auto"/>
              </w:rPr>
            </w:pPr>
          </w:p>
        </w:tc>
        <w:tc>
          <w:tcPr>
            <w:tcW w:w="840" w:type="dxa"/>
            <w:vAlign w:val="bottom"/>
            <w:tcBorders>
              <w:bottom w:val="single" w:sz="8" w:color="3E3935"/>
            </w:tcBorders>
          </w:tcPr>
          <w:p>
            <w:pPr>
              <w:spacing w:after="0"/>
              <w:rPr>
                <w:sz w:val="3"/>
                <w:szCs w:val="3"/>
                <w:color w:val="auto"/>
              </w:rPr>
            </w:pPr>
          </w:p>
        </w:tc>
        <w:tc>
          <w:tcPr>
            <w:tcW w:w="0" w:type="dxa"/>
            <w:vAlign w:val="bottom"/>
          </w:tcPr>
          <w:p>
            <w:pPr>
              <w:spacing w:after="0"/>
              <w:rPr>
                <w:sz w:val="1"/>
                <w:szCs w:val="1"/>
                <w:color w:val="auto"/>
              </w:rPr>
            </w:pPr>
          </w:p>
        </w:tc>
      </w:tr>
      <w:tr>
        <w:trPr>
          <w:trHeight w:val="281"/>
        </w:trPr>
        <w:tc>
          <w:tcPr>
            <w:tcW w:w="2060" w:type="dxa"/>
            <w:vAlign w:val="bottom"/>
          </w:tcPr>
          <w:p>
            <w:pPr>
              <w:jc w:val="right"/>
              <w:spacing w:after="0"/>
              <w:rPr>
                <w:sz w:val="20"/>
                <w:szCs w:val="20"/>
                <w:color w:val="auto"/>
              </w:rPr>
            </w:pPr>
            <w:r>
              <w:rPr>
                <w:rFonts w:ascii="Arial" w:cs="Arial" w:eastAsia="Arial" w:hAnsi="Arial"/>
                <w:sz w:val="18"/>
                <w:szCs w:val="18"/>
                <w:color w:val="3E3935"/>
              </w:rPr>
              <w:t>2021</w:t>
            </w:r>
          </w:p>
        </w:tc>
        <w:tc>
          <w:tcPr>
            <w:tcW w:w="1180" w:type="dxa"/>
            <w:vAlign w:val="bottom"/>
          </w:tcPr>
          <w:p>
            <w:pPr>
              <w:jc w:val="right"/>
              <w:ind w:right="41"/>
              <w:spacing w:after="0"/>
              <w:rPr>
                <w:sz w:val="20"/>
                <w:szCs w:val="20"/>
                <w:color w:val="auto"/>
              </w:rPr>
            </w:pPr>
            <w:r>
              <w:rPr>
                <w:rFonts w:ascii="Arial" w:cs="Arial" w:eastAsia="Arial" w:hAnsi="Arial"/>
                <w:sz w:val="18"/>
                <w:szCs w:val="18"/>
                <w:color w:val="3E3935"/>
              </w:rPr>
              <w:t>29,136,780</w:t>
            </w:r>
          </w:p>
        </w:tc>
        <w:tc>
          <w:tcPr>
            <w:tcW w:w="1220" w:type="dxa"/>
            <w:vAlign w:val="bottom"/>
          </w:tcPr>
          <w:p>
            <w:pPr>
              <w:jc w:val="right"/>
              <w:spacing w:after="0"/>
              <w:rPr>
                <w:sz w:val="20"/>
                <w:szCs w:val="20"/>
                <w:color w:val="auto"/>
              </w:rPr>
            </w:pPr>
            <w:r>
              <w:rPr>
                <w:rFonts w:ascii="Arial" w:cs="Arial" w:eastAsia="Arial" w:hAnsi="Arial"/>
                <w:sz w:val="18"/>
                <w:szCs w:val="18"/>
                <w:color w:val="3E3935"/>
              </w:rPr>
              <w:t>76,096,506</w:t>
            </w:r>
          </w:p>
        </w:tc>
        <w:tc>
          <w:tcPr>
            <w:tcW w:w="1200" w:type="dxa"/>
            <w:vAlign w:val="bottom"/>
          </w:tcPr>
          <w:p>
            <w:pPr>
              <w:jc w:val="right"/>
              <w:ind w:right="43"/>
              <w:spacing w:after="0"/>
              <w:rPr>
                <w:sz w:val="20"/>
                <w:szCs w:val="20"/>
                <w:color w:val="auto"/>
              </w:rPr>
            </w:pPr>
            <w:r>
              <w:rPr>
                <w:rFonts w:ascii="Arial" w:cs="Arial" w:eastAsia="Arial" w:hAnsi="Arial"/>
                <w:sz w:val="18"/>
                <w:szCs w:val="18"/>
                <w:color w:val="3E3935"/>
              </w:rPr>
              <w:t>9,982,519</w:t>
            </w:r>
          </w:p>
        </w:tc>
        <w:tc>
          <w:tcPr>
            <w:tcW w:w="1320" w:type="dxa"/>
            <w:vAlign w:val="bottom"/>
          </w:tcPr>
          <w:p>
            <w:pPr>
              <w:jc w:val="right"/>
              <w:ind w:right="201"/>
              <w:spacing w:after="0"/>
              <w:rPr>
                <w:sz w:val="20"/>
                <w:szCs w:val="20"/>
                <w:color w:val="auto"/>
              </w:rPr>
            </w:pPr>
            <w:r>
              <w:rPr>
                <w:rFonts w:ascii="Arial" w:cs="Arial" w:eastAsia="Arial" w:hAnsi="Arial"/>
                <w:sz w:val="18"/>
                <w:szCs w:val="18"/>
                <w:color w:val="3E3935"/>
              </w:rPr>
              <w:t>19,443,928</w:t>
            </w:r>
          </w:p>
        </w:tc>
        <w:tc>
          <w:tcPr>
            <w:tcW w:w="1120" w:type="dxa"/>
            <w:vAlign w:val="bottom"/>
          </w:tcPr>
          <w:p>
            <w:pPr>
              <w:jc w:val="right"/>
              <w:ind w:right="185"/>
              <w:spacing w:after="0"/>
              <w:rPr>
                <w:sz w:val="20"/>
                <w:szCs w:val="20"/>
                <w:color w:val="auto"/>
              </w:rPr>
            </w:pPr>
            <w:r>
              <w:rPr>
                <w:rFonts w:ascii="Arial" w:cs="Arial" w:eastAsia="Arial" w:hAnsi="Arial"/>
                <w:sz w:val="18"/>
                <w:szCs w:val="18"/>
                <w:color w:val="3E3935"/>
              </w:rPr>
              <w:t>164</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3E3935"/>
              </w:rPr>
              <w:t>188</w:t>
            </w:r>
          </w:p>
        </w:tc>
        <w:tc>
          <w:tcPr>
            <w:tcW w:w="880" w:type="dxa"/>
            <w:vAlign w:val="bottom"/>
          </w:tcPr>
          <w:p>
            <w:pPr>
              <w:jc w:val="right"/>
              <w:spacing w:after="0"/>
              <w:rPr>
                <w:sz w:val="20"/>
                <w:szCs w:val="20"/>
                <w:color w:val="auto"/>
              </w:rPr>
            </w:pPr>
            <w:r>
              <w:rPr>
                <w:rFonts w:ascii="Arial" w:cs="Arial" w:eastAsia="Arial" w:hAnsi="Arial"/>
                <w:sz w:val="18"/>
                <w:szCs w:val="18"/>
                <w:color w:val="3E3935"/>
              </w:rPr>
              <w:t>9.945</w:t>
            </w:r>
          </w:p>
        </w:tc>
        <w:tc>
          <w:tcPr>
            <w:tcW w:w="840" w:type="dxa"/>
            <w:vAlign w:val="bottom"/>
          </w:tcPr>
          <w:p>
            <w:pPr>
              <w:jc w:val="right"/>
              <w:spacing w:after="0"/>
              <w:rPr>
                <w:sz w:val="20"/>
                <w:szCs w:val="20"/>
                <w:color w:val="auto"/>
              </w:rPr>
            </w:pPr>
            <w:r>
              <w:rPr>
                <w:rFonts w:ascii="Arial" w:cs="Arial" w:eastAsia="Arial" w:hAnsi="Arial"/>
                <w:sz w:val="18"/>
                <w:szCs w:val="18"/>
                <w:color w:val="3E3935"/>
              </w:rPr>
              <w:t>14.295</w:t>
            </w:r>
          </w:p>
        </w:tc>
        <w:tc>
          <w:tcPr>
            <w:tcW w:w="0" w:type="dxa"/>
            <w:vAlign w:val="bottom"/>
          </w:tcPr>
          <w:p>
            <w:pPr>
              <w:spacing w:after="0"/>
              <w:rPr>
                <w:sz w:val="1"/>
                <w:szCs w:val="1"/>
                <w:color w:val="auto"/>
              </w:rPr>
            </w:pPr>
          </w:p>
        </w:tc>
      </w:tr>
      <w:tr>
        <w:trPr>
          <w:trHeight w:val="36"/>
        </w:trPr>
        <w:tc>
          <w:tcPr>
            <w:tcW w:w="2060" w:type="dxa"/>
            <w:vAlign w:val="bottom"/>
            <w:tcBorders>
              <w:bottom w:val="single" w:sz="8" w:color="3E3935"/>
            </w:tcBorders>
          </w:tcPr>
          <w:p>
            <w:pPr>
              <w:spacing w:after="0"/>
              <w:rPr>
                <w:sz w:val="3"/>
                <w:szCs w:val="3"/>
                <w:color w:val="auto"/>
              </w:rPr>
            </w:pPr>
          </w:p>
        </w:tc>
        <w:tc>
          <w:tcPr>
            <w:tcW w:w="1180" w:type="dxa"/>
            <w:vAlign w:val="bottom"/>
            <w:tcBorders>
              <w:bottom w:val="single" w:sz="8" w:color="3E3935"/>
            </w:tcBorders>
          </w:tcPr>
          <w:p>
            <w:pPr>
              <w:spacing w:after="0"/>
              <w:rPr>
                <w:sz w:val="3"/>
                <w:szCs w:val="3"/>
                <w:color w:val="auto"/>
              </w:rPr>
            </w:pPr>
          </w:p>
        </w:tc>
        <w:tc>
          <w:tcPr>
            <w:tcW w:w="1220" w:type="dxa"/>
            <w:vAlign w:val="bottom"/>
            <w:tcBorders>
              <w:bottom w:val="single" w:sz="8" w:color="3E3935"/>
            </w:tcBorders>
          </w:tcPr>
          <w:p>
            <w:pPr>
              <w:spacing w:after="0"/>
              <w:rPr>
                <w:sz w:val="3"/>
                <w:szCs w:val="3"/>
                <w:color w:val="auto"/>
              </w:rPr>
            </w:pPr>
          </w:p>
        </w:tc>
        <w:tc>
          <w:tcPr>
            <w:tcW w:w="1200" w:type="dxa"/>
            <w:vAlign w:val="bottom"/>
            <w:tcBorders>
              <w:bottom w:val="single" w:sz="8" w:color="3E3935"/>
            </w:tcBorders>
          </w:tcPr>
          <w:p>
            <w:pPr>
              <w:spacing w:after="0"/>
              <w:rPr>
                <w:sz w:val="3"/>
                <w:szCs w:val="3"/>
                <w:color w:val="auto"/>
              </w:rPr>
            </w:pPr>
          </w:p>
        </w:tc>
        <w:tc>
          <w:tcPr>
            <w:tcW w:w="1320" w:type="dxa"/>
            <w:vAlign w:val="bottom"/>
            <w:tcBorders>
              <w:bottom w:val="single" w:sz="8" w:color="3E3935"/>
            </w:tcBorders>
          </w:tcPr>
          <w:p>
            <w:pPr>
              <w:spacing w:after="0"/>
              <w:rPr>
                <w:sz w:val="3"/>
                <w:szCs w:val="3"/>
                <w:color w:val="auto"/>
              </w:rPr>
            </w:pPr>
          </w:p>
        </w:tc>
        <w:tc>
          <w:tcPr>
            <w:tcW w:w="1120" w:type="dxa"/>
            <w:vAlign w:val="bottom"/>
            <w:tcBorders>
              <w:bottom w:val="single" w:sz="8" w:color="3E3935"/>
            </w:tcBorders>
          </w:tcPr>
          <w:p>
            <w:pPr>
              <w:spacing w:after="0"/>
              <w:rPr>
                <w:sz w:val="3"/>
                <w:szCs w:val="3"/>
                <w:color w:val="auto"/>
              </w:rPr>
            </w:pPr>
          </w:p>
        </w:tc>
        <w:tc>
          <w:tcPr>
            <w:tcW w:w="1040" w:type="dxa"/>
            <w:vAlign w:val="bottom"/>
            <w:tcBorders>
              <w:bottom w:val="single" w:sz="8" w:color="3E3935"/>
            </w:tcBorders>
          </w:tcPr>
          <w:p>
            <w:pPr>
              <w:spacing w:after="0"/>
              <w:rPr>
                <w:sz w:val="3"/>
                <w:szCs w:val="3"/>
                <w:color w:val="auto"/>
              </w:rPr>
            </w:pPr>
          </w:p>
        </w:tc>
        <w:tc>
          <w:tcPr>
            <w:tcW w:w="160" w:type="dxa"/>
            <w:vAlign w:val="bottom"/>
            <w:tcBorders>
              <w:bottom w:val="single" w:sz="8" w:color="3E3935"/>
            </w:tcBorders>
          </w:tcPr>
          <w:p>
            <w:pPr>
              <w:spacing w:after="0"/>
              <w:rPr>
                <w:sz w:val="3"/>
                <w:szCs w:val="3"/>
                <w:color w:val="auto"/>
              </w:rPr>
            </w:pPr>
          </w:p>
        </w:tc>
        <w:tc>
          <w:tcPr>
            <w:tcW w:w="880" w:type="dxa"/>
            <w:vAlign w:val="bottom"/>
            <w:tcBorders>
              <w:bottom w:val="single" w:sz="8" w:color="3E3935"/>
            </w:tcBorders>
          </w:tcPr>
          <w:p>
            <w:pPr>
              <w:spacing w:after="0"/>
              <w:rPr>
                <w:sz w:val="3"/>
                <w:szCs w:val="3"/>
                <w:color w:val="auto"/>
              </w:rPr>
            </w:pPr>
          </w:p>
        </w:tc>
        <w:tc>
          <w:tcPr>
            <w:tcW w:w="840" w:type="dxa"/>
            <w:vAlign w:val="bottom"/>
            <w:tcBorders>
              <w:bottom w:val="single" w:sz="8" w:color="3E3935"/>
            </w:tcBorders>
          </w:tcPr>
          <w:p>
            <w:pPr>
              <w:spacing w:after="0"/>
              <w:rPr>
                <w:sz w:val="3"/>
                <w:szCs w:val="3"/>
                <w:color w:val="auto"/>
              </w:rPr>
            </w:pPr>
          </w:p>
        </w:tc>
        <w:tc>
          <w:tcPr>
            <w:tcW w:w="0" w:type="dxa"/>
            <w:vAlign w:val="bottom"/>
          </w:tcPr>
          <w:p>
            <w:pPr>
              <w:spacing w:after="0"/>
              <w:rPr>
                <w:sz w:val="1"/>
                <w:szCs w:val="1"/>
                <w:color w:val="auto"/>
              </w:rPr>
            </w:pPr>
          </w:p>
        </w:tc>
      </w:tr>
      <w:tr>
        <w:trPr>
          <w:trHeight w:val="281"/>
        </w:trPr>
        <w:tc>
          <w:tcPr>
            <w:tcW w:w="2060" w:type="dxa"/>
            <w:vAlign w:val="bottom"/>
          </w:tcPr>
          <w:p>
            <w:pPr>
              <w:jc w:val="right"/>
              <w:spacing w:after="0"/>
              <w:rPr>
                <w:sz w:val="20"/>
                <w:szCs w:val="20"/>
                <w:color w:val="auto"/>
              </w:rPr>
            </w:pPr>
            <w:r>
              <w:rPr>
                <w:rFonts w:ascii="Arial" w:cs="Arial" w:eastAsia="Arial" w:hAnsi="Arial"/>
                <w:sz w:val="18"/>
                <w:szCs w:val="18"/>
                <w:color w:val="3E3935"/>
              </w:rPr>
              <w:t>2020</w:t>
            </w:r>
          </w:p>
        </w:tc>
        <w:tc>
          <w:tcPr>
            <w:tcW w:w="1180" w:type="dxa"/>
            <w:vAlign w:val="bottom"/>
          </w:tcPr>
          <w:p>
            <w:pPr>
              <w:jc w:val="right"/>
              <w:ind w:right="41"/>
              <w:spacing w:after="0"/>
              <w:rPr>
                <w:sz w:val="20"/>
                <w:szCs w:val="20"/>
                <w:color w:val="auto"/>
              </w:rPr>
            </w:pPr>
            <w:r>
              <w:rPr>
                <w:rFonts w:ascii="Arial" w:cs="Arial" w:eastAsia="Arial" w:hAnsi="Arial"/>
                <w:sz w:val="18"/>
                <w:szCs w:val="18"/>
                <w:color w:val="3E3935"/>
              </w:rPr>
              <w:t>23,657,987</w:t>
            </w:r>
          </w:p>
        </w:tc>
        <w:tc>
          <w:tcPr>
            <w:tcW w:w="1220" w:type="dxa"/>
            <w:vAlign w:val="bottom"/>
          </w:tcPr>
          <w:p>
            <w:pPr>
              <w:jc w:val="right"/>
              <w:spacing w:after="0"/>
              <w:rPr>
                <w:sz w:val="20"/>
                <w:szCs w:val="20"/>
                <w:color w:val="auto"/>
              </w:rPr>
            </w:pPr>
            <w:r>
              <w:rPr>
                <w:rFonts w:ascii="Arial" w:cs="Arial" w:eastAsia="Arial" w:hAnsi="Arial"/>
                <w:sz w:val="18"/>
                <w:szCs w:val="18"/>
                <w:color w:val="3E3935"/>
              </w:rPr>
              <w:t>45,185,399</w:t>
            </w:r>
          </w:p>
        </w:tc>
        <w:tc>
          <w:tcPr>
            <w:tcW w:w="1200" w:type="dxa"/>
            <w:vAlign w:val="bottom"/>
          </w:tcPr>
          <w:p>
            <w:pPr>
              <w:jc w:val="right"/>
              <w:ind w:right="43"/>
              <w:spacing w:after="0"/>
              <w:rPr>
                <w:sz w:val="20"/>
                <w:szCs w:val="20"/>
                <w:color w:val="auto"/>
              </w:rPr>
            </w:pPr>
            <w:r>
              <w:rPr>
                <w:rFonts w:ascii="Arial" w:cs="Arial" w:eastAsia="Arial" w:hAnsi="Arial"/>
                <w:sz w:val="18"/>
                <w:szCs w:val="18"/>
                <w:color w:val="3E3935"/>
              </w:rPr>
              <w:t>6,632,869</w:t>
            </w:r>
          </w:p>
        </w:tc>
        <w:tc>
          <w:tcPr>
            <w:tcW w:w="1320" w:type="dxa"/>
            <w:vAlign w:val="bottom"/>
          </w:tcPr>
          <w:p>
            <w:pPr>
              <w:jc w:val="right"/>
              <w:ind w:right="201"/>
              <w:spacing w:after="0"/>
              <w:rPr>
                <w:sz w:val="20"/>
                <w:szCs w:val="20"/>
                <w:color w:val="auto"/>
              </w:rPr>
            </w:pPr>
            <w:r>
              <w:rPr>
                <w:rFonts w:ascii="Arial" w:cs="Arial" w:eastAsia="Arial" w:hAnsi="Arial"/>
                <w:sz w:val="18"/>
                <w:szCs w:val="18"/>
                <w:color w:val="3E3935"/>
              </w:rPr>
              <w:t>5,817,820</w:t>
            </w:r>
          </w:p>
        </w:tc>
        <w:tc>
          <w:tcPr>
            <w:tcW w:w="1120" w:type="dxa"/>
            <w:vAlign w:val="bottom"/>
          </w:tcPr>
          <w:p>
            <w:pPr>
              <w:jc w:val="right"/>
              <w:ind w:right="185"/>
              <w:spacing w:after="0"/>
              <w:rPr>
                <w:sz w:val="20"/>
                <w:szCs w:val="20"/>
                <w:color w:val="auto"/>
              </w:rPr>
            </w:pPr>
            <w:r>
              <w:rPr>
                <w:rFonts w:ascii="Arial" w:cs="Arial" w:eastAsia="Arial" w:hAnsi="Arial"/>
                <w:sz w:val="18"/>
                <w:szCs w:val="18"/>
                <w:color w:val="3E3935"/>
              </w:rPr>
              <w:t>116</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3E3935"/>
              </w:rPr>
              <w:t>151</w:t>
            </w:r>
          </w:p>
        </w:tc>
        <w:tc>
          <w:tcPr>
            <w:tcW w:w="880" w:type="dxa"/>
            <w:vAlign w:val="bottom"/>
          </w:tcPr>
          <w:p>
            <w:pPr>
              <w:jc w:val="right"/>
              <w:spacing w:after="0"/>
              <w:rPr>
                <w:sz w:val="20"/>
                <w:szCs w:val="20"/>
                <w:color w:val="auto"/>
              </w:rPr>
            </w:pPr>
            <w:r>
              <w:rPr>
                <w:rFonts w:ascii="Arial" w:cs="Arial" w:eastAsia="Arial" w:hAnsi="Arial"/>
                <w:sz w:val="18"/>
                <w:szCs w:val="18"/>
                <w:color w:val="3E3935"/>
              </w:rPr>
              <w:t>6.321</w:t>
            </w:r>
          </w:p>
        </w:tc>
        <w:tc>
          <w:tcPr>
            <w:tcW w:w="840" w:type="dxa"/>
            <w:vAlign w:val="bottom"/>
          </w:tcPr>
          <w:p>
            <w:pPr>
              <w:jc w:val="right"/>
              <w:spacing w:after="0"/>
              <w:rPr>
                <w:sz w:val="20"/>
                <w:szCs w:val="20"/>
                <w:color w:val="auto"/>
              </w:rPr>
            </w:pPr>
            <w:r>
              <w:rPr>
                <w:rFonts w:ascii="Arial" w:cs="Arial" w:eastAsia="Arial" w:hAnsi="Arial"/>
                <w:sz w:val="18"/>
                <w:szCs w:val="18"/>
                <w:color w:val="3E3935"/>
              </w:rPr>
              <w:t>9.710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22860</wp:posOffset>
            </wp:positionV>
            <wp:extent cx="6995160" cy="889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94" w:lineRule="exact"/>
        <w:rPr>
          <w:sz w:val="20"/>
          <w:szCs w:val="20"/>
          <w:color w:val="auto"/>
        </w:rPr>
      </w:pPr>
    </w:p>
    <w:p>
      <w:pPr>
        <w:ind w:left="424" w:hanging="424"/>
        <w:spacing w:after="0"/>
        <w:tabs>
          <w:tab w:leader="none" w:pos="424" w:val="left"/>
        </w:tabs>
        <w:numPr>
          <w:ilvl w:val="0"/>
          <w:numId w:val="136"/>
        </w:numPr>
        <w:rPr>
          <w:rFonts w:ascii="Arial" w:cs="Arial" w:eastAsia="Arial" w:hAnsi="Arial"/>
          <w:sz w:val="18"/>
          <w:szCs w:val="18"/>
          <w:i w:val="1"/>
          <w:iCs w:val="1"/>
          <w:color w:val="3E3935"/>
        </w:rPr>
      </w:pPr>
      <w:r>
        <w:rPr>
          <w:rFonts w:ascii="Arial" w:cs="Arial" w:eastAsia="Arial" w:hAnsi="Arial"/>
          <w:sz w:val="18"/>
          <w:szCs w:val="18"/>
          <w:i w:val="1"/>
          <w:iCs w:val="1"/>
          <w:color w:val="3E3935"/>
        </w:rPr>
        <w:t>Ms. Barra served as our CEO in 2022, 2021, and 2020.</w:t>
      </w:r>
    </w:p>
    <w:p>
      <w:pPr>
        <w:spacing w:after="0" w:line="76" w:lineRule="exact"/>
        <w:rPr>
          <w:rFonts w:ascii="Arial" w:cs="Arial" w:eastAsia="Arial" w:hAnsi="Arial"/>
          <w:sz w:val="18"/>
          <w:szCs w:val="18"/>
          <w:i w:val="1"/>
          <w:iCs w:val="1"/>
          <w:color w:val="3E3935"/>
        </w:rPr>
      </w:pPr>
    </w:p>
    <w:p>
      <w:pPr>
        <w:jc w:val="both"/>
        <w:ind w:left="424" w:right="20" w:hanging="424"/>
        <w:spacing w:after="0" w:line="246" w:lineRule="auto"/>
        <w:tabs>
          <w:tab w:leader="none" w:pos="424" w:val="left"/>
        </w:tabs>
        <w:numPr>
          <w:ilvl w:val="0"/>
          <w:numId w:val="136"/>
        </w:numPr>
        <w:rPr>
          <w:rFonts w:ascii="Arial" w:cs="Arial" w:eastAsia="Arial" w:hAnsi="Arial"/>
          <w:sz w:val="18"/>
          <w:szCs w:val="18"/>
          <w:i w:val="1"/>
          <w:iCs w:val="1"/>
          <w:color w:val="3E3935"/>
        </w:rPr>
      </w:pPr>
      <w:r>
        <w:rPr>
          <w:rFonts w:ascii="Arial" w:cs="Arial" w:eastAsia="Arial" w:hAnsi="Arial"/>
          <w:sz w:val="18"/>
          <w:szCs w:val="18"/>
          <w:i w:val="1"/>
          <w:iCs w:val="1"/>
          <w:color w:val="3E3935"/>
        </w:rPr>
        <w:t>Non-CEO NEOs in 2022 and 2021 included Messrs. Jacobson, Reuss, Parks, and Carlisle. Non-CEO NEOs in 2020 included Messrs. Jacobson, Reuss, Parks, and Carlisle, Ms. Dhivya Suryadevara (Former Executive Vice President and Chief Financial Officer), Mr. John Stapleton (Vice President and Chief Financial Officer, North America and Former Acting Chief Financial Officer), and Mr. Barry Engle (Former Executive Vice President and President, North America).</w:t>
      </w:r>
    </w:p>
    <w:p>
      <w:pPr>
        <w:spacing w:after="0" w:line="82" w:lineRule="exact"/>
        <w:rPr>
          <w:rFonts w:ascii="Arial" w:cs="Arial" w:eastAsia="Arial" w:hAnsi="Arial"/>
          <w:sz w:val="18"/>
          <w:szCs w:val="18"/>
          <w:i w:val="1"/>
          <w:iCs w:val="1"/>
          <w:color w:val="3E3935"/>
        </w:rPr>
      </w:pPr>
    </w:p>
    <w:p>
      <w:pPr>
        <w:ind w:left="424" w:hanging="424"/>
        <w:spacing w:after="0"/>
        <w:tabs>
          <w:tab w:leader="none" w:pos="424" w:val="left"/>
        </w:tabs>
        <w:numPr>
          <w:ilvl w:val="0"/>
          <w:numId w:val="136"/>
        </w:numPr>
        <w:rPr>
          <w:rFonts w:ascii="Arial" w:cs="Arial" w:eastAsia="Arial" w:hAnsi="Arial"/>
          <w:sz w:val="18"/>
          <w:szCs w:val="18"/>
          <w:i w:val="1"/>
          <w:iCs w:val="1"/>
          <w:color w:val="3E3935"/>
        </w:rPr>
      </w:pPr>
      <w:r>
        <w:rPr>
          <w:rFonts w:ascii="Arial" w:cs="Arial" w:eastAsia="Arial" w:hAnsi="Arial"/>
          <w:sz w:val="18"/>
          <w:szCs w:val="18"/>
          <w:i w:val="1"/>
          <w:iCs w:val="1"/>
          <w:color w:val="3E3935"/>
        </w:rPr>
        <w:t>Reflects CAP values computed in accordance with Item 402(v) of Regulation S-K and FASB ASC Topic 718.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419735</wp:posOffset>
            </wp:positionH>
            <wp:positionV relativeFrom="paragraph">
              <wp:posOffset>161925</wp:posOffset>
            </wp:positionV>
            <wp:extent cx="6574790" cy="825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6574790" cy="8255"/>
                    </a:xfrm>
                    <a:prstGeom prst="rect">
                      <a:avLst/>
                    </a:prstGeom>
                    <a:noFill/>
                  </pic:spPr>
                </pic:pic>
              </a:graphicData>
            </a:graphic>
          </wp:anchor>
        </w:drawing>
      </w:r>
    </w:p>
    <w:p>
      <w:pPr>
        <w:spacing w:after="0" w:line="200" w:lineRule="exact"/>
        <w:rPr>
          <w:sz w:val="20"/>
          <w:szCs w:val="20"/>
          <w:color w:val="auto"/>
        </w:rPr>
      </w:pPr>
    </w:p>
    <w:p>
      <w:pPr>
        <w:spacing w:after="0" w:line="256" w:lineRule="exact"/>
        <w:rPr>
          <w:sz w:val="20"/>
          <w:szCs w:val="20"/>
          <w:color w:val="auto"/>
        </w:rPr>
      </w:pPr>
    </w:p>
    <w:tbl>
      <w:tblPr>
        <w:tblLayout w:type="fixed"/>
        <w:tblInd w:w="664" w:type="dxa"/>
        <w:tblCellMar>
          <w:top w:w="0" w:type="dxa"/>
          <w:left w:w="0" w:type="dxa"/>
          <w:bottom w:w="0" w:type="dxa"/>
          <w:right w:w="0" w:type="dxa"/>
        </w:tblCellMar>
      </w:tblPr>
      <w:tr>
        <w:trPr>
          <w:trHeight w:val="211"/>
        </w:trPr>
        <w:tc>
          <w:tcPr>
            <w:tcW w:w="2920" w:type="dxa"/>
            <w:vAlign w:val="bottom"/>
          </w:tcPr>
          <w:p>
            <w:pPr>
              <w:spacing w:after="0"/>
              <w:rPr>
                <w:sz w:val="18"/>
                <w:szCs w:val="18"/>
                <w:color w:val="auto"/>
              </w:rPr>
            </w:pPr>
          </w:p>
        </w:tc>
        <w:tc>
          <w:tcPr>
            <w:tcW w:w="2320" w:type="dxa"/>
            <w:vAlign w:val="bottom"/>
            <w:tcBorders>
              <w:bottom w:val="single" w:sz="8" w:color="00C1DE"/>
            </w:tcBorders>
            <w:gridSpan w:val="2"/>
          </w:tcPr>
          <w:p>
            <w:pPr>
              <w:jc w:val="right"/>
              <w:ind w:right="924"/>
              <w:spacing w:after="0"/>
              <w:rPr>
                <w:sz w:val="20"/>
                <w:szCs w:val="20"/>
                <w:color w:val="auto"/>
              </w:rPr>
            </w:pPr>
            <w:r>
              <w:rPr>
                <w:rFonts w:ascii="Arial" w:cs="Arial" w:eastAsia="Arial" w:hAnsi="Arial"/>
                <w:sz w:val="14"/>
                <w:szCs w:val="14"/>
                <w:b w:val="1"/>
                <w:bCs w:val="1"/>
                <w:color w:val="00C1DE"/>
              </w:rPr>
              <w:t>2022</w:t>
            </w:r>
          </w:p>
        </w:tc>
        <w:tc>
          <w:tcPr>
            <w:tcW w:w="220" w:type="dxa"/>
            <w:vAlign w:val="bottom"/>
          </w:tcPr>
          <w:p>
            <w:pPr>
              <w:spacing w:after="0"/>
              <w:rPr>
                <w:sz w:val="18"/>
                <w:szCs w:val="18"/>
                <w:color w:val="auto"/>
              </w:rPr>
            </w:pPr>
          </w:p>
        </w:tc>
        <w:tc>
          <w:tcPr>
            <w:tcW w:w="2340" w:type="dxa"/>
            <w:vAlign w:val="bottom"/>
            <w:tcBorders>
              <w:bottom w:val="single" w:sz="8" w:color="00C1DE"/>
            </w:tcBorders>
            <w:gridSpan w:val="2"/>
          </w:tcPr>
          <w:p>
            <w:pPr>
              <w:jc w:val="right"/>
              <w:ind w:right="924"/>
              <w:spacing w:after="0"/>
              <w:rPr>
                <w:sz w:val="20"/>
                <w:szCs w:val="20"/>
                <w:color w:val="auto"/>
              </w:rPr>
            </w:pPr>
            <w:r>
              <w:rPr>
                <w:rFonts w:ascii="Arial" w:cs="Arial" w:eastAsia="Arial" w:hAnsi="Arial"/>
                <w:sz w:val="14"/>
                <w:szCs w:val="14"/>
                <w:b w:val="1"/>
                <w:bCs w:val="1"/>
                <w:color w:val="00C1DE"/>
              </w:rPr>
              <w:t>2021</w:t>
            </w:r>
          </w:p>
        </w:tc>
        <w:tc>
          <w:tcPr>
            <w:tcW w:w="220" w:type="dxa"/>
            <w:vAlign w:val="bottom"/>
          </w:tcPr>
          <w:p>
            <w:pPr>
              <w:spacing w:after="0"/>
              <w:rPr>
                <w:sz w:val="18"/>
                <w:szCs w:val="18"/>
                <w:color w:val="auto"/>
              </w:rPr>
            </w:pPr>
          </w:p>
        </w:tc>
        <w:tc>
          <w:tcPr>
            <w:tcW w:w="2340" w:type="dxa"/>
            <w:vAlign w:val="bottom"/>
            <w:tcBorders>
              <w:bottom w:val="single" w:sz="8" w:color="00C1DE"/>
            </w:tcBorders>
            <w:gridSpan w:val="2"/>
          </w:tcPr>
          <w:p>
            <w:pPr>
              <w:jc w:val="right"/>
              <w:ind w:right="944"/>
              <w:spacing w:after="0"/>
              <w:rPr>
                <w:sz w:val="20"/>
                <w:szCs w:val="20"/>
                <w:color w:val="auto"/>
              </w:rPr>
            </w:pPr>
            <w:r>
              <w:rPr>
                <w:rFonts w:ascii="Arial" w:cs="Arial" w:eastAsia="Arial" w:hAnsi="Arial"/>
                <w:sz w:val="14"/>
                <w:szCs w:val="14"/>
                <w:b w:val="1"/>
                <w:bCs w:val="1"/>
                <w:color w:val="00C1DE"/>
              </w:rPr>
              <w:t>2020</w:t>
            </w:r>
          </w:p>
        </w:tc>
      </w:tr>
      <w:tr>
        <w:trPr>
          <w:trHeight w:val="161"/>
        </w:trPr>
        <w:tc>
          <w:tcPr>
            <w:tcW w:w="29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44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00C1DE"/>
              </w:rPr>
              <w:t>Average</w:t>
            </w:r>
          </w:p>
        </w:tc>
        <w:tc>
          <w:tcPr>
            <w:tcW w:w="1100" w:type="dxa"/>
            <w:vAlign w:val="bottom"/>
          </w:tcPr>
          <w:p>
            <w:pPr>
              <w:spacing w:after="0"/>
              <w:rPr>
                <w:sz w:val="13"/>
                <w:szCs w:val="13"/>
                <w:color w:val="auto"/>
              </w:rPr>
            </w:pPr>
          </w:p>
        </w:tc>
        <w:tc>
          <w:tcPr>
            <w:tcW w:w="146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00C1DE"/>
              </w:rPr>
              <w:t>Average</w:t>
            </w:r>
          </w:p>
        </w:tc>
        <w:tc>
          <w:tcPr>
            <w:tcW w:w="1100" w:type="dxa"/>
            <w:vAlign w:val="bottom"/>
          </w:tcPr>
          <w:p>
            <w:pPr>
              <w:spacing w:after="0"/>
              <w:rPr>
                <w:sz w:val="13"/>
                <w:szCs w:val="13"/>
                <w:color w:val="auto"/>
              </w:rPr>
            </w:pPr>
          </w:p>
        </w:tc>
        <w:tc>
          <w:tcPr>
            <w:tcW w:w="1240" w:type="dxa"/>
            <w:vAlign w:val="bottom"/>
          </w:tcPr>
          <w:p>
            <w:pPr>
              <w:jc w:val="right"/>
              <w:ind w:right="24"/>
              <w:spacing w:after="0"/>
              <w:rPr>
                <w:sz w:val="20"/>
                <w:szCs w:val="20"/>
                <w:color w:val="auto"/>
              </w:rPr>
            </w:pPr>
            <w:r>
              <w:rPr>
                <w:rFonts w:ascii="Arial" w:cs="Arial" w:eastAsia="Arial" w:hAnsi="Arial"/>
                <w:sz w:val="14"/>
                <w:szCs w:val="14"/>
                <w:b w:val="1"/>
                <w:bCs w:val="1"/>
                <w:color w:val="00C1DE"/>
              </w:rPr>
              <w:t>Average</w:t>
            </w:r>
          </w:p>
        </w:tc>
      </w:tr>
      <w:tr>
        <w:trPr>
          <w:trHeight w:val="197"/>
        </w:trPr>
        <w:tc>
          <w:tcPr>
            <w:tcW w:w="2920" w:type="dxa"/>
            <w:vAlign w:val="bottom"/>
            <w:tcBorders>
              <w:bottom w:val="single" w:sz="8" w:color="00C1DE"/>
            </w:tcBorders>
          </w:tcPr>
          <w:p>
            <w:pPr>
              <w:spacing w:after="0"/>
              <w:rPr>
                <w:sz w:val="17"/>
                <w:szCs w:val="17"/>
                <w:color w:val="auto"/>
              </w:rPr>
            </w:pPr>
          </w:p>
        </w:tc>
        <w:tc>
          <w:tcPr>
            <w:tcW w:w="1100" w:type="dxa"/>
            <w:vAlign w:val="bottom"/>
            <w:tcBorders>
              <w:bottom w:val="single" w:sz="8" w:color="00C1DE"/>
            </w:tcBorders>
          </w:tcPr>
          <w:p>
            <w:pPr>
              <w:jc w:val="right"/>
              <w:ind w:right="344"/>
              <w:spacing w:after="0"/>
              <w:rPr>
                <w:sz w:val="20"/>
                <w:szCs w:val="20"/>
                <w:color w:val="auto"/>
              </w:rPr>
            </w:pPr>
            <w:r>
              <w:rPr>
                <w:rFonts w:ascii="Arial" w:cs="Arial" w:eastAsia="Arial" w:hAnsi="Arial"/>
                <w:sz w:val="14"/>
                <w:szCs w:val="14"/>
                <w:b w:val="1"/>
                <w:bCs w:val="1"/>
                <w:color w:val="00C1DE"/>
              </w:rPr>
              <w:t>CEO</w:t>
            </w:r>
          </w:p>
        </w:tc>
        <w:tc>
          <w:tcPr>
            <w:tcW w:w="1440" w:type="dxa"/>
            <w:vAlign w:val="bottom"/>
            <w:tcBorders>
              <w:bottom w:val="single" w:sz="8" w:color="00C1DE"/>
            </w:tcBorders>
            <w:gridSpan w:val="2"/>
          </w:tcPr>
          <w:p>
            <w:pPr>
              <w:jc w:val="right"/>
              <w:ind w:right="300"/>
              <w:spacing w:after="0"/>
              <w:rPr>
                <w:sz w:val="20"/>
                <w:szCs w:val="20"/>
                <w:color w:val="auto"/>
              </w:rPr>
            </w:pPr>
            <w:r>
              <w:rPr>
                <w:rFonts w:ascii="Arial" w:cs="Arial" w:eastAsia="Arial" w:hAnsi="Arial"/>
                <w:sz w:val="14"/>
                <w:szCs w:val="14"/>
                <w:b w:val="1"/>
                <w:bCs w:val="1"/>
                <w:color w:val="00C1DE"/>
              </w:rPr>
              <w:t>Non-CEO NEOs</w:t>
            </w:r>
          </w:p>
        </w:tc>
        <w:tc>
          <w:tcPr>
            <w:tcW w:w="1100" w:type="dxa"/>
            <w:vAlign w:val="bottom"/>
            <w:tcBorders>
              <w:bottom w:val="single" w:sz="8" w:color="00C1DE"/>
            </w:tcBorders>
          </w:tcPr>
          <w:p>
            <w:pPr>
              <w:jc w:val="right"/>
              <w:ind w:right="324"/>
              <w:spacing w:after="0"/>
              <w:rPr>
                <w:sz w:val="20"/>
                <w:szCs w:val="20"/>
                <w:color w:val="auto"/>
              </w:rPr>
            </w:pPr>
            <w:r>
              <w:rPr>
                <w:rFonts w:ascii="Arial" w:cs="Arial" w:eastAsia="Arial" w:hAnsi="Arial"/>
                <w:sz w:val="14"/>
                <w:szCs w:val="14"/>
                <w:b w:val="1"/>
                <w:bCs w:val="1"/>
                <w:color w:val="00C1DE"/>
              </w:rPr>
              <w:t>CEO</w:t>
            </w:r>
          </w:p>
        </w:tc>
        <w:tc>
          <w:tcPr>
            <w:tcW w:w="1460" w:type="dxa"/>
            <w:vAlign w:val="bottom"/>
            <w:tcBorders>
              <w:bottom w:val="single" w:sz="8" w:color="00C1DE"/>
            </w:tcBorders>
            <w:gridSpan w:val="2"/>
          </w:tcPr>
          <w:p>
            <w:pPr>
              <w:jc w:val="right"/>
              <w:ind w:right="320"/>
              <w:spacing w:after="0"/>
              <w:rPr>
                <w:sz w:val="20"/>
                <w:szCs w:val="20"/>
                <w:color w:val="auto"/>
              </w:rPr>
            </w:pPr>
            <w:r>
              <w:rPr>
                <w:rFonts w:ascii="Arial" w:cs="Arial" w:eastAsia="Arial" w:hAnsi="Arial"/>
                <w:sz w:val="14"/>
                <w:szCs w:val="14"/>
                <w:b w:val="1"/>
                <w:bCs w:val="1"/>
                <w:color w:val="00C1DE"/>
              </w:rPr>
              <w:t>Non-CEO NEOs</w:t>
            </w:r>
          </w:p>
        </w:tc>
        <w:tc>
          <w:tcPr>
            <w:tcW w:w="1100" w:type="dxa"/>
            <w:vAlign w:val="bottom"/>
            <w:tcBorders>
              <w:bottom w:val="single" w:sz="8" w:color="00C1DE"/>
            </w:tcBorders>
          </w:tcPr>
          <w:p>
            <w:pPr>
              <w:jc w:val="right"/>
              <w:ind w:right="344"/>
              <w:spacing w:after="0"/>
              <w:rPr>
                <w:sz w:val="20"/>
                <w:szCs w:val="20"/>
                <w:color w:val="auto"/>
              </w:rPr>
            </w:pPr>
            <w:r>
              <w:rPr>
                <w:rFonts w:ascii="Arial" w:cs="Arial" w:eastAsia="Arial" w:hAnsi="Arial"/>
                <w:sz w:val="14"/>
                <w:szCs w:val="14"/>
                <w:b w:val="1"/>
                <w:bCs w:val="1"/>
                <w:color w:val="00C1DE"/>
              </w:rPr>
              <w:t>CEO</w:t>
            </w:r>
          </w:p>
        </w:tc>
        <w:tc>
          <w:tcPr>
            <w:tcW w:w="1240" w:type="dxa"/>
            <w:vAlign w:val="bottom"/>
            <w:tcBorders>
              <w:bottom w:val="single" w:sz="8" w:color="00C1DE"/>
            </w:tcBorders>
          </w:tcPr>
          <w:p>
            <w:pPr>
              <w:jc w:val="right"/>
              <w:ind w:right="24"/>
              <w:spacing w:after="0"/>
              <w:rPr>
                <w:sz w:val="20"/>
                <w:szCs w:val="20"/>
                <w:color w:val="auto"/>
              </w:rPr>
            </w:pPr>
            <w:r>
              <w:rPr>
                <w:rFonts w:ascii="Arial" w:cs="Arial" w:eastAsia="Arial" w:hAnsi="Arial"/>
                <w:sz w:val="14"/>
                <w:szCs w:val="14"/>
                <w:b w:val="1"/>
                <w:bCs w:val="1"/>
                <w:color w:val="00C1DE"/>
              </w:rPr>
              <w:t>Non-CEO NEOs</w:t>
            </w:r>
          </w:p>
        </w:tc>
      </w:tr>
      <w:tr>
        <w:trPr>
          <w:trHeight w:val="245"/>
        </w:trPr>
        <w:tc>
          <w:tcPr>
            <w:tcW w:w="2920" w:type="dxa"/>
            <w:vAlign w:val="bottom"/>
          </w:tcPr>
          <w:p>
            <w:pPr>
              <w:ind w:left="80"/>
              <w:spacing w:after="0"/>
              <w:rPr>
                <w:sz w:val="20"/>
                <w:szCs w:val="20"/>
                <w:color w:val="auto"/>
              </w:rPr>
            </w:pPr>
            <w:r>
              <w:rPr>
                <w:rFonts w:ascii="Arial" w:cs="Arial" w:eastAsia="Arial" w:hAnsi="Arial"/>
                <w:sz w:val="15"/>
                <w:szCs w:val="15"/>
                <w:color w:val="3E3935"/>
              </w:rPr>
              <w:t>SCT Total</w:t>
            </w:r>
          </w:p>
        </w:tc>
        <w:tc>
          <w:tcPr>
            <w:tcW w:w="1100" w:type="dxa"/>
            <w:vAlign w:val="bottom"/>
          </w:tcPr>
          <w:p>
            <w:pPr>
              <w:jc w:val="right"/>
              <w:ind w:right="64"/>
              <w:spacing w:after="0"/>
              <w:rPr>
                <w:sz w:val="20"/>
                <w:szCs w:val="20"/>
                <w:color w:val="auto"/>
              </w:rPr>
            </w:pPr>
            <w:r>
              <w:rPr>
                <w:rFonts w:ascii="Arial" w:cs="Arial" w:eastAsia="Arial" w:hAnsi="Arial"/>
                <w:sz w:val="15"/>
                <w:szCs w:val="15"/>
                <w:color w:val="3E3935"/>
              </w:rPr>
              <w:t>28,979,570</w:t>
            </w:r>
          </w:p>
        </w:tc>
        <w:tc>
          <w:tcPr>
            <w:tcW w:w="1220" w:type="dxa"/>
            <w:vAlign w:val="bottom"/>
          </w:tcPr>
          <w:p>
            <w:pPr>
              <w:jc w:val="right"/>
              <w:ind w:right="4"/>
              <w:spacing w:after="0"/>
              <w:rPr>
                <w:sz w:val="20"/>
                <w:szCs w:val="20"/>
                <w:color w:val="auto"/>
              </w:rPr>
            </w:pPr>
            <w:r>
              <w:rPr>
                <w:rFonts w:ascii="Arial" w:cs="Arial" w:eastAsia="Arial" w:hAnsi="Arial"/>
                <w:sz w:val="15"/>
                <w:szCs w:val="15"/>
                <w:color w:val="3E3935"/>
              </w:rPr>
              <w:t>10,539,930</w:t>
            </w:r>
          </w:p>
        </w:tc>
        <w:tc>
          <w:tcPr>
            <w:tcW w:w="220" w:type="dxa"/>
            <w:vAlign w:val="bottom"/>
          </w:tcPr>
          <w:p>
            <w:pPr>
              <w:spacing w:after="0"/>
              <w:rPr>
                <w:sz w:val="21"/>
                <w:szCs w:val="21"/>
                <w:color w:val="auto"/>
              </w:rPr>
            </w:pPr>
          </w:p>
        </w:tc>
        <w:tc>
          <w:tcPr>
            <w:tcW w:w="1100" w:type="dxa"/>
            <w:vAlign w:val="bottom"/>
          </w:tcPr>
          <w:p>
            <w:pPr>
              <w:jc w:val="right"/>
              <w:ind w:right="44"/>
              <w:spacing w:after="0"/>
              <w:rPr>
                <w:sz w:val="20"/>
                <w:szCs w:val="20"/>
                <w:color w:val="auto"/>
              </w:rPr>
            </w:pPr>
            <w:r>
              <w:rPr>
                <w:rFonts w:ascii="Arial" w:cs="Arial" w:eastAsia="Arial" w:hAnsi="Arial"/>
                <w:sz w:val="15"/>
                <w:szCs w:val="15"/>
                <w:color w:val="3E3935"/>
              </w:rPr>
              <w:t>29,136,780</w:t>
            </w:r>
          </w:p>
        </w:tc>
        <w:tc>
          <w:tcPr>
            <w:tcW w:w="1240" w:type="dxa"/>
            <w:vAlign w:val="bottom"/>
          </w:tcPr>
          <w:p>
            <w:pPr>
              <w:jc w:val="right"/>
              <w:ind w:right="24"/>
              <w:spacing w:after="0"/>
              <w:rPr>
                <w:sz w:val="20"/>
                <w:szCs w:val="20"/>
                <w:color w:val="auto"/>
              </w:rPr>
            </w:pPr>
            <w:r>
              <w:rPr>
                <w:rFonts w:ascii="Arial" w:cs="Arial" w:eastAsia="Arial" w:hAnsi="Arial"/>
                <w:sz w:val="15"/>
                <w:szCs w:val="15"/>
                <w:color w:val="3E3935"/>
              </w:rPr>
              <w:t>9,982,519</w:t>
            </w:r>
          </w:p>
        </w:tc>
        <w:tc>
          <w:tcPr>
            <w:tcW w:w="220" w:type="dxa"/>
            <w:vAlign w:val="bottom"/>
          </w:tcPr>
          <w:p>
            <w:pPr>
              <w:spacing w:after="0"/>
              <w:rPr>
                <w:sz w:val="21"/>
                <w:szCs w:val="21"/>
                <w:color w:val="auto"/>
              </w:rPr>
            </w:pPr>
          </w:p>
        </w:tc>
        <w:tc>
          <w:tcPr>
            <w:tcW w:w="1100" w:type="dxa"/>
            <w:vAlign w:val="bottom"/>
          </w:tcPr>
          <w:p>
            <w:pPr>
              <w:jc w:val="right"/>
              <w:ind w:right="64"/>
              <w:spacing w:after="0"/>
              <w:rPr>
                <w:sz w:val="20"/>
                <w:szCs w:val="20"/>
                <w:color w:val="auto"/>
              </w:rPr>
            </w:pPr>
            <w:r>
              <w:rPr>
                <w:rFonts w:ascii="Arial" w:cs="Arial" w:eastAsia="Arial" w:hAnsi="Arial"/>
                <w:sz w:val="15"/>
                <w:szCs w:val="15"/>
                <w:color w:val="3E3935"/>
              </w:rPr>
              <w:t>23,657,987</w:t>
            </w:r>
          </w:p>
        </w:tc>
        <w:tc>
          <w:tcPr>
            <w:tcW w:w="1240" w:type="dxa"/>
            <w:vAlign w:val="bottom"/>
          </w:tcPr>
          <w:p>
            <w:pPr>
              <w:jc w:val="right"/>
              <w:ind w:right="24"/>
              <w:spacing w:after="0"/>
              <w:rPr>
                <w:sz w:val="20"/>
                <w:szCs w:val="20"/>
                <w:color w:val="auto"/>
              </w:rPr>
            </w:pPr>
            <w:r>
              <w:rPr>
                <w:rFonts w:ascii="Arial" w:cs="Arial" w:eastAsia="Arial" w:hAnsi="Arial"/>
                <w:sz w:val="15"/>
                <w:szCs w:val="15"/>
                <w:color w:val="3E3935"/>
              </w:rPr>
              <w:t>6,632,869</w:t>
            </w:r>
          </w:p>
        </w:tc>
      </w:tr>
      <w:tr>
        <w:trPr>
          <w:trHeight w:val="60"/>
        </w:trPr>
        <w:tc>
          <w:tcPr>
            <w:tcW w:w="2920" w:type="dxa"/>
            <w:vAlign w:val="bottom"/>
            <w:tcBorders>
              <w:bottom w:val="single" w:sz="8" w:color="3E3935"/>
            </w:tcBorders>
          </w:tcPr>
          <w:p>
            <w:pPr>
              <w:spacing w:after="0"/>
              <w:rPr>
                <w:sz w:val="5"/>
                <w:szCs w:val="5"/>
                <w:color w:val="auto"/>
              </w:rPr>
            </w:pPr>
          </w:p>
        </w:tc>
        <w:tc>
          <w:tcPr>
            <w:tcW w:w="1100" w:type="dxa"/>
            <w:vAlign w:val="bottom"/>
            <w:tcBorders>
              <w:bottom w:val="single" w:sz="8" w:color="3E3935"/>
            </w:tcBorders>
          </w:tcPr>
          <w:p>
            <w:pPr>
              <w:spacing w:after="0"/>
              <w:rPr>
                <w:sz w:val="5"/>
                <w:szCs w:val="5"/>
                <w:color w:val="auto"/>
              </w:rPr>
            </w:pPr>
          </w:p>
        </w:tc>
        <w:tc>
          <w:tcPr>
            <w:tcW w:w="1220" w:type="dxa"/>
            <w:vAlign w:val="bottom"/>
            <w:tcBorders>
              <w:bottom w:val="single" w:sz="8" w:color="3E3935"/>
            </w:tcBorders>
          </w:tcPr>
          <w:p>
            <w:pPr>
              <w:spacing w:after="0"/>
              <w:rPr>
                <w:sz w:val="5"/>
                <w:szCs w:val="5"/>
                <w:color w:val="auto"/>
              </w:rPr>
            </w:pPr>
          </w:p>
        </w:tc>
        <w:tc>
          <w:tcPr>
            <w:tcW w:w="220" w:type="dxa"/>
            <w:vAlign w:val="bottom"/>
            <w:tcBorders>
              <w:bottom w:val="single" w:sz="8" w:color="3E3935"/>
            </w:tcBorders>
          </w:tcPr>
          <w:p>
            <w:pPr>
              <w:spacing w:after="0"/>
              <w:rPr>
                <w:sz w:val="5"/>
                <w:szCs w:val="5"/>
                <w:color w:val="auto"/>
              </w:rPr>
            </w:pPr>
          </w:p>
        </w:tc>
        <w:tc>
          <w:tcPr>
            <w:tcW w:w="1100" w:type="dxa"/>
            <w:vAlign w:val="bottom"/>
            <w:tcBorders>
              <w:bottom w:val="single" w:sz="8" w:color="3E3935"/>
            </w:tcBorders>
          </w:tcPr>
          <w:p>
            <w:pPr>
              <w:spacing w:after="0"/>
              <w:rPr>
                <w:sz w:val="5"/>
                <w:szCs w:val="5"/>
                <w:color w:val="auto"/>
              </w:rPr>
            </w:pPr>
          </w:p>
        </w:tc>
        <w:tc>
          <w:tcPr>
            <w:tcW w:w="1240" w:type="dxa"/>
            <w:vAlign w:val="bottom"/>
            <w:tcBorders>
              <w:bottom w:val="single" w:sz="8" w:color="3E3935"/>
            </w:tcBorders>
          </w:tcPr>
          <w:p>
            <w:pPr>
              <w:spacing w:after="0"/>
              <w:rPr>
                <w:sz w:val="5"/>
                <w:szCs w:val="5"/>
                <w:color w:val="auto"/>
              </w:rPr>
            </w:pPr>
          </w:p>
        </w:tc>
        <w:tc>
          <w:tcPr>
            <w:tcW w:w="220" w:type="dxa"/>
            <w:vAlign w:val="bottom"/>
            <w:tcBorders>
              <w:bottom w:val="single" w:sz="8" w:color="3E3935"/>
            </w:tcBorders>
          </w:tcPr>
          <w:p>
            <w:pPr>
              <w:spacing w:after="0"/>
              <w:rPr>
                <w:sz w:val="5"/>
                <w:szCs w:val="5"/>
                <w:color w:val="auto"/>
              </w:rPr>
            </w:pPr>
          </w:p>
        </w:tc>
        <w:tc>
          <w:tcPr>
            <w:tcW w:w="1100" w:type="dxa"/>
            <w:vAlign w:val="bottom"/>
            <w:tcBorders>
              <w:bottom w:val="single" w:sz="8" w:color="3E3935"/>
            </w:tcBorders>
          </w:tcPr>
          <w:p>
            <w:pPr>
              <w:spacing w:after="0"/>
              <w:rPr>
                <w:sz w:val="5"/>
                <w:szCs w:val="5"/>
                <w:color w:val="auto"/>
              </w:rPr>
            </w:pPr>
          </w:p>
        </w:tc>
        <w:tc>
          <w:tcPr>
            <w:tcW w:w="1240" w:type="dxa"/>
            <w:vAlign w:val="bottom"/>
            <w:tcBorders>
              <w:bottom w:val="single" w:sz="8" w:color="3E3935"/>
            </w:tcBorders>
          </w:tcPr>
          <w:p>
            <w:pPr>
              <w:spacing w:after="0"/>
              <w:rPr>
                <w:sz w:val="5"/>
                <w:szCs w:val="5"/>
                <w:color w:val="auto"/>
              </w:rPr>
            </w:pPr>
          </w:p>
        </w:tc>
      </w:tr>
      <w:tr>
        <w:trPr>
          <w:trHeight w:val="206"/>
        </w:trPr>
        <w:tc>
          <w:tcPr>
            <w:tcW w:w="2920" w:type="dxa"/>
            <w:vAlign w:val="bottom"/>
          </w:tcPr>
          <w:p>
            <w:pPr>
              <w:ind w:left="80"/>
              <w:spacing w:after="0"/>
              <w:rPr>
                <w:sz w:val="20"/>
                <w:szCs w:val="20"/>
                <w:color w:val="auto"/>
              </w:rPr>
            </w:pPr>
            <w:r>
              <w:rPr>
                <w:rFonts w:ascii="Arial" w:cs="Arial" w:eastAsia="Arial" w:hAnsi="Arial"/>
                <w:sz w:val="15"/>
                <w:szCs w:val="15"/>
                <w:color w:val="3E3935"/>
              </w:rPr>
              <w:t>Less: Change in Actuarial Present Value</w:t>
            </w:r>
          </w:p>
        </w:tc>
        <w:tc>
          <w:tcPr>
            <w:tcW w:w="1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162"/>
        </w:trPr>
        <w:tc>
          <w:tcPr>
            <w:tcW w:w="2920" w:type="dxa"/>
            <w:vAlign w:val="bottom"/>
          </w:tcPr>
          <w:p>
            <w:pPr>
              <w:ind w:left="80"/>
              <w:spacing w:after="0" w:line="162" w:lineRule="exact"/>
              <w:rPr>
                <w:sz w:val="20"/>
                <w:szCs w:val="20"/>
                <w:color w:val="auto"/>
              </w:rPr>
            </w:pPr>
            <w:r>
              <w:rPr>
                <w:rFonts w:ascii="Arial" w:cs="Arial" w:eastAsia="Arial" w:hAnsi="Arial"/>
                <w:sz w:val="15"/>
                <w:szCs w:val="15"/>
                <w:color w:val="3E3935"/>
              </w:rPr>
              <w:t>Reported in the “Change in Pension</w:t>
            </w:r>
          </w:p>
        </w:tc>
        <w:tc>
          <w:tcPr>
            <w:tcW w:w="1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62"/>
        </w:trPr>
        <w:tc>
          <w:tcPr>
            <w:tcW w:w="2920" w:type="dxa"/>
            <w:vAlign w:val="bottom"/>
          </w:tcPr>
          <w:p>
            <w:pPr>
              <w:ind w:left="80"/>
              <w:spacing w:after="0" w:line="162" w:lineRule="exact"/>
              <w:rPr>
                <w:sz w:val="20"/>
                <w:szCs w:val="20"/>
                <w:color w:val="auto"/>
              </w:rPr>
            </w:pPr>
            <w:r>
              <w:rPr>
                <w:rFonts w:ascii="Arial" w:cs="Arial" w:eastAsia="Arial" w:hAnsi="Arial"/>
                <w:sz w:val="15"/>
                <w:szCs w:val="15"/>
                <w:color w:val="3E3935"/>
              </w:rPr>
              <w:t>Value and NQ Deferred Compensation</w:t>
            </w:r>
          </w:p>
        </w:tc>
        <w:tc>
          <w:tcPr>
            <w:tcW w:w="1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200"/>
        </w:trPr>
        <w:tc>
          <w:tcPr>
            <w:tcW w:w="2920" w:type="dxa"/>
            <w:vAlign w:val="bottom"/>
          </w:tcPr>
          <w:p>
            <w:pPr>
              <w:ind w:left="80"/>
              <w:spacing w:after="0"/>
              <w:rPr>
                <w:sz w:val="20"/>
                <w:szCs w:val="20"/>
                <w:color w:val="auto"/>
              </w:rPr>
            </w:pPr>
            <w:r>
              <w:rPr>
                <w:rFonts w:ascii="Arial" w:cs="Arial" w:eastAsia="Arial" w:hAnsi="Arial"/>
                <w:sz w:val="15"/>
                <w:szCs w:val="15"/>
                <w:color w:val="3E3935"/>
              </w:rPr>
              <w:t>Earnings” Column of the SCT</w:t>
            </w:r>
          </w:p>
        </w:tc>
        <w:tc>
          <w:tcPr>
            <w:tcW w:w="1100" w:type="dxa"/>
            <w:vAlign w:val="bottom"/>
          </w:tcPr>
          <w:p>
            <w:pPr>
              <w:jc w:val="right"/>
              <w:ind w:right="64"/>
              <w:spacing w:after="0"/>
              <w:rPr>
                <w:sz w:val="20"/>
                <w:szCs w:val="20"/>
                <w:color w:val="auto"/>
              </w:rPr>
            </w:pPr>
            <w:r>
              <w:rPr>
                <w:rFonts w:ascii="Arial" w:cs="Arial" w:eastAsia="Arial" w:hAnsi="Arial"/>
                <w:sz w:val="15"/>
                <w:szCs w:val="15"/>
                <w:color w:val="3E3935"/>
              </w:rPr>
              <w:t>—</w:t>
            </w:r>
          </w:p>
        </w:tc>
        <w:tc>
          <w:tcPr>
            <w:tcW w:w="1440" w:type="dxa"/>
            <w:vAlign w:val="bottom"/>
            <w:gridSpan w:val="2"/>
          </w:tcPr>
          <w:p>
            <w:pPr>
              <w:jc w:val="right"/>
              <w:ind w:right="300"/>
              <w:spacing w:after="0"/>
              <w:rPr>
                <w:sz w:val="20"/>
                <w:szCs w:val="20"/>
                <w:color w:val="auto"/>
              </w:rPr>
            </w:pPr>
            <w:r>
              <w:rPr>
                <w:rFonts w:ascii="Arial" w:cs="Arial" w:eastAsia="Arial" w:hAnsi="Arial"/>
                <w:sz w:val="15"/>
                <w:szCs w:val="15"/>
                <w:color w:val="3E3935"/>
              </w:rPr>
              <w:t>—</w:t>
            </w:r>
          </w:p>
        </w:tc>
        <w:tc>
          <w:tcPr>
            <w:tcW w:w="1100" w:type="dxa"/>
            <w:vAlign w:val="bottom"/>
          </w:tcPr>
          <w:p>
            <w:pPr>
              <w:jc w:val="right"/>
              <w:ind w:right="44"/>
              <w:spacing w:after="0"/>
              <w:rPr>
                <w:sz w:val="20"/>
                <w:szCs w:val="20"/>
                <w:color w:val="auto"/>
              </w:rPr>
            </w:pPr>
            <w:r>
              <w:rPr>
                <w:rFonts w:ascii="Arial" w:cs="Arial" w:eastAsia="Arial" w:hAnsi="Arial"/>
                <w:sz w:val="15"/>
                <w:szCs w:val="15"/>
                <w:color w:val="3E3935"/>
              </w:rPr>
              <w:t>—</w:t>
            </w:r>
          </w:p>
        </w:tc>
        <w:tc>
          <w:tcPr>
            <w:tcW w:w="1460" w:type="dxa"/>
            <w:vAlign w:val="bottom"/>
            <w:gridSpan w:val="2"/>
          </w:tcPr>
          <w:p>
            <w:pPr>
              <w:jc w:val="right"/>
              <w:ind w:right="320"/>
              <w:spacing w:after="0"/>
              <w:rPr>
                <w:sz w:val="20"/>
                <w:szCs w:val="20"/>
                <w:color w:val="auto"/>
              </w:rPr>
            </w:pPr>
            <w:r>
              <w:rPr>
                <w:rFonts w:ascii="Arial" w:cs="Arial" w:eastAsia="Arial" w:hAnsi="Arial"/>
                <w:sz w:val="15"/>
                <w:szCs w:val="15"/>
                <w:color w:val="3E3935"/>
              </w:rPr>
              <w:t>—</w:t>
            </w:r>
          </w:p>
        </w:tc>
        <w:tc>
          <w:tcPr>
            <w:tcW w:w="1100" w:type="dxa"/>
            <w:vAlign w:val="bottom"/>
          </w:tcPr>
          <w:p>
            <w:pPr>
              <w:jc w:val="right"/>
              <w:ind w:right="4"/>
              <w:spacing w:after="0"/>
              <w:rPr>
                <w:sz w:val="20"/>
                <w:szCs w:val="20"/>
                <w:color w:val="auto"/>
              </w:rPr>
            </w:pPr>
            <w:r>
              <w:rPr>
                <w:rFonts w:ascii="Arial" w:cs="Arial" w:eastAsia="Arial" w:hAnsi="Arial"/>
                <w:sz w:val="15"/>
                <w:szCs w:val="15"/>
                <w:color w:val="3E3935"/>
              </w:rPr>
              <w:t>(423,608)</w:t>
            </w:r>
          </w:p>
        </w:tc>
        <w:tc>
          <w:tcPr>
            <w:tcW w:w="1240" w:type="dxa"/>
            <w:vAlign w:val="bottom"/>
          </w:tcPr>
          <w:p>
            <w:pPr>
              <w:jc w:val="right"/>
              <w:spacing w:after="0"/>
              <w:rPr>
                <w:sz w:val="20"/>
                <w:szCs w:val="20"/>
                <w:color w:val="auto"/>
              </w:rPr>
            </w:pPr>
            <w:r>
              <w:rPr>
                <w:rFonts w:ascii="Arial" w:cs="Arial" w:eastAsia="Arial" w:hAnsi="Arial"/>
                <w:sz w:val="15"/>
                <w:szCs w:val="15"/>
                <w:color w:val="3E3935"/>
              </w:rPr>
              <w:t>(141,675)</w:t>
            </w:r>
          </w:p>
        </w:tc>
      </w:tr>
      <w:tr>
        <w:trPr>
          <w:trHeight w:val="60"/>
        </w:trPr>
        <w:tc>
          <w:tcPr>
            <w:tcW w:w="2920" w:type="dxa"/>
            <w:vAlign w:val="bottom"/>
            <w:tcBorders>
              <w:bottom w:val="single" w:sz="8" w:color="3E3935"/>
            </w:tcBorders>
          </w:tcPr>
          <w:p>
            <w:pPr>
              <w:spacing w:after="0"/>
              <w:rPr>
                <w:sz w:val="5"/>
                <w:szCs w:val="5"/>
                <w:color w:val="auto"/>
              </w:rPr>
            </w:pPr>
          </w:p>
        </w:tc>
        <w:tc>
          <w:tcPr>
            <w:tcW w:w="1100" w:type="dxa"/>
            <w:vAlign w:val="bottom"/>
            <w:tcBorders>
              <w:bottom w:val="single" w:sz="8" w:color="3E3935"/>
            </w:tcBorders>
          </w:tcPr>
          <w:p>
            <w:pPr>
              <w:spacing w:after="0"/>
              <w:rPr>
                <w:sz w:val="5"/>
                <w:szCs w:val="5"/>
                <w:color w:val="auto"/>
              </w:rPr>
            </w:pPr>
          </w:p>
        </w:tc>
        <w:tc>
          <w:tcPr>
            <w:tcW w:w="1220" w:type="dxa"/>
            <w:vAlign w:val="bottom"/>
            <w:tcBorders>
              <w:bottom w:val="single" w:sz="8" w:color="3E3935"/>
            </w:tcBorders>
          </w:tcPr>
          <w:p>
            <w:pPr>
              <w:spacing w:after="0"/>
              <w:rPr>
                <w:sz w:val="5"/>
                <w:szCs w:val="5"/>
                <w:color w:val="auto"/>
              </w:rPr>
            </w:pPr>
          </w:p>
        </w:tc>
        <w:tc>
          <w:tcPr>
            <w:tcW w:w="220" w:type="dxa"/>
            <w:vAlign w:val="bottom"/>
            <w:tcBorders>
              <w:bottom w:val="single" w:sz="8" w:color="3E3935"/>
            </w:tcBorders>
          </w:tcPr>
          <w:p>
            <w:pPr>
              <w:spacing w:after="0"/>
              <w:rPr>
                <w:sz w:val="5"/>
                <w:szCs w:val="5"/>
                <w:color w:val="auto"/>
              </w:rPr>
            </w:pPr>
          </w:p>
        </w:tc>
        <w:tc>
          <w:tcPr>
            <w:tcW w:w="1100" w:type="dxa"/>
            <w:vAlign w:val="bottom"/>
            <w:tcBorders>
              <w:bottom w:val="single" w:sz="8" w:color="3E3935"/>
            </w:tcBorders>
          </w:tcPr>
          <w:p>
            <w:pPr>
              <w:spacing w:after="0"/>
              <w:rPr>
                <w:sz w:val="5"/>
                <w:szCs w:val="5"/>
                <w:color w:val="auto"/>
              </w:rPr>
            </w:pPr>
          </w:p>
        </w:tc>
        <w:tc>
          <w:tcPr>
            <w:tcW w:w="1240" w:type="dxa"/>
            <w:vAlign w:val="bottom"/>
            <w:tcBorders>
              <w:bottom w:val="single" w:sz="8" w:color="3E3935"/>
            </w:tcBorders>
          </w:tcPr>
          <w:p>
            <w:pPr>
              <w:spacing w:after="0"/>
              <w:rPr>
                <w:sz w:val="5"/>
                <w:szCs w:val="5"/>
                <w:color w:val="auto"/>
              </w:rPr>
            </w:pPr>
          </w:p>
        </w:tc>
        <w:tc>
          <w:tcPr>
            <w:tcW w:w="220" w:type="dxa"/>
            <w:vAlign w:val="bottom"/>
            <w:tcBorders>
              <w:bottom w:val="single" w:sz="8" w:color="3E3935"/>
            </w:tcBorders>
          </w:tcPr>
          <w:p>
            <w:pPr>
              <w:spacing w:after="0"/>
              <w:rPr>
                <w:sz w:val="5"/>
                <w:szCs w:val="5"/>
                <w:color w:val="auto"/>
              </w:rPr>
            </w:pPr>
          </w:p>
        </w:tc>
        <w:tc>
          <w:tcPr>
            <w:tcW w:w="1100" w:type="dxa"/>
            <w:vAlign w:val="bottom"/>
            <w:tcBorders>
              <w:bottom w:val="single" w:sz="8" w:color="3E3935"/>
            </w:tcBorders>
          </w:tcPr>
          <w:p>
            <w:pPr>
              <w:spacing w:after="0"/>
              <w:rPr>
                <w:sz w:val="5"/>
                <w:szCs w:val="5"/>
                <w:color w:val="auto"/>
              </w:rPr>
            </w:pPr>
          </w:p>
        </w:tc>
        <w:tc>
          <w:tcPr>
            <w:tcW w:w="1240" w:type="dxa"/>
            <w:vAlign w:val="bottom"/>
            <w:tcBorders>
              <w:bottom w:val="single" w:sz="8" w:color="3E3935"/>
            </w:tcBorders>
          </w:tcPr>
          <w:p>
            <w:pPr>
              <w:spacing w:after="0"/>
              <w:rPr>
                <w:sz w:val="5"/>
                <w:szCs w:val="5"/>
                <w:color w:val="auto"/>
              </w:rPr>
            </w:pPr>
          </w:p>
        </w:tc>
      </w:tr>
      <w:tr>
        <w:trPr>
          <w:trHeight w:val="244"/>
        </w:trPr>
        <w:tc>
          <w:tcPr>
            <w:tcW w:w="2920" w:type="dxa"/>
            <w:vAlign w:val="bottom"/>
          </w:tcPr>
          <w:p>
            <w:pPr>
              <w:ind w:left="80"/>
              <w:spacing w:after="0"/>
              <w:rPr>
                <w:sz w:val="20"/>
                <w:szCs w:val="20"/>
                <w:color w:val="auto"/>
              </w:rPr>
            </w:pPr>
            <w:r>
              <w:rPr>
                <w:rFonts w:ascii="Arial" w:cs="Arial" w:eastAsia="Arial" w:hAnsi="Arial"/>
                <w:sz w:val="15"/>
                <w:szCs w:val="15"/>
                <w:color w:val="3E3935"/>
              </w:rPr>
              <w:t>Plus: Service Cost for Pension Plans</w:t>
            </w:r>
          </w:p>
        </w:tc>
        <w:tc>
          <w:tcPr>
            <w:tcW w:w="1100" w:type="dxa"/>
            <w:vAlign w:val="bottom"/>
          </w:tcPr>
          <w:p>
            <w:pPr>
              <w:jc w:val="right"/>
              <w:ind w:right="64"/>
              <w:spacing w:after="0"/>
              <w:rPr>
                <w:sz w:val="20"/>
                <w:szCs w:val="20"/>
                <w:color w:val="auto"/>
              </w:rPr>
            </w:pPr>
            <w:r>
              <w:rPr>
                <w:rFonts w:ascii="Arial" w:cs="Arial" w:eastAsia="Arial" w:hAnsi="Arial"/>
                <w:sz w:val="15"/>
                <w:szCs w:val="15"/>
                <w:color w:val="3E3935"/>
              </w:rPr>
              <w:t>—</w:t>
            </w:r>
          </w:p>
        </w:tc>
        <w:tc>
          <w:tcPr>
            <w:tcW w:w="1440" w:type="dxa"/>
            <w:vAlign w:val="bottom"/>
            <w:gridSpan w:val="2"/>
          </w:tcPr>
          <w:p>
            <w:pPr>
              <w:jc w:val="right"/>
              <w:ind w:right="300"/>
              <w:spacing w:after="0"/>
              <w:rPr>
                <w:sz w:val="20"/>
                <w:szCs w:val="20"/>
                <w:color w:val="auto"/>
              </w:rPr>
            </w:pPr>
            <w:r>
              <w:rPr>
                <w:rFonts w:ascii="Arial" w:cs="Arial" w:eastAsia="Arial" w:hAnsi="Arial"/>
                <w:sz w:val="15"/>
                <w:szCs w:val="15"/>
                <w:color w:val="3E3935"/>
              </w:rPr>
              <w:t>—</w:t>
            </w:r>
          </w:p>
        </w:tc>
        <w:tc>
          <w:tcPr>
            <w:tcW w:w="1100" w:type="dxa"/>
            <w:vAlign w:val="bottom"/>
          </w:tcPr>
          <w:p>
            <w:pPr>
              <w:jc w:val="right"/>
              <w:ind w:right="44"/>
              <w:spacing w:after="0"/>
              <w:rPr>
                <w:sz w:val="20"/>
                <w:szCs w:val="20"/>
                <w:color w:val="auto"/>
              </w:rPr>
            </w:pPr>
            <w:r>
              <w:rPr>
                <w:rFonts w:ascii="Arial" w:cs="Arial" w:eastAsia="Arial" w:hAnsi="Arial"/>
                <w:sz w:val="15"/>
                <w:szCs w:val="15"/>
                <w:color w:val="3E3935"/>
              </w:rPr>
              <w:t>—</w:t>
            </w:r>
          </w:p>
        </w:tc>
        <w:tc>
          <w:tcPr>
            <w:tcW w:w="1460" w:type="dxa"/>
            <w:vAlign w:val="bottom"/>
            <w:gridSpan w:val="2"/>
          </w:tcPr>
          <w:p>
            <w:pPr>
              <w:jc w:val="right"/>
              <w:ind w:right="320"/>
              <w:spacing w:after="0"/>
              <w:rPr>
                <w:sz w:val="20"/>
                <w:szCs w:val="20"/>
                <w:color w:val="auto"/>
              </w:rPr>
            </w:pPr>
            <w:r>
              <w:rPr>
                <w:rFonts w:ascii="Arial" w:cs="Arial" w:eastAsia="Arial" w:hAnsi="Arial"/>
                <w:sz w:val="15"/>
                <w:szCs w:val="15"/>
                <w:color w:val="3E3935"/>
              </w:rPr>
              <w:t>—</w:t>
            </w:r>
          </w:p>
        </w:tc>
        <w:tc>
          <w:tcPr>
            <w:tcW w:w="1100" w:type="dxa"/>
            <w:vAlign w:val="bottom"/>
          </w:tcPr>
          <w:p>
            <w:pPr>
              <w:jc w:val="right"/>
              <w:ind w:right="64"/>
              <w:spacing w:after="0"/>
              <w:rPr>
                <w:sz w:val="20"/>
                <w:szCs w:val="20"/>
                <w:color w:val="auto"/>
              </w:rPr>
            </w:pPr>
            <w:r>
              <w:rPr>
                <w:rFonts w:ascii="Arial" w:cs="Arial" w:eastAsia="Arial" w:hAnsi="Arial"/>
                <w:sz w:val="15"/>
                <w:szCs w:val="15"/>
                <w:color w:val="3E3935"/>
              </w:rPr>
              <w:t>—</w:t>
            </w:r>
          </w:p>
        </w:tc>
        <w:tc>
          <w:tcPr>
            <w:tcW w:w="1240" w:type="dxa"/>
            <w:vAlign w:val="bottom"/>
          </w:tcPr>
          <w:p>
            <w:pPr>
              <w:jc w:val="right"/>
              <w:ind w:right="24"/>
              <w:spacing w:after="0"/>
              <w:rPr>
                <w:sz w:val="20"/>
                <w:szCs w:val="20"/>
                <w:color w:val="auto"/>
              </w:rPr>
            </w:pPr>
            <w:r>
              <w:rPr>
                <w:rFonts w:ascii="Arial" w:cs="Arial" w:eastAsia="Arial" w:hAnsi="Arial"/>
                <w:sz w:val="15"/>
                <w:szCs w:val="15"/>
                <w:color w:val="3E3935"/>
              </w:rPr>
              <w:t>149</w:t>
            </w:r>
          </w:p>
        </w:tc>
      </w:tr>
      <w:tr>
        <w:trPr>
          <w:trHeight w:val="60"/>
        </w:trPr>
        <w:tc>
          <w:tcPr>
            <w:tcW w:w="2920" w:type="dxa"/>
            <w:vAlign w:val="bottom"/>
            <w:tcBorders>
              <w:bottom w:val="single" w:sz="8" w:color="3E3935"/>
            </w:tcBorders>
          </w:tcPr>
          <w:p>
            <w:pPr>
              <w:spacing w:after="0"/>
              <w:rPr>
                <w:sz w:val="5"/>
                <w:szCs w:val="5"/>
                <w:color w:val="auto"/>
              </w:rPr>
            </w:pPr>
          </w:p>
        </w:tc>
        <w:tc>
          <w:tcPr>
            <w:tcW w:w="1100" w:type="dxa"/>
            <w:vAlign w:val="bottom"/>
            <w:tcBorders>
              <w:bottom w:val="single" w:sz="8" w:color="3E3935"/>
            </w:tcBorders>
          </w:tcPr>
          <w:p>
            <w:pPr>
              <w:spacing w:after="0"/>
              <w:rPr>
                <w:sz w:val="5"/>
                <w:szCs w:val="5"/>
                <w:color w:val="auto"/>
              </w:rPr>
            </w:pPr>
          </w:p>
        </w:tc>
        <w:tc>
          <w:tcPr>
            <w:tcW w:w="1220" w:type="dxa"/>
            <w:vAlign w:val="bottom"/>
            <w:tcBorders>
              <w:bottom w:val="single" w:sz="8" w:color="3E3935"/>
            </w:tcBorders>
          </w:tcPr>
          <w:p>
            <w:pPr>
              <w:spacing w:after="0"/>
              <w:rPr>
                <w:sz w:val="5"/>
                <w:szCs w:val="5"/>
                <w:color w:val="auto"/>
              </w:rPr>
            </w:pPr>
          </w:p>
        </w:tc>
        <w:tc>
          <w:tcPr>
            <w:tcW w:w="220" w:type="dxa"/>
            <w:vAlign w:val="bottom"/>
            <w:tcBorders>
              <w:bottom w:val="single" w:sz="8" w:color="3E3935"/>
            </w:tcBorders>
          </w:tcPr>
          <w:p>
            <w:pPr>
              <w:spacing w:after="0"/>
              <w:rPr>
                <w:sz w:val="5"/>
                <w:szCs w:val="5"/>
                <w:color w:val="auto"/>
              </w:rPr>
            </w:pPr>
          </w:p>
        </w:tc>
        <w:tc>
          <w:tcPr>
            <w:tcW w:w="1100" w:type="dxa"/>
            <w:vAlign w:val="bottom"/>
            <w:tcBorders>
              <w:bottom w:val="single" w:sz="8" w:color="3E3935"/>
            </w:tcBorders>
          </w:tcPr>
          <w:p>
            <w:pPr>
              <w:spacing w:after="0"/>
              <w:rPr>
                <w:sz w:val="5"/>
                <w:szCs w:val="5"/>
                <w:color w:val="auto"/>
              </w:rPr>
            </w:pPr>
          </w:p>
        </w:tc>
        <w:tc>
          <w:tcPr>
            <w:tcW w:w="1240" w:type="dxa"/>
            <w:vAlign w:val="bottom"/>
            <w:tcBorders>
              <w:bottom w:val="single" w:sz="8" w:color="3E3935"/>
            </w:tcBorders>
          </w:tcPr>
          <w:p>
            <w:pPr>
              <w:spacing w:after="0"/>
              <w:rPr>
                <w:sz w:val="5"/>
                <w:szCs w:val="5"/>
                <w:color w:val="auto"/>
              </w:rPr>
            </w:pPr>
          </w:p>
        </w:tc>
        <w:tc>
          <w:tcPr>
            <w:tcW w:w="220" w:type="dxa"/>
            <w:vAlign w:val="bottom"/>
            <w:tcBorders>
              <w:bottom w:val="single" w:sz="8" w:color="3E3935"/>
            </w:tcBorders>
          </w:tcPr>
          <w:p>
            <w:pPr>
              <w:spacing w:after="0"/>
              <w:rPr>
                <w:sz w:val="5"/>
                <w:szCs w:val="5"/>
                <w:color w:val="auto"/>
              </w:rPr>
            </w:pPr>
          </w:p>
        </w:tc>
        <w:tc>
          <w:tcPr>
            <w:tcW w:w="1100" w:type="dxa"/>
            <w:vAlign w:val="bottom"/>
            <w:tcBorders>
              <w:bottom w:val="single" w:sz="8" w:color="3E3935"/>
            </w:tcBorders>
          </w:tcPr>
          <w:p>
            <w:pPr>
              <w:spacing w:after="0"/>
              <w:rPr>
                <w:sz w:val="5"/>
                <w:szCs w:val="5"/>
                <w:color w:val="auto"/>
              </w:rPr>
            </w:pPr>
          </w:p>
        </w:tc>
        <w:tc>
          <w:tcPr>
            <w:tcW w:w="1240" w:type="dxa"/>
            <w:vAlign w:val="bottom"/>
            <w:tcBorders>
              <w:bottom w:val="single" w:sz="8" w:color="3E3935"/>
            </w:tcBorders>
          </w:tcPr>
          <w:p>
            <w:pPr>
              <w:spacing w:after="0"/>
              <w:rPr>
                <w:sz w:val="5"/>
                <w:szCs w:val="5"/>
                <w:color w:val="auto"/>
              </w:rPr>
            </w:pPr>
          </w:p>
        </w:tc>
      </w:tr>
      <w:tr>
        <w:trPr>
          <w:trHeight w:val="206"/>
        </w:trPr>
        <w:tc>
          <w:tcPr>
            <w:tcW w:w="2920" w:type="dxa"/>
            <w:vAlign w:val="bottom"/>
          </w:tcPr>
          <w:p>
            <w:pPr>
              <w:ind w:left="80"/>
              <w:spacing w:after="0"/>
              <w:rPr>
                <w:sz w:val="20"/>
                <w:szCs w:val="20"/>
                <w:color w:val="auto"/>
              </w:rPr>
            </w:pPr>
            <w:r>
              <w:rPr>
                <w:rFonts w:ascii="Arial" w:cs="Arial" w:eastAsia="Arial" w:hAnsi="Arial"/>
                <w:sz w:val="15"/>
                <w:szCs w:val="15"/>
                <w:color w:val="3E3935"/>
              </w:rPr>
              <w:t>Less: Amount Reported in the “Stock</w:t>
            </w:r>
          </w:p>
        </w:tc>
        <w:tc>
          <w:tcPr>
            <w:tcW w:w="1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00"/>
        </w:trPr>
        <w:tc>
          <w:tcPr>
            <w:tcW w:w="2920" w:type="dxa"/>
            <w:vAlign w:val="bottom"/>
          </w:tcPr>
          <w:p>
            <w:pPr>
              <w:ind w:left="80"/>
              <w:spacing w:after="0"/>
              <w:rPr>
                <w:sz w:val="20"/>
                <w:szCs w:val="20"/>
                <w:color w:val="auto"/>
              </w:rPr>
            </w:pPr>
            <w:r>
              <w:rPr>
                <w:rFonts w:ascii="Arial" w:cs="Arial" w:eastAsia="Arial" w:hAnsi="Arial"/>
                <w:sz w:val="15"/>
                <w:szCs w:val="15"/>
                <w:color w:val="3E3935"/>
              </w:rPr>
              <w:t>Awards” Column of the SCT</w:t>
            </w:r>
          </w:p>
        </w:tc>
        <w:tc>
          <w:tcPr>
            <w:tcW w:w="1100" w:type="dxa"/>
            <w:vAlign w:val="bottom"/>
          </w:tcPr>
          <w:p>
            <w:pPr>
              <w:jc w:val="right"/>
              <w:ind w:right="4"/>
              <w:spacing w:after="0"/>
              <w:rPr>
                <w:sz w:val="20"/>
                <w:szCs w:val="20"/>
                <w:color w:val="auto"/>
              </w:rPr>
            </w:pPr>
            <w:r>
              <w:rPr>
                <w:rFonts w:ascii="Arial" w:cs="Arial" w:eastAsia="Arial" w:hAnsi="Arial"/>
                <w:sz w:val="15"/>
                <w:szCs w:val="15"/>
                <w:color w:val="3E3935"/>
              </w:rPr>
              <w:t>(14,625,000)</w:t>
            </w:r>
          </w:p>
        </w:tc>
        <w:tc>
          <w:tcPr>
            <w:tcW w:w="1220" w:type="dxa"/>
            <w:vAlign w:val="bottom"/>
          </w:tcPr>
          <w:p>
            <w:pPr>
              <w:jc w:val="right"/>
              <w:spacing w:after="0"/>
              <w:rPr>
                <w:sz w:val="20"/>
                <w:szCs w:val="20"/>
                <w:color w:val="auto"/>
              </w:rPr>
            </w:pPr>
            <w:r>
              <w:rPr>
                <w:rFonts w:ascii="Arial" w:cs="Arial" w:eastAsia="Arial" w:hAnsi="Arial"/>
                <w:sz w:val="15"/>
                <w:szCs w:val="15"/>
                <w:color w:val="3E3935"/>
              </w:rPr>
              <w:t>(5,470,294)</w:t>
            </w:r>
          </w:p>
        </w:tc>
        <w:tc>
          <w:tcPr>
            <w:tcW w:w="220" w:type="dxa"/>
            <w:vAlign w:val="bottom"/>
          </w:tcPr>
          <w:p>
            <w:pPr>
              <w:spacing w:after="0"/>
              <w:rPr>
                <w:sz w:val="17"/>
                <w:szCs w:val="17"/>
                <w:color w:val="auto"/>
              </w:rPr>
            </w:pPr>
          </w:p>
        </w:tc>
        <w:tc>
          <w:tcPr>
            <w:tcW w:w="1100" w:type="dxa"/>
            <w:vAlign w:val="bottom"/>
          </w:tcPr>
          <w:p>
            <w:pPr>
              <w:jc w:val="right"/>
              <w:ind w:right="4"/>
              <w:spacing w:after="0"/>
              <w:rPr>
                <w:sz w:val="20"/>
                <w:szCs w:val="20"/>
                <w:color w:val="auto"/>
              </w:rPr>
            </w:pPr>
            <w:r>
              <w:rPr>
                <w:rFonts w:ascii="Arial" w:cs="Arial" w:eastAsia="Arial" w:hAnsi="Arial"/>
                <w:sz w:val="15"/>
                <w:szCs w:val="15"/>
                <w:color w:val="3E3935"/>
              </w:rPr>
              <w:t>(14,582,198)</w:t>
            </w:r>
          </w:p>
        </w:tc>
        <w:tc>
          <w:tcPr>
            <w:tcW w:w="1240" w:type="dxa"/>
            <w:vAlign w:val="bottom"/>
          </w:tcPr>
          <w:p>
            <w:pPr>
              <w:jc w:val="right"/>
              <w:spacing w:after="0"/>
              <w:rPr>
                <w:sz w:val="20"/>
                <w:szCs w:val="20"/>
                <w:color w:val="auto"/>
              </w:rPr>
            </w:pPr>
            <w:r>
              <w:rPr>
                <w:rFonts w:ascii="Arial" w:cs="Arial" w:eastAsia="Arial" w:hAnsi="Arial"/>
                <w:sz w:val="15"/>
                <w:szCs w:val="15"/>
                <w:color w:val="3E3935"/>
              </w:rPr>
              <w:t>(5,069,059)</w:t>
            </w:r>
          </w:p>
        </w:tc>
        <w:tc>
          <w:tcPr>
            <w:tcW w:w="220" w:type="dxa"/>
            <w:vAlign w:val="bottom"/>
          </w:tcPr>
          <w:p>
            <w:pPr>
              <w:spacing w:after="0"/>
              <w:rPr>
                <w:sz w:val="17"/>
                <w:szCs w:val="17"/>
                <w:color w:val="auto"/>
              </w:rPr>
            </w:pPr>
          </w:p>
        </w:tc>
        <w:tc>
          <w:tcPr>
            <w:tcW w:w="1100" w:type="dxa"/>
            <w:vAlign w:val="bottom"/>
          </w:tcPr>
          <w:p>
            <w:pPr>
              <w:jc w:val="right"/>
              <w:ind w:right="4"/>
              <w:spacing w:after="0"/>
              <w:rPr>
                <w:sz w:val="20"/>
                <w:szCs w:val="20"/>
                <w:color w:val="auto"/>
              </w:rPr>
            </w:pPr>
            <w:r>
              <w:rPr>
                <w:rFonts w:ascii="Arial" w:cs="Arial" w:eastAsia="Arial" w:hAnsi="Arial"/>
                <w:sz w:val="15"/>
                <w:szCs w:val="15"/>
                <w:color w:val="3E3935"/>
              </w:rPr>
              <w:t>(13,093,722)</w:t>
            </w:r>
          </w:p>
        </w:tc>
        <w:tc>
          <w:tcPr>
            <w:tcW w:w="1240" w:type="dxa"/>
            <w:vAlign w:val="bottom"/>
          </w:tcPr>
          <w:p>
            <w:pPr>
              <w:jc w:val="right"/>
              <w:spacing w:after="0"/>
              <w:rPr>
                <w:sz w:val="20"/>
                <w:szCs w:val="20"/>
                <w:color w:val="auto"/>
              </w:rPr>
            </w:pPr>
            <w:r>
              <w:rPr>
                <w:rFonts w:ascii="Arial" w:cs="Arial" w:eastAsia="Arial" w:hAnsi="Arial"/>
                <w:sz w:val="15"/>
                <w:szCs w:val="15"/>
                <w:color w:val="3E3935"/>
              </w:rPr>
              <w:t>(3,793,686)</w:t>
            </w:r>
          </w:p>
        </w:tc>
      </w:tr>
      <w:tr>
        <w:trPr>
          <w:trHeight w:val="60"/>
        </w:trPr>
        <w:tc>
          <w:tcPr>
            <w:tcW w:w="2920" w:type="dxa"/>
            <w:vAlign w:val="bottom"/>
            <w:tcBorders>
              <w:bottom w:val="single" w:sz="8" w:color="3E3935"/>
            </w:tcBorders>
          </w:tcPr>
          <w:p>
            <w:pPr>
              <w:spacing w:after="0"/>
              <w:rPr>
                <w:sz w:val="5"/>
                <w:szCs w:val="5"/>
                <w:color w:val="auto"/>
              </w:rPr>
            </w:pPr>
          </w:p>
        </w:tc>
        <w:tc>
          <w:tcPr>
            <w:tcW w:w="1100" w:type="dxa"/>
            <w:vAlign w:val="bottom"/>
            <w:tcBorders>
              <w:bottom w:val="single" w:sz="8" w:color="3E3935"/>
            </w:tcBorders>
          </w:tcPr>
          <w:p>
            <w:pPr>
              <w:spacing w:after="0"/>
              <w:rPr>
                <w:sz w:val="5"/>
                <w:szCs w:val="5"/>
                <w:color w:val="auto"/>
              </w:rPr>
            </w:pPr>
          </w:p>
        </w:tc>
        <w:tc>
          <w:tcPr>
            <w:tcW w:w="1220" w:type="dxa"/>
            <w:vAlign w:val="bottom"/>
            <w:tcBorders>
              <w:bottom w:val="single" w:sz="8" w:color="3E3935"/>
            </w:tcBorders>
          </w:tcPr>
          <w:p>
            <w:pPr>
              <w:spacing w:after="0"/>
              <w:rPr>
                <w:sz w:val="5"/>
                <w:szCs w:val="5"/>
                <w:color w:val="auto"/>
              </w:rPr>
            </w:pPr>
          </w:p>
        </w:tc>
        <w:tc>
          <w:tcPr>
            <w:tcW w:w="220" w:type="dxa"/>
            <w:vAlign w:val="bottom"/>
            <w:tcBorders>
              <w:bottom w:val="single" w:sz="8" w:color="3E3935"/>
            </w:tcBorders>
          </w:tcPr>
          <w:p>
            <w:pPr>
              <w:spacing w:after="0"/>
              <w:rPr>
                <w:sz w:val="5"/>
                <w:szCs w:val="5"/>
                <w:color w:val="auto"/>
              </w:rPr>
            </w:pPr>
          </w:p>
        </w:tc>
        <w:tc>
          <w:tcPr>
            <w:tcW w:w="1100" w:type="dxa"/>
            <w:vAlign w:val="bottom"/>
            <w:tcBorders>
              <w:bottom w:val="single" w:sz="8" w:color="3E3935"/>
            </w:tcBorders>
          </w:tcPr>
          <w:p>
            <w:pPr>
              <w:spacing w:after="0"/>
              <w:rPr>
                <w:sz w:val="5"/>
                <w:szCs w:val="5"/>
                <w:color w:val="auto"/>
              </w:rPr>
            </w:pPr>
          </w:p>
        </w:tc>
        <w:tc>
          <w:tcPr>
            <w:tcW w:w="1240" w:type="dxa"/>
            <w:vAlign w:val="bottom"/>
            <w:tcBorders>
              <w:bottom w:val="single" w:sz="8" w:color="3E3935"/>
            </w:tcBorders>
          </w:tcPr>
          <w:p>
            <w:pPr>
              <w:spacing w:after="0"/>
              <w:rPr>
                <w:sz w:val="5"/>
                <w:szCs w:val="5"/>
                <w:color w:val="auto"/>
              </w:rPr>
            </w:pPr>
          </w:p>
        </w:tc>
        <w:tc>
          <w:tcPr>
            <w:tcW w:w="220" w:type="dxa"/>
            <w:vAlign w:val="bottom"/>
            <w:tcBorders>
              <w:bottom w:val="single" w:sz="8" w:color="3E3935"/>
            </w:tcBorders>
          </w:tcPr>
          <w:p>
            <w:pPr>
              <w:spacing w:after="0"/>
              <w:rPr>
                <w:sz w:val="5"/>
                <w:szCs w:val="5"/>
                <w:color w:val="auto"/>
              </w:rPr>
            </w:pPr>
          </w:p>
        </w:tc>
        <w:tc>
          <w:tcPr>
            <w:tcW w:w="1100" w:type="dxa"/>
            <w:vAlign w:val="bottom"/>
            <w:tcBorders>
              <w:bottom w:val="single" w:sz="8" w:color="3E3935"/>
            </w:tcBorders>
          </w:tcPr>
          <w:p>
            <w:pPr>
              <w:spacing w:after="0"/>
              <w:rPr>
                <w:sz w:val="5"/>
                <w:szCs w:val="5"/>
                <w:color w:val="auto"/>
              </w:rPr>
            </w:pPr>
          </w:p>
        </w:tc>
        <w:tc>
          <w:tcPr>
            <w:tcW w:w="1240" w:type="dxa"/>
            <w:vAlign w:val="bottom"/>
            <w:tcBorders>
              <w:bottom w:val="single" w:sz="8" w:color="3E3935"/>
            </w:tcBorders>
          </w:tcPr>
          <w:p>
            <w:pPr>
              <w:spacing w:after="0"/>
              <w:rPr>
                <w:sz w:val="5"/>
                <w:szCs w:val="5"/>
                <w:color w:val="auto"/>
              </w:rPr>
            </w:pPr>
          </w:p>
        </w:tc>
      </w:tr>
      <w:tr>
        <w:trPr>
          <w:trHeight w:val="206"/>
        </w:trPr>
        <w:tc>
          <w:tcPr>
            <w:tcW w:w="2920" w:type="dxa"/>
            <w:vAlign w:val="bottom"/>
          </w:tcPr>
          <w:p>
            <w:pPr>
              <w:ind w:left="80"/>
              <w:spacing w:after="0"/>
              <w:rPr>
                <w:sz w:val="20"/>
                <w:szCs w:val="20"/>
                <w:color w:val="auto"/>
              </w:rPr>
            </w:pPr>
            <w:r>
              <w:rPr>
                <w:rFonts w:ascii="Arial" w:cs="Arial" w:eastAsia="Arial" w:hAnsi="Arial"/>
                <w:sz w:val="15"/>
                <w:szCs w:val="15"/>
                <w:color w:val="3E3935"/>
              </w:rPr>
              <w:t>Plus: Year-end Fair Value of Outstanding</w:t>
            </w:r>
          </w:p>
        </w:tc>
        <w:tc>
          <w:tcPr>
            <w:tcW w:w="1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162"/>
        </w:trPr>
        <w:tc>
          <w:tcPr>
            <w:tcW w:w="2920" w:type="dxa"/>
            <w:vAlign w:val="bottom"/>
          </w:tcPr>
          <w:p>
            <w:pPr>
              <w:ind w:left="80"/>
              <w:spacing w:after="0" w:line="162" w:lineRule="exact"/>
              <w:rPr>
                <w:sz w:val="20"/>
                <w:szCs w:val="20"/>
                <w:color w:val="auto"/>
              </w:rPr>
            </w:pPr>
            <w:r>
              <w:rPr>
                <w:rFonts w:ascii="Arial" w:cs="Arial" w:eastAsia="Arial" w:hAnsi="Arial"/>
                <w:sz w:val="15"/>
                <w:szCs w:val="15"/>
                <w:color w:val="3E3935"/>
              </w:rPr>
              <w:t>and Unvested Stock Awards Granted in</w:t>
            </w:r>
          </w:p>
        </w:tc>
        <w:tc>
          <w:tcPr>
            <w:tcW w:w="1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200"/>
        </w:trPr>
        <w:tc>
          <w:tcPr>
            <w:tcW w:w="2920" w:type="dxa"/>
            <w:vAlign w:val="bottom"/>
          </w:tcPr>
          <w:p>
            <w:pPr>
              <w:ind w:left="80"/>
              <w:spacing w:after="0"/>
              <w:rPr>
                <w:sz w:val="20"/>
                <w:szCs w:val="20"/>
                <w:color w:val="auto"/>
              </w:rPr>
            </w:pPr>
            <w:r>
              <w:rPr>
                <w:rFonts w:ascii="Arial" w:cs="Arial" w:eastAsia="Arial" w:hAnsi="Arial"/>
                <w:sz w:val="15"/>
                <w:szCs w:val="15"/>
                <w:color w:val="3E3935"/>
              </w:rPr>
              <w:t>the Covered Year</w:t>
            </w:r>
          </w:p>
        </w:tc>
        <w:tc>
          <w:tcPr>
            <w:tcW w:w="1100" w:type="dxa"/>
            <w:vAlign w:val="bottom"/>
          </w:tcPr>
          <w:p>
            <w:pPr>
              <w:jc w:val="right"/>
              <w:ind w:right="64"/>
              <w:spacing w:after="0"/>
              <w:rPr>
                <w:sz w:val="20"/>
                <w:szCs w:val="20"/>
                <w:color w:val="auto"/>
              </w:rPr>
            </w:pPr>
            <w:r>
              <w:rPr>
                <w:rFonts w:ascii="Arial" w:cs="Arial" w:eastAsia="Arial" w:hAnsi="Arial"/>
                <w:sz w:val="15"/>
                <w:szCs w:val="15"/>
                <w:color w:val="3E3935"/>
              </w:rPr>
              <w:t>8,629,590</w:t>
            </w:r>
          </w:p>
        </w:tc>
        <w:tc>
          <w:tcPr>
            <w:tcW w:w="1220" w:type="dxa"/>
            <w:vAlign w:val="bottom"/>
          </w:tcPr>
          <w:p>
            <w:pPr>
              <w:jc w:val="right"/>
              <w:ind w:right="4"/>
              <w:spacing w:after="0"/>
              <w:rPr>
                <w:sz w:val="20"/>
                <w:szCs w:val="20"/>
                <w:color w:val="auto"/>
              </w:rPr>
            </w:pPr>
            <w:r>
              <w:rPr>
                <w:rFonts w:ascii="Arial" w:cs="Arial" w:eastAsia="Arial" w:hAnsi="Arial"/>
                <w:sz w:val="15"/>
                <w:szCs w:val="15"/>
                <w:color w:val="3E3935"/>
              </w:rPr>
              <w:t>3,227,799</w:t>
            </w:r>
          </w:p>
        </w:tc>
        <w:tc>
          <w:tcPr>
            <w:tcW w:w="220" w:type="dxa"/>
            <w:vAlign w:val="bottom"/>
          </w:tcPr>
          <w:p>
            <w:pPr>
              <w:spacing w:after="0"/>
              <w:rPr>
                <w:sz w:val="17"/>
                <w:szCs w:val="17"/>
                <w:color w:val="auto"/>
              </w:rPr>
            </w:pPr>
          </w:p>
        </w:tc>
        <w:tc>
          <w:tcPr>
            <w:tcW w:w="1100" w:type="dxa"/>
            <w:vAlign w:val="bottom"/>
          </w:tcPr>
          <w:p>
            <w:pPr>
              <w:jc w:val="right"/>
              <w:ind w:right="44"/>
              <w:spacing w:after="0"/>
              <w:rPr>
                <w:sz w:val="20"/>
                <w:szCs w:val="20"/>
                <w:color w:val="auto"/>
              </w:rPr>
            </w:pPr>
            <w:r>
              <w:rPr>
                <w:rFonts w:ascii="Arial" w:cs="Arial" w:eastAsia="Arial" w:hAnsi="Arial"/>
                <w:sz w:val="15"/>
                <w:szCs w:val="15"/>
                <w:color w:val="3E3935"/>
              </w:rPr>
              <w:t>18,914,281</w:t>
            </w:r>
          </w:p>
        </w:tc>
        <w:tc>
          <w:tcPr>
            <w:tcW w:w="1240" w:type="dxa"/>
            <w:vAlign w:val="bottom"/>
          </w:tcPr>
          <w:p>
            <w:pPr>
              <w:jc w:val="right"/>
              <w:ind w:right="24"/>
              <w:spacing w:after="0"/>
              <w:rPr>
                <w:sz w:val="20"/>
                <w:szCs w:val="20"/>
                <w:color w:val="auto"/>
              </w:rPr>
            </w:pPr>
            <w:r>
              <w:rPr>
                <w:rFonts w:ascii="Arial" w:cs="Arial" w:eastAsia="Arial" w:hAnsi="Arial"/>
                <w:sz w:val="15"/>
                <w:szCs w:val="15"/>
                <w:color w:val="3E3935"/>
              </w:rPr>
              <w:t>6,574,982</w:t>
            </w:r>
          </w:p>
        </w:tc>
        <w:tc>
          <w:tcPr>
            <w:tcW w:w="220" w:type="dxa"/>
            <w:vAlign w:val="bottom"/>
          </w:tcPr>
          <w:p>
            <w:pPr>
              <w:spacing w:after="0"/>
              <w:rPr>
                <w:sz w:val="17"/>
                <w:szCs w:val="17"/>
                <w:color w:val="auto"/>
              </w:rPr>
            </w:pPr>
          </w:p>
        </w:tc>
        <w:tc>
          <w:tcPr>
            <w:tcW w:w="1100" w:type="dxa"/>
            <w:vAlign w:val="bottom"/>
          </w:tcPr>
          <w:p>
            <w:pPr>
              <w:jc w:val="right"/>
              <w:ind w:right="64"/>
              <w:spacing w:after="0"/>
              <w:rPr>
                <w:sz w:val="20"/>
                <w:szCs w:val="20"/>
                <w:color w:val="auto"/>
              </w:rPr>
            </w:pPr>
            <w:r>
              <w:rPr>
                <w:rFonts w:ascii="Arial" w:cs="Arial" w:eastAsia="Arial" w:hAnsi="Arial"/>
                <w:sz w:val="15"/>
                <w:szCs w:val="15"/>
                <w:color w:val="3E3935"/>
              </w:rPr>
              <w:t>18,050,565</w:t>
            </w:r>
          </w:p>
        </w:tc>
        <w:tc>
          <w:tcPr>
            <w:tcW w:w="1240" w:type="dxa"/>
            <w:vAlign w:val="bottom"/>
          </w:tcPr>
          <w:p>
            <w:pPr>
              <w:jc w:val="right"/>
              <w:ind w:right="24"/>
              <w:spacing w:after="0"/>
              <w:rPr>
                <w:sz w:val="20"/>
                <w:szCs w:val="20"/>
                <w:color w:val="auto"/>
              </w:rPr>
            </w:pPr>
            <w:r>
              <w:rPr>
                <w:rFonts w:ascii="Arial" w:cs="Arial" w:eastAsia="Arial" w:hAnsi="Arial"/>
                <w:sz w:val="15"/>
                <w:szCs w:val="15"/>
                <w:color w:val="3E3935"/>
              </w:rPr>
              <w:t>3,545,877</w:t>
            </w:r>
          </w:p>
        </w:tc>
      </w:tr>
      <w:tr>
        <w:trPr>
          <w:trHeight w:val="60"/>
        </w:trPr>
        <w:tc>
          <w:tcPr>
            <w:tcW w:w="2920" w:type="dxa"/>
            <w:vAlign w:val="bottom"/>
            <w:tcBorders>
              <w:bottom w:val="single" w:sz="8" w:color="3E3935"/>
            </w:tcBorders>
          </w:tcPr>
          <w:p>
            <w:pPr>
              <w:spacing w:after="0"/>
              <w:rPr>
                <w:sz w:val="5"/>
                <w:szCs w:val="5"/>
                <w:color w:val="auto"/>
              </w:rPr>
            </w:pPr>
          </w:p>
        </w:tc>
        <w:tc>
          <w:tcPr>
            <w:tcW w:w="1100" w:type="dxa"/>
            <w:vAlign w:val="bottom"/>
            <w:tcBorders>
              <w:bottom w:val="single" w:sz="8" w:color="3E3935"/>
            </w:tcBorders>
          </w:tcPr>
          <w:p>
            <w:pPr>
              <w:spacing w:after="0"/>
              <w:rPr>
                <w:sz w:val="5"/>
                <w:szCs w:val="5"/>
                <w:color w:val="auto"/>
              </w:rPr>
            </w:pPr>
          </w:p>
        </w:tc>
        <w:tc>
          <w:tcPr>
            <w:tcW w:w="1220" w:type="dxa"/>
            <w:vAlign w:val="bottom"/>
            <w:tcBorders>
              <w:bottom w:val="single" w:sz="8" w:color="3E3935"/>
            </w:tcBorders>
          </w:tcPr>
          <w:p>
            <w:pPr>
              <w:spacing w:after="0"/>
              <w:rPr>
                <w:sz w:val="5"/>
                <w:szCs w:val="5"/>
                <w:color w:val="auto"/>
              </w:rPr>
            </w:pPr>
          </w:p>
        </w:tc>
        <w:tc>
          <w:tcPr>
            <w:tcW w:w="220" w:type="dxa"/>
            <w:vAlign w:val="bottom"/>
            <w:tcBorders>
              <w:bottom w:val="single" w:sz="8" w:color="3E3935"/>
            </w:tcBorders>
          </w:tcPr>
          <w:p>
            <w:pPr>
              <w:spacing w:after="0"/>
              <w:rPr>
                <w:sz w:val="5"/>
                <w:szCs w:val="5"/>
                <w:color w:val="auto"/>
              </w:rPr>
            </w:pPr>
          </w:p>
        </w:tc>
        <w:tc>
          <w:tcPr>
            <w:tcW w:w="1100" w:type="dxa"/>
            <w:vAlign w:val="bottom"/>
            <w:tcBorders>
              <w:bottom w:val="single" w:sz="8" w:color="3E3935"/>
            </w:tcBorders>
          </w:tcPr>
          <w:p>
            <w:pPr>
              <w:spacing w:after="0"/>
              <w:rPr>
                <w:sz w:val="5"/>
                <w:szCs w:val="5"/>
                <w:color w:val="auto"/>
              </w:rPr>
            </w:pPr>
          </w:p>
        </w:tc>
        <w:tc>
          <w:tcPr>
            <w:tcW w:w="1240" w:type="dxa"/>
            <w:vAlign w:val="bottom"/>
            <w:tcBorders>
              <w:bottom w:val="single" w:sz="8" w:color="3E3935"/>
            </w:tcBorders>
          </w:tcPr>
          <w:p>
            <w:pPr>
              <w:spacing w:after="0"/>
              <w:rPr>
                <w:sz w:val="5"/>
                <w:szCs w:val="5"/>
                <w:color w:val="auto"/>
              </w:rPr>
            </w:pPr>
          </w:p>
        </w:tc>
        <w:tc>
          <w:tcPr>
            <w:tcW w:w="220" w:type="dxa"/>
            <w:vAlign w:val="bottom"/>
            <w:tcBorders>
              <w:bottom w:val="single" w:sz="8" w:color="3E3935"/>
            </w:tcBorders>
          </w:tcPr>
          <w:p>
            <w:pPr>
              <w:spacing w:after="0"/>
              <w:rPr>
                <w:sz w:val="5"/>
                <w:szCs w:val="5"/>
                <w:color w:val="auto"/>
              </w:rPr>
            </w:pPr>
          </w:p>
        </w:tc>
        <w:tc>
          <w:tcPr>
            <w:tcW w:w="1100" w:type="dxa"/>
            <w:vAlign w:val="bottom"/>
            <w:tcBorders>
              <w:bottom w:val="single" w:sz="8" w:color="3E3935"/>
            </w:tcBorders>
          </w:tcPr>
          <w:p>
            <w:pPr>
              <w:spacing w:after="0"/>
              <w:rPr>
                <w:sz w:val="5"/>
                <w:szCs w:val="5"/>
                <w:color w:val="auto"/>
              </w:rPr>
            </w:pPr>
          </w:p>
        </w:tc>
        <w:tc>
          <w:tcPr>
            <w:tcW w:w="1240" w:type="dxa"/>
            <w:vAlign w:val="bottom"/>
            <w:tcBorders>
              <w:bottom w:val="single" w:sz="8" w:color="3E3935"/>
            </w:tcBorders>
          </w:tcPr>
          <w:p>
            <w:pPr>
              <w:spacing w:after="0"/>
              <w:rPr>
                <w:sz w:val="5"/>
                <w:szCs w:val="5"/>
                <w:color w:val="auto"/>
              </w:rPr>
            </w:pPr>
          </w:p>
        </w:tc>
      </w:tr>
      <w:tr>
        <w:trPr>
          <w:trHeight w:val="206"/>
        </w:trPr>
        <w:tc>
          <w:tcPr>
            <w:tcW w:w="2920" w:type="dxa"/>
            <w:vAlign w:val="bottom"/>
          </w:tcPr>
          <w:p>
            <w:pPr>
              <w:ind w:left="80"/>
              <w:spacing w:after="0"/>
              <w:rPr>
                <w:sz w:val="20"/>
                <w:szCs w:val="20"/>
                <w:color w:val="auto"/>
              </w:rPr>
            </w:pPr>
            <w:r>
              <w:rPr>
                <w:rFonts w:ascii="Arial" w:cs="Arial" w:eastAsia="Arial" w:hAnsi="Arial"/>
                <w:sz w:val="15"/>
                <w:szCs w:val="15"/>
                <w:color w:val="3E3935"/>
              </w:rPr>
              <w:t>Change in Fair Value of Outstanding and</w:t>
            </w:r>
          </w:p>
        </w:tc>
        <w:tc>
          <w:tcPr>
            <w:tcW w:w="1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162"/>
        </w:trPr>
        <w:tc>
          <w:tcPr>
            <w:tcW w:w="2920" w:type="dxa"/>
            <w:vAlign w:val="bottom"/>
          </w:tcPr>
          <w:p>
            <w:pPr>
              <w:ind w:left="80"/>
              <w:spacing w:after="0" w:line="162" w:lineRule="exact"/>
              <w:rPr>
                <w:sz w:val="20"/>
                <w:szCs w:val="20"/>
                <w:color w:val="auto"/>
              </w:rPr>
            </w:pPr>
            <w:r>
              <w:rPr>
                <w:rFonts w:ascii="Arial" w:cs="Arial" w:eastAsia="Arial" w:hAnsi="Arial"/>
                <w:sz w:val="15"/>
                <w:szCs w:val="15"/>
                <w:color w:val="3E3935"/>
              </w:rPr>
              <w:t>Unvested Stock Awards Granted in Prior</w:t>
            </w:r>
          </w:p>
        </w:tc>
        <w:tc>
          <w:tcPr>
            <w:tcW w:w="1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200"/>
        </w:trPr>
        <w:tc>
          <w:tcPr>
            <w:tcW w:w="2920" w:type="dxa"/>
            <w:vAlign w:val="bottom"/>
          </w:tcPr>
          <w:p>
            <w:pPr>
              <w:ind w:left="80"/>
              <w:spacing w:after="0"/>
              <w:rPr>
                <w:sz w:val="20"/>
                <w:szCs w:val="20"/>
                <w:color w:val="auto"/>
              </w:rPr>
            </w:pPr>
            <w:r>
              <w:rPr>
                <w:rFonts w:ascii="Arial" w:cs="Arial" w:eastAsia="Arial" w:hAnsi="Arial"/>
                <w:sz w:val="15"/>
                <w:szCs w:val="15"/>
                <w:color w:val="3E3935"/>
              </w:rPr>
              <w:t>Years</w:t>
            </w:r>
          </w:p>
        </w:tc>
        <w:tc>
          <w:tcPr>
            <w:tcW w:w="1100" w:type="dxa"/>
            <w:vAlign w:val="bottom"/>
          </w:tcPr>
          <w:p>
            <w:pPr>
              <w:jc w:val="right"/>
              <w:ind w:right="4"/>
              <w:spacing w:after="0"/>
              <w:rPr>
                <w:sz w:val="20"/>
                <w:szCs w:val="20"/>
                <w:color w:val="auto"/>
              </w:rPr>
            </w:pPr>
            <w:r>
              <w:rPr>
                <w:rFonts w:ascii="Arial" w:cs="Arial" w:eastAsia="Arial" w:hAnsi="Arial"/>
                <w:sz w:val="15"/>
                <w:szCs w:val="15"/>
                <w:color w:val="3E3935"/>
              </w:rPr>
              <w:t>(25,258,220)</w:t>
            </w:r>
          </w:p>
        </w:tc>
        <w:tc>
          <w:tcPr>
            <w:tcW w:w="1220" w:type="dxa"/>
            <w:vAlign w:val="bottom"/>
          </w:tcPr>
          <w:p>
            <w:pPr>
              <w:jc w:val="right"/>
              <w:spacing w:after="0"/>
              <w:rPr>
                <w:sz w:val="20"/>
                <w:szCs w:val="20"/>
                <w:color w:val="auto"/>
              </w:rPr>
            </w:pPr>
            <w:r>
              <w:rPr>
                <w:rFonts w:ascii="Arial" w:cs="Arial" w:eastAsia="Arial" w:hAnsi="Arial"/>
                <w:sz w:val="15"/>
                <w:szCs w:val="15"/>
                <w:color w:val="3E3935"/>
              </w:rPr>
              <w:t>(7,683,634)</w:t>
            </w:r>
          </w:p>
        </w:tc>
        <w:tc>
          <w:tcPr>
            <w:tcW w:w="220" w:type="dxa"/>
            <w:vAlign w:val="bottom"/>
          </w:tcPr>
          <w:p>
            <w:pPr>
              <w:spacing w:after="0"/>
              <w:rPr>
                <w:sz w:val="17"/>
                <w:szCs w:val="17"/>
                <w:color w:val="auto"/>
              </w:rPr>
            </w:pPr>
          </w:p>
        </w:tc>
        <w:tc>
          <w:tcPr>
            <w:tcW w:w="1100" w:type="dxa"/>
            <w:vAlign w:val="bottom"/>
          </w:tcPr>
          <w:p>
            <w:pPr>
              <w:jc w:val="right"/>
              <w:ind w:right="44"/>
              <w:spacing w:after="0"/>
              <w:rPr>
                <w:sz w:val="20"/>
                <w:szCs w:val="20"/>
                <w:color w:val="auto"/>
              </w:rPr>
            </w:pPr>
            <w:r>
              <w:rPr>
                <w:rFonts w:ascii="Arial" w:cs="Arial" w:eastAsia="Arial" w:hAnsi="Arial"/>
                <w:sz w:val="15"/>
                <w:szCs w:val="15"/>
                <w:color w:val="3E3935"/>
              </w:rPr>
              <w:t>25,646,494</w:t>
            </w:r>
          </w:p>
        </w:tc>
        <w:tc>
          <w:tcPr>
            <w:tcW w:w="1240" w:type="dxa"/>
            <w:vAlign w:val="bottom"/>
          </w:tcPr>
          <w:p>
            <w:pPr>
              <w:jc w:val="right"/>
              <w:ind w:right="24"/>
              <w:spacing w:after="0"/>
              <w:rPr>
                <w:sz w:val="20"/>
                <w:szCs w:val="20"/>
                <w:color w:val="auto"/>
              </w:rPr>
            </w:pPr>
            <w:r>
              <w:rPr>
                <w:rFonts w:ascii="Arial" w:cs="Arial" w:eastAsia="Arial" w:hAnsi="Arial"/>
                <w:sz w:val="15"/>
                <w:szCs w:val="15"/>
                <w:color w:val="3E3935"/>
              </w:rPr>
              <w:t>5,307,302</w:t>
            </w:r>
          </w:p>
        </w:tc>
        <w:tc>
          <w:tcPr>
            <w:tcW w:w="220" w:type="dxa"/>
            <w:vAlign w:val="bottom"/>
          </w:tcPr>
          <w:p>
            <w:pPr>
              <w:spacing w:after="0"/>
              <w:rPr>
                <w:sz w:val="17"/>
                <w:szCs w:val="17"/>
                <w:color w:val="auto"/>
              </w:rPr>
            </w:pPr>
          </w:p>
        </w:tc>
        <w:tc>
          <w:tcPr>
            <w:tcW w:w="1100" w:type="dxa"/>
            <w:vAlign w:val="bottom"/>
          </w:tcPr>
          <w:p>
            <w:pPr>
              <w:jc w:val="right"/>
              <w:ind w:right="64"/>
              <w:spacing w:after="0"/>
              <w:rPr>
                <w:sz w:val="20"/>
                <w:szCs w:val="20"/>
                <w:color w:val="auto"/>
              </w:rPr>
            </w:pPr>
            <w:r>
              <w:rPr>
                <w:rFonts w:ascii="Arial" w:cs="Arial" w:eastAsia="Arial" w:hAnsi="Arial"/>
                <w:sz w:val="15"/>
                <w:szCs w:val="15"/>
                <w:color w:val="3E3935"/>
              </w:rPr>
              <w:t>10,087,483</w:t>
            </w:r>
          </w:p>
        </w:tc>
        <w:tc>
          <w:tcPr>
            <w:tcW w:w="1240" w:type="dxa"/>
            <w:vAlign w:val="bottom"/>
          </w:tcPr>
          <w:p>
            <w:pPr>
              <w:jc w:val="right"/>
              <w:ind w:right="24"/>
              <w:spacing w:after="0"/>
              <w:rPr>
                <w:sz w:val="20"/>
                <w:szCs w:val="20"/>
                <w:color w:val="auto"/>
              </w:rPr>
            </w:pPr>
            <w:r>
              <w:rPr>
                <w:rFonts w:ascii="Arial" w:cs="Arial" w:eastAsia="Arial" w:hAnsi="Arial"/>
                <w:sz w:val="15"/>
                <w:szCs w:val="15"/>
                <w:color w:val="3E3935"/>
              </w:rPr>
              <w:t>768,879</w:t>
            </w:r>
          </w:p>
        </w:tc>
      </w:tr>
      <w:tr>
        <w:trPr>
          <w:trHeight w:val="60"/>
        </w:trPr>
        <w:tc>
          <w:tcPr>
            <w:tcW w:w="2920" w:type="dxa"/>
            <w:vAlign w:val="bottom"/>
            <w:tcBorders>
              <w:bottom w:val="single" w:sz="8" w:color="3E3935"/>
            </w:tcBorders>
          </w:tcPr>
          <w:p>
            <w:pPr>
              <w:spacing w:after="0"/>
              <w:rPr>
                <w:sz w:val="5"/>
                <w:szCs w:val="5"/>
                <w:color w:val="auto"/>
              </w:rPr>
            </w:pPr>
          </w:p>
        </w:tc>
        <w:tc>
          <w:tcPr>
            <w:tcW w:w="1100" w:type="dxa"/>
            <w:vAlign w:val="bottom"/>
            <w:tcBorders>
              <w:bottom w:val="single" w:sz="8" w:color="3E3935"/>
            </w:tcBorders>
          </w:tcPr>
          <w:p>
            <w:pPr>
              <w:spacing w:after="0"/>
              <w:rPr>
                <w:sz w:val="5"/>
                <w:szCs w:val="5"/>
                <w:color w:val="auto"/>
              </w:rPr>
            </w:pPr>
          </w:p>
        </w:tc>
        <w:tc>
          <w:tcPr>
            <w:tcW w:w="1220" w:type="dxa"/>
            <w:vAlign w:val="bottom"/>
            <w:tcBorders>
              <w:bottom w:val="single" w:sz="8" w:color="3E3935"/>
            </w:tcBorders>
          </w:tcPr>
          <w:p>
            <w:pPr>
              <w:spacing w:after="0"/>
              <w:rPr>
                <w:sz w:val="5"/>
                <w:szCs w:val="5"/>
                <w:color w:val="auto"/>
              </w:rPr>
            </w:pPr>
          </w:p>
        </w:tc>
        <w:tc>
          <w:tcPr>
            <w:tcW w:w="220" w:type="dxa"/>
            <w:vAlign w:val="bottom"/>
            <w:tcBorders>
              <w:bottom w:val="single" w:sz="8" w:color="3E3935"/>
            </w:tcBorders>
          </w:tcPr>
          <w:p>
            <w:pPr>
              <w:spacing w:after="0"/>
              <w:rPr>
                <w:sz w:val="5"/>
                <w:szCs w:val="5"/>
                <w:color w:val="auto"/>
              </w:rPr>
            </w:pPr>
          </w:p>
        </w:tc>
        <w:tc>
          <w:tcPr>
            <w:tcW w:w="1100" w:type="dxa"/>
            <w:vAlign w:val="bottom"/>
            <w:tcBorders>
              <w:bottom w:val="single" w:sz="8" w:color="3E3935"/>
            </w:tcBorders>
          </w:tcPr>
          <w:p>
            <w:pPr>
              <w:spacing w:after="0"/>
              <w:rPr>
                <w:sz w:val="5"/>
                <w:szCs w:val="5"/>
                <w:color w:val="auto"/>
              </w:rPr>
            </w:pPr>
          </w:p>
        </w:tc>
        <w:tc>
          <w:tcPr>
            <w:tcW w:w="1240" w:type="dxa"/>
            <w:vAlign w:val="bottom"/>
            <w:tcBorders>
              <w:bottom w:val="single" w:sz="8" w:color="3E3935"/>
            </w:tcBorders>
          </w:tcPr>
          <w:p>
            <w:pPr>
              <w:spacing w:after="0"/>
              <w:rPr>
                <w:sz w:val="5"/>
                <w:szCs w:val="5"/>
                <w:color w:val="auto"/>
              </w:rPr>
            </w:pPr>
          </w:p>
        </w:tc>
        <w:tc>
          <w:tcPr>
            <w:tcW w:w="220" w:type="dxa"/>
            <w:vAlign w:val="bottom"/>
            <w:tcBorders>
              <w:bottom w:val="single" w:sz="8" w:color="3E3935"/>
            </w:tcBorders>
          </w:tcPr>
          <w:p>
            <w:pPr>
              <w:spacing w:after="0"/>
              <w:rPr>
                <w:sz w:val="5"/>
                <w:szCs w:val="5"/>
                <w:color w:val="auto"/>
              </w:rPr>
            </w:pPr>
          </w:p>
        </w:tc>
        <w:tc>
          <w:tcPr>
            <w:tcW w:w="1100" w:type="dxa"/>
            <w:vAlign w:val="bottom"/>
            <w:tcBorders>
              <w:bottom w:val="single" w:sz="8" w:color="3E3935"/>
            </w:tcBorders>
          </w:tcPr>
          <w:p>
            <w:pPr>
              <w:spacing w:after="0"/>
              <w:rPr>
                <w:sz w:val="5"/>
                <w:szCs w:val="5"/>
                <w:color w:val="auto"/>
              </w:rPr>
            </w:pPr>
          </w:p>
        </w:tc>
        <w:tc>
          <w:tcPr>
            <w:tcW w:w="1240" w:type="dxa"/>
            <w:vAlign w:val="bottom"/>
            <w:tcBorders>
              <w:bottom w:val="single" w:sz="8" w:color="3E3935"/>
            </w:tcBorders>
          </w:tcPr>
          <w:p>
            <w:pPr>
              <w:spacing w:after="0"/>
              <w:rPr>
                <w:sz w:val="5"/>
                <w:szCs w:val="5"/>
                <w:color w:val="auto"/>
              </w:rPr>
            </w:pPr>
          </w:p>
        </w:tc>
      </w:tr>
      <w:tr>
        <w:trPr>
          <w:trHeight w:val="206"/>
        </w:trPr>
        <w:tc>
          <w:tcPr>
            <w:tcW w:w="2920" w:type="dxa"/>
            <w:vAlign w:val="bottom"/>
          </w:tcPr>
          <w:p>
            <w:pPr>
              <w:ind w:left="80"/>
              <w:spacing w:after="0"/>
              <w:rPr>
                <w:sz w:val="20"/>
                <w:szCs w:val="20"/>
                <w:color w:val="auto"/>
              </w:rPr>
            </w:pPr>
            <w:r>
              <w:rPr>
                <w:rFonts w:ascii="Arial" w:cs="Arial" w:eastAsia="Arial" w:hAnsi="Arial"/>
                <w:sz w:val="15"/>
                <w:szCs w:val="15"/>
                <w:color w:val="3E3935"/>
              </w:rPr>
              <w:t>Change in Fair Value of Stock Awards</w:t>
            </w:r>
          </w:p>
        </w:tc>
        <w:tc>
          <w:tcPr>
            <w:tcW w:w="1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00"/>
        </w:trPr>
        <w:tc>
          <w:tcPr>
            <w:tcW w:w="2920" w:type="dxa"/>
            <w:vAlign w:val="bottom"/>
          </w:tcPr>
          <w:p>
            <w:pPr>
              <w:ind w:left="80"/>
              <w:spacing w:after="0"/>
              <w:rPr>
                <w:sz w:val="20"/>
                <w:szCs w:val="20"/>
                <w:color w:val="auto"/>
              </w:rPr>
            </w:pPr>
            <w:r>
              <w:rPr>
                <w:rFonts w:ascii="Arial" w:cs="Arial" w:eastAsia="Arial" w:hAnsi="Arial"/>
                <w:sz w:val="15"/>
                <w:szCs w:val="15"/>
                <w:color w:val="3E3935"/>
              </w:rPr>
              <w:t>that Vested in the Covered Year</w:t>
            </w:r>
          </w:p>
        </w:tc>
        <w:tc>
          <w:tcPr>
            <w:tcW w:w="1100" w:type="dxa"/>
            <w:vAlign w:val="bottom"/>
          </w:tcPr>
          <w:p>
            <w:pPr>
              <w:jc w:val="right"/>
              <w:ind w:right="4"/>
              <w:spacing w:after="0"/>
              <w:rPr>
                <w:sz w:val="20"/>
                <w:szCs w:val="20"/>
                <w:color w:val="auto"/>
              </w:rPr>
            </w:pPr>
            <w:r>
              <w:rPr>
                <w:rFonts w:ascii="Arial" w:cs="Arial" w:eastAsia="Arial" w:hAnsi="Arial"/>
                <w:sz w:val="15"/>
                <w:szCs w:val="15"/>
                <w:color w:val="3E3935"/>
              </w:rPr>
              <w:t>(4,942,601)</w:t>
            </w:r>
          </w:p>
        </w:tc>
        <w:tc>
          <w:tcPr>
            <w:tcW w:w="1220" w:type="dxa"/>
            <w:vAlign w:val="bottom"/>
          </w:tcPr>
          <w:p>
            <w:pPr>
              <w:jc w:val="right"/>
              <w:spacing w:after="0"/>
              <w:rPr>
                <w:sz w:val="20"/>
                <w:szCs w:val="20"/>
                <w:color w:val="auto"/>
              </w:rPr>
            </w:pPr>
            <w:r>
              <w:rPr>
                <w:rFonts w:ascii="Arial" w:cs="Arial" w:eastAsia="Arial" w:hAnsi="Arial"/>
                <w:sz w:val="15"/>
                <w:szCs w:val="15"/>
                <w:color w:val="3E3935"/>
              </w:rPr>
              <w:t>(732,230)</w:t>
            </w:r>
          </w:p>
        </w:tc>
        <w:tc>
          <w:tcPr>
            <w:tcW w:w="220" w:type="dxa"/>
            <w:vAlign w:val="bottom"/>
          </w:tcPr>
          <w:p>
            <w:pPr>
              <w:spacing w:after="0"/>
              <w:rPr>
                <w:sz w:val="17"/>
                <w:szCs w:val="17"/>
                <w:color w:val="auto"/>
              </w:rPr>
            </w:pPr>
          </w:p>
        </w:tc>
        <w:tc>
          <w:tcPr>
            <w:tcW w:w="1100" w:type="dxa"/>
            <w:vAlign w:val="bottom"/>
          </w:tcPr>
          <w:p>
            <w:pPr>
              <w:jc w:val="right"/>
              <w:ind w:right="44"/>
              <w:spacing w:after="0"/>
              <w:rPr>
                <w:sz w:val="20"/>
                <w:szCs w:val="20"/>
                <w:color w:val="auto"/>
              </w:rPr>
            </w:pPr>
            <w:r>
              <w:rPr>
                <w:rFonts w:ascii="Arial" w:cs="Arial" w:eastAsia="Arial" w:hAnsi="Arial"/>
                <w:sz w:val="15"/>
                <w:szCs w:val="15"/>
                <w:color w:val="3E3935"/>
              </w:rPr>
              <w:t>5,626,432</w:t>
            </w:r>
          </w:p>
        </w:tc>
        <w:tc>
          <w:tcPr>
            <w:tcW w:w="1240" w:type="dxa"/>
            <w:vAlign w:val="bottom"/>
          </w:tcPr>
          <w:p>
            <w:pPr>
              <w:jc w:val="right"/>
              <w:ind w:right="24"/>
              <w:spacing w:after="0"/>
              <w:rPr>
                <w:sz w:val="20"/>
                <w:szCs w:val="20"/>
                <w:color w:val="auto"/>
              </w:rPr>
            </w:pPr>
            <w:r>
              <w:rPr>
                <w:rFonts w:ascii="Arial" w:cs="Arial" w:eastAsia="Arial" w:hAnsi="Arial"/>
                <w:sz w:val="15"/>
                <w:szCs w:val="15"/>
                <w:color w:val="3E3935"/>
              </w:rPr>
              <w:t>646,960</w:t>
            </w:r>
          </w:p>
        </w:tc>
        <w:tc>
          <w:tcPr>
            <w:tcW w:w="220" w:type="dxa"/>
            <w:vAlign w:val="bottom"/>
          </w:tcPr>
          <w:p>
            <w:pPr>
              <w:spacing w:after="0"/>
              <w:rPr>
                <w:sz w:val="17"/>
                <w:szCs w:val="17"/>
                <w:color w:val="auto"/>
              </w:rPr>
            </w:pPr>
          </w:p>
        </w:tc>
        <w:tc>
          <w:tcPr>
            <w:tcW w:w="1100" w:type="dxa"/>
            <w:vAlign w:val="bottom"/>
          </w:tcPr>
          <w:p>
            <w:pPr>
              <w:jc w:val="right"/>
              <w:ind w:right="4"/>
              <w:spacing w:after="0"/>
              <w:rPr>
                <w:sz w:val="20"/>
                <w:szCs w:val="20"/>
                <w:color w:val="auto"/>
              </w:rPr>
            </w:pPr>
            <w:r>
              <w:rPr>
                <w:rFonts w:ascii="Arial" w:cs="Arial" w:eastAsia="Arial" w:hAnsi="Arial"/>
                <w:sz w:val="15"/>
                <w:szCs w:val="15"/>
                <w:color w:val="3E3935"/>
              </w:rPr>
              <w:t>(847,866)</w:t>
            </w:r>
          </w:p>
        </w:tc>
        <w:tc>
          <w:tcPr>
            <w:tcW w:w="1240" w:type="dxa"/>
            <w:vAlign w:val="bottom"/>
          </w:tcPr>
          <w:p>
            <w:pPr>
              <w:jc w:val="right"/>
              <w:spacing w:after="0"/>
              <w:rPr>
                <w:sz w:val="20"/>
                <w:szCs w:val="20"/>
                <w:color w:val="auto"/>
              </w:rPr>
            </w:pPr>
            <w:r>
              <w:rPr>
                <w:rFonts w:ascii="Arial" w:cs="Arial" w:eastAsia="Arial" w:hAnsi="Arial"/>
                <w:sz w:val="15"/>
                <w:szCs w:val="15"/>
                <w:color w:val="3E3935"/>
              </w:rPr>
              <w:t>(1,522)</w:t>
            </w:r>
          </w:p>
        </w:tc>
      </w:tr>
      <w:tr>
        <w:trPr>
          <w:trHeight w:val="60"/>
        </w:trPr>
        <w:tc>
          <w:tcPr>
            <w:tcW w:w="2920" w:type="dxa"/>
            <w:vAlign w:val="bottom"/>
            <w:tcBorders>
              <w:bottom w:val="single" w:sz="8" w:color="3E3935"/>
            </w:tcBorders>
          </w:tcPr>
          <w:p>
            <w:pPr>
              <w:spacing w:after="0"/>
              <w:rPr>
                <w:sz w:val="5"/>
                <w:szCs w:val="5"/>
                <w:color w:val="auto"/>
              </w:rPr>
            </w:pPr>
          </w:p>
        </w:tc>
        <w:tc>
          <w:tcPr>
            <w:tcW w:w="1100" w:type="dxa"/>
            <w:vAlign w:val="bottom"/>
            <w:tcBorders>
              <w:bottom w:val="single" w:sz="8" w:color="3E3935"/>
            </w:tcBorders>
          </w:tcPr>
          <w:p>
            <w:pPr>
              <w:spacing w:after="0"/>
              <w:rPr>
                <w:sz w:val="5"/>
                <w:szCs w:val="5"/>
                <w:color w:val="auto"/>
              </w:rPr>
            </w:pPr>
          </w:p>
        </w:tc>
        <w:tc>
          <w:tcPr>
            <w:tcW w:w="1220" w:type="dxa"/>
            <w:vAlign w:val="bottom"/>
            <w:tcBorders>
              <w:bottom w:val="single" w:sz="8" w:color="3E3935"/>
            </w:tcBorders>
          </w:tcPr>
          <w:p>
            <w:pPr>
              <w:spacing w:after="0"/>
              <w:rPr>
                <w:sz w:val="5"/>
                <w:szCs w:val="5"/>
                <w:color w:val="auto"/>
              </w:rPr>
            </w:pPr>
          </w:p>
        </w:tc>
        <w:tc>
          <w:tcPr>
            <w:tcW w:w="220" w:type="dxa"/>
            <w:vAlign w:val="bottom"/>
            <w:tcBorders>
              <w:bottom w:val="single" w:sz="8" w:color="3E3935"/>
            </w:tcBorders>
          </w:tcPr>
          <w:p>
            <w:pPr>
              <w:spacing w:after="0"/>
              <w:rPr>
                <w:sz w:val="5"/>
                <w:szCs w:val="5"/>
                <w:color w:val="auto"/>
              </w:rPr>
            </w:pPr>
          </w:p>
        </w:tc>
        <w:tc>
          <w:tcPr>
            <w:tcW w:w="1100" w:type="dxa"/>
            <w:vAlign w:val="bottom"/>
            <w:tcBorders>
              <w:bottom w:val="single" w:sz="8" w:color="3E3935"/>
            </w:tcBorders>
          </w:tcPr>
          <w:p>
            <w:pPr>
              <w:spacing w:after="0"/>
              <w:rPr>
                <w:sz w:val="5"/>
                <w:szCs w:val="5"/>
                <w:color w:val="auto"/>
              </w:rPr>
            </w:pPr>
          </w:p>
        </w:tc>
        <w:tc>
          <w:tcPr>
            <w:tcW w:w="1240" w:type="dxa"/>
            <w:vAlign w:val="bottom"/>
            <w:tcBorders>
              <w:bottom w:val="single" w:sz="8" w:color="3E3935"/>
            </w:tcBorders>
          </w:tcPr>
          <w:p>
            <w:pPr>
              <w:spacing w:after="0"/>
              <w:rPr>
                <w:sz w:val="5"/>
                <w:szCs w:val="5"/>
                <w:color w:val="auto"/>
              </w:rPr>
            </w:pPr>
          </w:p>
        </w:tc>
        <w:tc>
          <w:tcPr>
            <w:tcW w:w="220" w:type="dxa"/>
            <w:vAlign w:val="bottom"/>
            <w:tcBorders>
              <w:bottom w:val="single" w:sz="8" w:color="3E3935"/>
            </w:tcBorders>
          </w:tcPr>
          <w:p>
            <w:pPr>
              <w:spacing w:after="0"/>
              <w:rPr>
                <w:sz w:val="5"/>
                <w:szCs w:val="5"/>
                <w:color w:val="auto"/>
              </w:rPr>
            </w:pPr>
          </w:p>
        </w:tc>
        <w:tc>
          <w:tcPr>
            <w:tcW w:w="1100" w:type="dxa"/>
            <w:vAlign w:val="bottom"/>
            <w:tcBorders>
              <w:bottom w:val="single" w:sz="8" w:color="3E3935"/>
            </w:tcBorders>
          </w:tcPr>
          <w:p>
            <w:pPr>
              <w:spacing w:after="0"/>
              <w:rPr>
                <w:sz w:val="5"/>
                <w:szCs w:val="5"/>
                <w:color w:val="auto"/>
              </w:rPr>
            </w:pPr>
          </w:p>
        </w:tc>
        <w:tc>
          <w:tcPr>
            <w:tcW w:w="1240" w:type="dxa"/>
            <w:vAlign w:val="bottom"/>
            <w:tcBorders>
              <w:bottom w:val="single" w:sz="8" w:color="3E3935"/>
            </w:tcBorders>
          </w:tcPr>
          <w:p>
            <w:pPr>
              <w:spacing w:after="0"/>
              <w:rPr>
                <w:sz w:val="5"/>
                <w:szCs w:val="5"/>
                <w:color w:val="auto"/>
              </w:rPr>
            </w:pPr>
          </w:p>
        </w:tc>
      </w:tr>
      <w:tr>
        <w:trPr>
          <w:trHeight w:val="206"/>
        </w:trPr>
        <w:tc>
          <w:tcPr>
            <w:tcW w:w="2920" w:type="dxa"/>
            <w:vAlign w:val="bottom"/>
          </w:tcPr>
          <w:p>
            <w:pPr>
              <w:ind w:left="80"/>
              <w:spacing w:after="0"/>
              <w:rPr>
                <w:sz w:val="20"/>
                <w:szCs w:val="20"/>
                <w:color w:val="auto"/>
              </w:rPr>
            </w:pPr>
            <w:r>
              <w:rPr>
                <w:rFonts w:ascii="Arial" w:cs="Arial" w:eastAsia="Arial" w:hAnsi="Arial"/>
                <w:sz w:val="15"/>
                <w:szCs w:val="15"/>
                <w:color w:val="3E3935"/>
              </w:rPr>
              <w:t>Less: Fair Value of Stock Awards</w:t>
            </w:r>
          </w:p>
        </w:tc>
        <w:tc>
          <w:tcPr>
            <w:tcW w:w="1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00"/>
        </w:trPr>
        <w:tc>
          <w:tcPr>
            <w:tcW w:w="2920" w:type="dxa"/>
            <w:vAlign w:val="bottom"/>
          </w:tcPr>
          <w:p>
            <w:pPr>
              <w:ind w:left="80"/>
              <w:spacing w:after="0"/>
              <w:rPr>
                <w:sz w:val="20"/>
                <w:szCs w:val="20"/>
                <w:color w:val="auto"/>
              </w:rPr>
            </w:pPr>
            <w:r>
              <w:rPr>
                <w:rFonts w:ascii="Arial" w:cs="Arial" w:eastAsia="Arial" w:hAnsi="Arial"/>
                <w:sz w:val="15"/>
                <w:szCs w:val="15"/>
                <w:color w:val="3E3935"/>
              </w:rPr>
              <w:t>Forfeited During the Covered Year</w:t>
            </w:r>
          </w:p>
        </w:tc>
        <w:tc>
          <w:tcPr>
            <w:tcW w:w="1100" w:type="dxa"/>
            <w:vAlign w:val="bottom"/>
          </w:tcPr>
          <w:p>
            <w:pPr>
              <w:jc w:val="right"/>
              <w:ind w:right="64"/>
              <w:spacing w:after="0"/>
              <w:rPr>
                <w:sz w:val="20"/>
                <w:szCs w:val="20"/>
                <w:color w:val="auto"/>
              </w:rPr>
            </w:pPr>
            <w:r>
              <w:rPr>
                <w:rFonts w:ascii="Arial" w:cs="Arial" w:eastAsia="Arial" w:hAnsi="Arial"/>
                <w:sz w:val="15"/>
                <w:szCs w:val="15"/>
                <w:color w:val="3E3935"/>
              </w:rPr>
              <w:t>—</w:t>
            </w:r>
          </w:p>
        </w:tc>
        <w:tc>
          <w:tcPr>
            <w:tcW w:w="1440" w:type="dxa"/>
            <w:vAlign w:val="bottom"/>
            <w:gridSpan w:val="2"/>
          </w:tcPr>
          <w:p>
            <w:pPr>
              <w:jc w:val="right"/>
              <w:ind w:right="300"/>
              <w:spacing w:after="0"/>
              <w:rPr>
                <w:sz w:val="20"/>
                <w:szCs w:val="20"/>
                <w:color w:val="auto"/>
              </w:rPr>
            </w:pPr>
            <w:r>
              <w:rPr>
                <w:rFonts w:ascii="Arial" w:cs="Arial" w:eastAsia="Arial" w:hAnsi="Arial"/>
                <w:sz w:val="15"/>
                <w:szCs w:val="15"/>
                <w:color w:val="3E3935"/>
              </w:rPr>
              <w:t>—</w:t>
            </w:r>
          </w:p>
        </w:tc>
        <w:tc>
          <w:tcPr>
            <w:tcW w:w="1100" w:type="dxa"/>
            <w:vAlign w:val="bottom"/>
          </w:tcPr>
          <w:p>
            <w:pPr>
              <w:jc w:val="right"/>
              <w:ind w:right="44"/>
              <w:spacing w:after="0"/>
              <w:rPr>
                <w:sz w:val="20"/>
                <w:szCs w:val="20"/>
                <w:color w:val="auto"/>
              </w:rPr>
            </w:pPr>
            <w:r>
              <w:rPr>
                <w:rFonts w:ascii="Arial" w:cs="Arial" w:eastAsia="Arial" w:hAnsi="Arial"/>
                <w:sz w:val="15"/>
                <w:szCs w:val="15"/>
                <w:color w:val="3E3935"/>
              </w:rPr>
              <w:t>—</w:t>
            </w:r>
          </w:p>
        </w:tc>
        <w:tc>
          <w:tcPr>
            <w:tcW w:w="1460" w:type="dxa"/>
            <w:vAlign w:val="bottom"/>
            <w:gridSpan w:val="2"/>
          </w:tcPr>
          <w:p>
            <w:pPr>
              <w:jc w:val="right"/>
              <w:ind w:right="320"/>
              <w:spacing w:after="0"/>
              <w:rPr>
                <w:sz w:val="20"/>
                <w:szCs w:val="20"/>
                <w:color w:val="auto"/>
              </w:rPr>
            </w:pPr>
            <w:r>
              <w:rPr>
                <w:rFonts w:ascii="Arial" w:cs="Arial" w:eastAsia="Arial" w:hAnsi="Arial"/>
                <w:sz w:val="15"/>
                <w:szCs w:val="15"/>
                <w:color w:val="3E3935"/>
              </w:rPr>
              <w:t>—</w:t>
            </w:r>
          </w:p>
        </w:tc>
        <w:tc>
          <w:tcPr>
            <w:tcW w:w="1100" w:type="dxa"/>
            <w:vAlign w:val="bottom"/>
          </w:tcPr>
          <w:p>
            <w:pPr>
              <w:jc w:val="right"/>
              <w:ind w:right="64"/>
              <w:spacing w:after="0"/>
              <w:rPr>
                <w:sz w:val="20"/>
                <w:szCs w:val="20"/>
                <w:color w:val="auto"/>
              </w:rPr>
            </w:pPr>
            <w:r>
              <w:rPr>
                <w:rFonts w:ascii="Arial" w:cs="Arial" w:eastAsia="Arial" w:hAnsi="Arial"/>
                <w:sz w:val="15"/>
                <w:szCs w:val="15"/>
                <w:color w:val="3E3935"/>
              </w:rPr>
              <w:t>—</w:t>
            </w:r>
          </w:p>
        </w:tc>
        <w:tc>
          <w:tcPr>
            <w:tcW w:w="1240" w:type="dxa"/>
            <w:vAlign w:val="bottom"/>
          </w:tcPr>
          <w:p>
            <w:pPr>
              <w:jc w:val="right"/>
              <w:spacing w:after="0"/>
              <w:rPr>
                <w:sz w:val="20"/>
                <w:szCs w:val="20"/>
                <w:color w:val="auto"/>
              </w:rPr>
            </w:pPr>
            <w:r>
              <w:rPr>
                <w:rFonts w:ascii="Arial" w:cs="Arial" w:eastAsia="Arial" w:hAnsi="Arial"/>
                <w:sz w:val="15"/>
                <w:szCs w:val="15"/>
                <w:color w:val="3E3935"/>
              </w:rPr>
              <w:t>(1,617,289)</w:t>
            </w:r>
          </w:p>
        </w:tc>
      </w:tr>
      <w:tr>
        <w:trPr>
          <w:trHeight w:val="60"/>
        </w:trPr>
        <w:tc>
          <w:tcPr>
            <w:tcW w:w="2920" w:type="dxa"/>
            <w:vAlign w:val="bottom"/>
            <w:tcBorders>
              <w:bottom w:val="single" w:sz="8" w:color="3E3935"/>
            </w:tcBorders>
          </w:tcPr>
          <w:p>
            <w:pPr>
              <w:spacing w:after="0"/>
              <w:rPr>
                <w:sz w:val="5"/>
                <w:szCs w:val="5"/>
                <w:color w:val="auto"/>
              </w:rPr>
            </w:pPr>
          </w:p>
        </w:tc>
        <w:tc>
          <w:tcPr>
            <w:tcW w:w="1100" w:type="dxa"/>
            <w:vAlign w:val="bottom"/>
            <w:tcBorders>
              <w:bottom w:val="single" w:sz="8" w:color="3E3935"/>
            </w:tcBorders>
          </w:tcPr>
          <w:p>
            <w:pPr>
              <w:spacing w:after="0"/>
              <w:rPr>
                <w:sz w:val="5"/>
                <w:szCs w:val="5"/>
                <w:color w:val="auto"/>
              </w:rPr>
            </w:pPr>
          </w:p>
        </w:tc>
        <w:tc>
          <w:tcPr>
            <w:tcW w:w="1220" w:type="dxa"/>
            <w:vAlign w:val="bottom"/>
            <w:tcBorders>
              <w:bottom w:val="single" w:sz="8" w:color="3E3935"/>
            </w:tcBorders>
          </w:tcPr>
          <w:p>
            <w:pPr>
              <w:spacing w:after="0"/>
              <w:rPr>
                <w:sz w:val="5"/>
                <w:szCs w:val="5"/>
                <w:color w:val="auto"/>
              </w:rPr>
            </w:pPr>
          </w:p>
        </w:tc>
        <w:tc>
          <w:tcPr>
            <w:tcW w:w="220" w:type="dxa"/>
            <w:vAlign w:val="bottom"/>
            <w:tcBorders>
              <w:bottom w:val="single" w:sz="8" w:color="3E3935"/>
            </w:tcBorders>
          </w:tcPr>
          <w:p>
            <w:pPr>
              <w:spacing w:after="0"/>
              <w:rPr>
                <w:sz w:val="5"/>
                <w:szCs w:val="5"/>
                <w:color w:val="auto"/>
              </w:rPr>
            </w:pPr>
          </w:p>
        </w:tc>
        <w:tc>
          <w:tcPr>
            <w:tcW w:w="1100" w:type="dxa"/>
            <w:vAlign w:val="bottom"/>
            <w:tcBorders>
              <w:bottom w:val="single" w:sz="8" w:color="3E3935"/>
            </w:tcBorders>
          </w:tcPr>
          <w:p>
            <w:pPr>
              <w:spacing w:after="0"/>
              <w:rPr>
                <w:sz w:val="5"/>
                <w:szCs w:val="5"/>
                <w:color w:val="auto"/>
              </w:rPr>
            </w:pPr>
          </w:p>
        </w:tc>
        <w:tc>
          <w:tcPr>
            <w:tcW w:w="1240" w:type="dxa"/>
            <w:vAlign w:val="bottom"/>
            <w:tcBorders>
              <w:bottom w:val="single" w:sz="8" w:color="3E3935"/>
            </w:tcBorders>
          </w:tcPr>
          <w:p>
            <w:pPr>
              <w:spacing w:after="0"/>
              <w:rPr>
                <w:sz w:val="5"/>
                <w:szCs w:val="5"/>
                <w:color w:val="auto"/>
              </w:rPr>
            </w:pPr>
          </w:p>
        </w:tc>
        <w:tc>
          <w:tcPr>
            <w:tcW w:w="220" w:type="dxa"/>
            <w:vAlign w:val="bottom"/>
            <w:tcBorders>
              <w:bottom w:val="single" w:sz="8" w:color="3E3935"/>
            </w:tcBorders>
          </w:tcPr>
          <w:p>
            <w:pPr>
              <w:spacing w:after="0"/>
              <w:rPr>
                <w:sz w:val="5"/>
                <w:szCs w:val="5"/>
                <w:color w:val="auto"/>
              </w:rPr>
            </w:pPr>
          </w:p>
        </w:tc>
        <w:tc>
          <w:tcPr>
            <w:tcW w:w="1100" w:type="dxa"/>
            <w:vAlign w:val="bottom"/>
            <w:tcBorders>
              <w:bottom w:val="single" w:sz="8" w:color="3E3935"/>
            </w:tcBorders>
          </w:tcPr>
          <w:p>
            <w:pPr>
              <w:spacing w:after="0"/>
              <w:rPr>
                <w:sz w:val="5"/>
                <w:szCs w:val="5"/>
                <w:color w:val="auto"/>
              </w:rPr>
            </w:pPr>
          </w:p>
        </w:tc>
        <w:tc>
          <w:tcPr>
            <w:tcW w:w="1240" w:type="dxa"/>
            <w:vAlign w:val="bottom"/>
            <w:tcBorders>
              <w:bottom w:val="single" w:sz="8" w:color="3E3935"/>
            </w:tcBorders>
          </w:tcPr>
          <w:p>
            <w:pPr>
              <w:spacing w:after="0"/>
              <w:rPr>
                <w:sz w:val="5"/>
                <w:szCs w:val="5"/>
                <w:color w:val="auto"/>
              </w:rPr>
            </w:pPr>
          </w:p>
        </w:tc>
      </w:tr>
      <w:tr>
        <w:trPr>
          <w:trHeight w:val="206"/>
        </w:trPr>
        <w:tc>
          <w:tcPr>
            <w:tcW w:w="2920" w:type="dxa"/>
            <w:vAlign w:val="bottom"/>
          </w:tcPr>
          <w:p>
            <w:pPr>
              <w:ind w:left="80"/>
              <w:spacing w:after="0"/>
              <w:rPr>
                <w:sz w:val="20"/>
                <w:szCs w:val="20"/>
                <w:color w:val="auto"/>
              </w:rPr>
            </w:pPr>
            <w:r>
              <w:rPr>
                <w:rFonts w:ascii="Arial" w:cs="Arial" w:eastAsia="Arial" w:hAnsi="Arial"/>
                <w:sz w:val="15"/>
                <w:szCs w:val="15"/>
                <w:color w:val="3E3935"/>
              </w:rPr>
              <w:t>Less: Amount Reported in the “Option</w:t>
            </w:r>
          </w:p>
        </w:tc>
        <w:tc>
          <w:tcPr>
            <w:tcW w:w="1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00"/>
        </w:trPr>
        <w:tc>
          <w:tcPr>
            <w:tcW w:w="2920" w:type="dxa"/>
            <w:vAlign w:val="bottom"/>
          </w:tcPr>
          <w:p>
            <w:pPr>
              <w:ind w:left="80"/>
              <w:spacing w:after="0"/>
              <w:rPr>
                <w:sz w:val="20"/>
                <w:szCs w:val="20"/>
                <w:color w:val="auto"/>
              </w:rPr>
            </w:pPr>
            <w:r>
              <w:rPr>
                <w:rFonts w:ascii="Arial" w:cs="Arial" w:eastAsia="Arial" w:hAnsi="Arial"/>
                <w:sz w:val="15"/>
                <w:szCs w:val="15"/>
                <w:color w:val="3E3935"/>
              </w:rPr>
              <w:t>Awards” Column of the SCT</w:t>
            </w:r>
          </w:p>
        </w:tc>
        <w:tc>
          <w:tcPr>
            <w:tcW w:w="1100" w:type="dxa"/>
            <w:vAlign w:val="bottom"/>
          </w:tcPr>
          <w:p>
            <w:pPr>
              <w:jc w:val="right"/>
              <w:ind w:right="4"/>
              <w:spacing w:after="0"/>
              <w:rPr>
                <w:sz w:val="20"/>
                <w:szCs w:val="20"/>
                <w:color w:val="auto"/>
              </w:rPr>
            </w:pPr>
            <w:r>
              <w:rPr>
                <w:rFonts w:ascii="Arial" w:cs="Arial" w:eastAsia="Arial" w:hAnsi="Arial"/>
                <w:sz w:val="15"/>
                <w:szCs w:val="15"/>
                <w:color w:val="3E3935"/>
              </w:rPr>
              <w:t>(4,875,010)</w:t>
            </w:r>
          </w:p>
        </w:tc>
        <w:tc>
          <w:tcPr>
            <w:tcW w:w="1220" w:type="dxa"/>
            <w:vAlign w:val="bottom"/>
          </w:tcPr>
          <w:p>
            <w:pPr>
              <w:jc w:val="right"/>
              <w:spacing w:after="0"/>
              <w:rPr>
                <w:sz w:val="20"/>
                <w:szCs w:val="20"/>
                <w:color w:val="auto"/>
              </w:rPr>
            </w:pPr>
            <w:r>
              <w:rPr>
                <w:rFonts w:ascii="Arial" w:cs="Arial" w:eastAsia="Arial" w:hAnsi="Arial"/>
                <w:sz w:val="15"/>
                <w:szCs w:val="15"/>
                <w:color w:val="3E3935"/>
              </w:rPr>
              <w:t>(1,823,438)</w:t>
            </w:r>
          </w:p>
        </w:tc>
        <w:tc>
          <w:tcPr>
            <w:tcW w:w="220" w:type="dxa"/>
            <w:vAlign w:val="bottom"/>
          </w:tcPr>
          <w:p>
            <w:pPr>
              <w:spacing w:after="0"/>
              <w:rPr>
                <w:sz w:val="17"/>
                <w:szCs w:val="17"/>
                <w:color w:val="auto"/>
              </w:rPr>
            </w:pPr>
          </w:p>
        </w:tc>
        <w:tc>
          <w:tcPr>
            <w:tcW w:w="1100" w:type="dxa"/>
            <w:vAlign w:val="bottom"/>
          </w:tcPr>
          <w:p>
            <w:pPr>
              <w:jc w:val="right"/>
              <w:ind w:right="4"/>
              <w:spacing w:after="0"/>
              <w:rPr>
                <w:sz w:val="20"/>
                <w:szCs w:val="20"/>
                <w:color w:val="auto"/>
              </w:rPr>
            </w:pPr>
            <w:r>
              <w:rPr>
                <w:rFonts w:ascii="Arial" w:cs="Arial" w:eastAsia="Arial" w:hAnsi="Arial"/>
                <w:sz w:val="15"/>
                <w:szCs w:val="15"/>
                <w:color w:val="3E3935"/>
              </w:rPr>
              <w:t>(3,937,507)</w:t>
            </w:r>
          </w:p>
        </w:tc>
        <w:tc>
          <w:tcPr>
            <w:tcW w:w="1240" w:type="dxa"/>
            <w:vAlign w:val="bottom"/>
          </w:tcPr>
          <w:p>
            <w:pPr>
              <w:jc w:val="right"/>
              <w:spacing w:after="0"/>
              <w:rPr>
                <w:sz w:val="20"/>
                <w:szCs w:val="20"/>
                <w:color w:val="auto"/>
              </w:rPr>
            </w:pPr>
            <w:r>
              <w:rPr>
                <w:rFonts w:ascii="Arial" w:cs="Arial" w:eastAsia="Arial" w:hAnsi="Arial"/>
                <w:sz w:val="15"/>
                <w:szCs w:val="15"/>
                <w:color w:val="3E3935"/>
              </w:rPr>
              <w:t>(1,368,752)</w:t>
            </w:r>
          </w:p>
        </w:tc>
        <w:tc>
          <w:tcPr>
            <w:tcW w:w="220" w:type="dxa"/>
            <w:vAlign w:val="bottom"/>
          </w:tcPr>
          <w:p>
            <w:pPr>
              <w:spacing w:after="0"/>
              <w:rPr>
                <w:sz w:val="17"/>
                <w:szCs w:val="17"/>
                <w:color w:val="auto"/>
              </w:rPr>
            </w:pPr>
          </w:p>
        </w:tc>
        <w:tc>
          <w:tcPr>
            <w:tcW w:w="1100" w:type="dxa"/>
            <w:vAlign w:val="bottom"/>
          </w:tcPr>
          <w:p>
            <w:pPr>
              <w:jc w:val="right"/>
              <w:ind w:right="4"/>
              <w:spacing w:after="0"/>
              <w:rPr>
                <w:sz w:val="20"/>
                <w:szCs w:val="20"/>
                <w:color w:val="auto"/>
              </w:rPr>
            </w:pPr>
            <w:r>
              <w:rPr>
                <w:rFonts w:ascii="Arial" w:cs="Arial" w:eastAsia="Arial" w:hAnsi="Arial"/>
                <w:sz w:val="15"/>
                <w:szCs w:val="15"/>
                <w:color w:val="3E3935"/>
              </w:rPr>
              <w:t>(3,750,002)</w:t>
            </w:r>
          </w:p>
        </w:tc>
        <w:tc>
          <w:tcPr>
            <w:tcW w:w="1240" w:type="dxa"/>
            <w:vAlign w:val="bottom"/>
          </w:tcPr>
          <w:p>
            <w:pPr>
              <w:jc w:val="right"/>
              <w:spacing w:after="0"/>
              <w:rPr>
                <w:sz w:val="20"/>
                <w:szCs w:val="20"/>
                <w:color w:val="auto"/>
              </w:rPr>
            </w:pPr>
            <w:r>
              <w:rPr>
                <w:rFonts w:ascii="Arial" w:cs="Arial" w:eastAsia="Arial" w:hAnsi="Arial"/>
                <w:sz w:val="15"/>
                <w:szCs w:val="15"/>
                <w:color w:val="3E3935"/>
              </w:rPr>
              <w:t>(974,378)</w:t>
            </w:r>
          </w:p>
        </w:tc>
      </w:tr>
      <w:tr>
        <w:trPr>
          <w:trHeight w:val="60"/>
        </w:trPr>
        <w:tc>
          <w:tcPr>
            <w:tcW w:w="2920" w:type="dxa"/>
            <w:vAlign w:val="bottom"/>
            <w:tcBorders>
              <w:bottom w:val="single" w:sz="8" w:color="3E3935"/>
            </w:tcBorders>
          </w:tcPr>
          <w:p>
            <w:pPr>
              <w:spacing w:after="0"/>
              <w:rPr>
                <w:sz w:val="5"/>
                <w:szCs w:val="5"/>
                <w:color w:val="auto"/>
              </w:rPr>
            </w:pPr>
          </w:p>
        </w:tc>
        <w:tc>
          <w:tcPr>
            <w:tcW w:w="1100" w:type="dxa"/>
            <w:vAlign w:val="bottom"/>
            <w:tcBorders>
              <w:bottom w:val="single" w:sz="8" w:color="3E3935"/>
            </w:tcBorders>
          </w:tcPr>
          <w:p>
            <w:pPr>
              <w:spacing w:after="0"/>
              <w:rPr>
                <w:sz w:val="5"/>
                <w:szCs w:val="5"/>
                <w:color w:val="auto"/>
              </w:rPr>
            </w:pPr>
          </w:p>
        </w:tc>
        <w:tc>
          <w:tcPr>
            <w:tcW w:w="1220" w:type="dxa"/>
            <w:vAlign w:val="bottom"/>
            <w:tcBorders>
              <w:bottom w:val="single" w:sz="8" w:color="3E3935"/>
            </w:tcBorders>
          </w:tcPr>
          <w:p>
            <w:pPr>
              <w:spacing w:after="0"/>
              <w:rPr>
                <w:sz w:val="5"/>
                <w:szCs w:val="5"/>
                <w:color w:val="auto"/>
              </w:rPr>
            </w:pPr>
          </w:p>
        </w:tc>
        <w:tc>
          <w:tcPr>
            <w:tcW w:w="220" w:type="dxa"/>
            <w:vAlign w:val="bottom"/>
            <w:tcBorders>
              <w:bottom w:val="single" w:sz="8" w:color="3E3935"/>
            </w:tcBorders>
          </w:tcPr>
          <w:p>
            <w:pPr>
              <w:spacing w:after="0"/>
              <w:rPr>
                <w:sz w:val="5"/>
                <w:szCs w:val="5"/>
                <w:color w:val="auto"/>
              </w:rPr>
            </w:pPr>
          </w:p>
        </w:tc>
        <w:tc>
          <w:tcPr>
            <w:tcW w:w="1100" w:type="dxa"/>
            <w:vAlign w:val="bottom"/>
            <w:tcBorders>
              <w:bottom w:val="single" w:sz="8" w:color="3E3935"/>
            </w:tcBorders>
          </w:tcPr>
          <w:p>
            <w:pPr>
              <w:spacing w:after="0"/>
              <w:rPr>
                <w:sz w:val="5"/>
                <w:szCs w:val="5"/>
                <w:color w:val="auto"/>
              </w:rPr>
            </w:pPr>
          </w:p>
        </w:tc>
        <w:tc>
          <w:tcPr>
            <w:tcW w:w="1240" w:type="dxa"/>
            <w:vAlign w:val="bottom"/>
            <w:tcBorders>
              <w:bottom w:val="single" w:sz="8" w:color="3E3935"/>
            </w:tcBorders>
          </w:tcPr>
          <w:p>
            <w:pPr>
              <w:spacing w:after="0"/>
              <w:rPr>
                <w:sz w:val="5"/>
                <w:szCs w:val="5"/>
                <w:color w:val="auto"/>
              </w:rPr>
            </w:pPr>
          </w:p>
        </w:tc>
        <w:tc>
          <w:tcPr>
            <w:tcW w:w="220" w:type="dxa"/>
            <w:vAlign w:val="bottom"/>
            <w:tcBorders>
              <w:bottom w:val="single" w:sz="8" w:color="3E3935"/>
            </w:tcBorders>
          </w:tcPr>
          <w:p>
            <w:pPr>
              <w:spacing w:after="0"/>
              <w:rPr>
                <w:sz w:val="5"/>
                <w:szCs w:val="5"/>
                <w:color w:val="auto"/>
              </w:rPr>
            </w:pPr>
          </w:p>
        </w:tc>
        <w:tc>
          <w:tcPr>
            <w:tcW w:w="1100" w:type="dxa"/>
            <w:vAlign w:val="bottom"/>
            <w:tcBorders>
              <w:bottom w:val="single" w:sz="8" w:color="3E3935"/>
            </w:tcBorders>
          </w:tcPr>
          <w:p>
            <w:pPr>
              <w:spacing w:after="0"/>
              <w:rPr>
                <w:sz w:val="5"/>
                <w:szCs w:val="5"/>
                <w:color w:val="auto"/>
              </w:rPr>
            </w:pPr>
          </w:p>
        </w:tc>
        <w:tc>
          <w:tcPr>
            <w:tcW w:w="1240" w:type="dxa"/>
            <w:vAlign w:val="bottom"/>
            <w:tcBorders>
              <w:bottom w:val="single" w:sz="8" w:color="3E3935"/>
            </w:tcBorders>
          </w:tcPr>
          <w:p>
            <w:pPr>
              <w:spacing w:after="0"/>
              <w:rPr>
                <w:sz w:val="5"/>
                <w:szCs w:val="5"/>
                <w:color w:val="auto"/>
              </w:rPr>
            </w:pPr>
          </w:p>
        </w:tc>
      </w:tr>
      <w:tr>
        <w:trPr>
          <w:trHeight w:val="206"/>
        </w:trPr>
        <w:tc>
          <w:tcPr>
            <w:tcW w:w="2920" w:type="dxa"/>
            <w:vAlign w:val="bottom"/>
          </w:tcPr>
          <w:p>
            <w:pPr>
              <w:ind w:left="80"/>
              <w:spacing w:after="0"/>
              <w:rPr>
                <w:sz w:val="20"/>
                <w:szCs w:val="20"/>
                <w:color w:val="auto"/>
              </w:rPr>
            </w:pPr>
            <w:r>
              <w:rPr>
                <w:rFonts w:ascii="Arial" w:cs="Arial" w:eastAsia="Arial" w:hAnsi="Arial"/>
                <w:sz w:val="15"/>
                <w:szCs w:val="15"/>
                <w:color w:val="3E3935"/>
              </w:rPr>
              <w:t>Plus: Year-end Fair Value of Outstanding</w:t>
            </w:r>
          </w:p>
        </w:tc>
        <w:tc>
          <w:tcPr>
            <w:tcW w:w="1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162"/>
        </w:trPr>
        <w:tc>
          <w:tcPr>
            <w:tcW w:w="2920" w:type="dxa"/>
            <w:vAlign w:val="bottom"/>
          </w:tcPr>
          <w:p>
            <w:pPr>
              <w:ind w:left="80"/>
              <w:spacing w:after="0" w:line="162" w:lineRule="exact"/>
              <w:rPr>
                <w:sz w:val="20"/>
                <w:szCs w:val="20"/>
                <w:color w:val="auto"/>
              </w:rPr>
            </w:pPr>
            <w:r>
              <w:rPr>
                <w:rFonts w:ascii="Arial" w:cs="Arial" w:eastAsia="Arial" w:hAnsi="Arial"/>
                <w:sz w:val="15"/>
                <w:szCs w:val="15"/>
                <w:color w:val="3E3935"/>
              </w:rPr>
              <w:t>and Unvested Option Awards Granted in</w:t>
            </w:r>
          </w:p>
        </w:tc>
        <w:tc>
          <w:tcPr>
            <w:tcW w:w="1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200"/>
        </w:trPr>
        <w:tc>
          <w:tcPr>
            <w:tcW w:w="2920" w:type="dxa"/>
            <w:vAlign w:val="bottom"/>
          </w:tcPr>
          <w:p>
            <w:pPr>
              <w:ind w:left="80"/>
              <w:spacing w:after="0"/>
              <w:rPr>
                <w:sz w:val="20"/>
                <w:szCs w:val="20"/>
                <w:color w:val="auto"/>
              </w:rPr>
            </w:pPr>
            <w:r>
              <w:rPr>
                <w:rFonts w:ascii="Arial" w:cs="Arial" w:eastAsia="Arial" w:hAnsi="Arial"/>
                <w:sz w:val="15"/>
                <w:szCs w:val="15"/>
                <w:color w:val="3E3935"/>
              </w:rPr>
              <w:t>the Covered Year</w:t>
            </w:r>
          </w:p>
        </w:tc>
        <w:tc>
          <w:tcPr>
            <w:tcW w:w="1100" w:type="dxa"/>
            <w:vAlign w:val="bottom"/>
          </w:tcPr>
          <w:p>
            <w:pPr>
              <w:jc w:val="right"/>
              <w:ind w:right="64"/>
              <w:spacing w:after="0"/>
              <w:rPr>
                <w:sz w:val="20"/>
                <w:szCs w:val="20"/>
                <w:color w:val="auto"/>
              </w:rPr>
            </w:pPr>
            <w:r>
              <w:rPr>
                <w:rFonts w:ascii="Arial" w:cs="Arial" w:eastAsia="Arial" w:hAnsi="Arial"/>
                <w:sz w:val="15"/>
                <w:szCs w:val="15"/>
                <w:color w:val="3E3935"/>
              </w:rPr>
              <w:t>2,584,980</w:t>
            </w:r>
          </w:p>
        </w:tc>
        <w:tc>
          <w:tcPr>
            <w:tcW w:w="1220" w:type="dxa"/>
            <w:vAlign w:val="bottom"/>
          </w:tcPr>
          <w:p>
            <w:pPr>
              <w:jc w:val="right"/>
              <w:ind w:right="4"/>
              <w:spacing w:after="0"/>
              <w:rPr>
                <w:sz w:val="20"/>
                <w:szCs w:val="20"/>
                <w:color w:val="auto"/>
              </w:rPr>
            </w:pPr>
            <w:r>
              <w:rPr>
                <w:rFonts w:ascii="Arial" w:cs="Arial" w:eastAsia="Arial" w:hAnsi="Arial"/>
                <w:sz w:val="15"/>
                <w:szCs w:val="15"/>
                <w:color w:val="3E3935"/>
              </w:rPr>
              <w:t>966,880</w:t>
            </w:r>
          </w:p>
        </w:tc>
        <w:tc>
          <w:tcPr>
            <w:tcW w:w="220" w:type="dxa"/>
            <w:vAlign w:val="bottom"/>
          </w:tcPr>
          <w:p>
            <w:pPr>
              <w:spacing w:after="0"/>
              <w:rPr>
                <w:sz w:val="17"/>
                <w:szCs w:val="17"/>
                <w:color w:val="auto"/>
              </w:rPr>
            </w:pPr>
          </w:p>
        </w:tc>
        <w:tc>
          <w:tcPr>
            <w:tcW w:w="1100" w:type="dxa"/>
            <w:vAlign w:val="bottom"/>
          </w:tcPr>
          <w:p>
            <w:pPr>
              <w:jc w:val="right"/>
              <w:ind w:right="44"/>
              <w:spacing w:after="0"/>
              <w:rPr>
                <w:sz w:val="20"/>
                <w:szCs w:val="20"/>
                <w:color w:val="auto"/>
              </w:rPr>
            </w:pPr>
            <w:r>
              <w:rPr>
                <w:rFonts w:ascii="Arial" w:cs="Arial" w:eastAsia="Arial" w:hAnsi="Arial"/>
                <w:sz w:val="15"/>
                <w:szCs w:val="15"/>
                <w:color w:val="3E3935"/>
              </w:rPr>
              <w:t>3,694,210</w:t>
            </w:r>
          </w:p>
        </w:tc>
        <w:tc>
          <w:tcPr>
            <w:tcW w:w="1240" w:type="dxa"/>
            <w:vAlign w:val="bottom"/>
          </w:tcPr>
          <w:p>
            <w:pPr>
              <w:jc w:val="right"/>
              <w:ind w:right="24"/>
              <w:spacing w:after="0"/>
              <w:rPr>
                <w:sz w:val="20"/>
                <w:szCs w:val="20"/>
                <w:color w:val="auto"/>
              </w:rPr>
            </w:pPr>
            <w:r>
              <w:rPr>
                <w:rFonts w:ascii="Arial" w:cs="Arial" w:eastAsia="Arial" w:hAnsi="Arial"/>
                <w:sz w:val="15"/>
                <w:szCs w:val="15"/>
                <w:color w:val="3E3935"/>
              </w:rPr>
              <w:t>1,284,177</w:t>
            </w:r>
          </w:p>
        </w:tc>
        <w:tc>
          <w:tcPr>
            <w:tcW w:w="220" w:type="dxa"/>
            <w:vAlign w:val="bottom"/>
          </w:tcPr>
          <w:p>
            <w:pPr>
              <w:spacing w:after="0"/>
              <w:rPr>
                <w:sz w:val="17"/>
                <w:szCs w:val="17"/>
                <w:color w:val="auto"/>
              </w:rPr>
            </w:pPr>
          </w:p>
        </w:tc>
        <w:tc>
          <w:tcPr>
            <w:tcW w:w="1100" w:type="dxa"/>
            <w:vAlign w:val="bottom"/>
          </w:tcPr>
          <w:p>
            <w:pPr>
              <w:jc w:val="right"/>
              <w:ind w:right="64"/>
              <w:spacing w:after="0"/>
              <w:rPr>
                <w:sz w:val="20"/>
                <w:szCs w:val="20"/>
                <w:color w:val="auto"/>
              </w:rPr>
            </w:pPr>
            <w:r>
              <w:rPr>
                <w:rFonts w:ascii="Arial" w:cs="Arial" w:eastAsia="Arial" w:hAnsi="Arial"/>
                <w:sz w:val="15"/>
                <w:szCs w:val="15"/>
                <w:color w:val="3E3935"/>
              </w:rPr>
              <w:t>10,379,470</w:t>
            </w:r>
          </w:p>
        </w:tc>
        <w:tc>
          <w:tcPr>
            <w:tcW w:w="1240" w:type="dxa"/>
            <w:vAlign w:val="bottom"/>
          </w:tcPr>
          <w:p>
            <w:pPr>
              <w:jc w:val="right"/>
              <w:ind w:right="24"/>
              <w:spacing w:after="0"/>
              <w:rPr>
                <w:sz w:val="20"/>
                <w:szCs w:val="20"/>
                <w:color w:val="auto"/>
              </w:rPr>
            </w:pPr>
            <w:r>
              <w:rPr>
                <w:rFonts w:ascii="Arial" w:cs="Arial" w:eastAsia="Arial" w:hAnsi="Arial"/>
                <w:sz w:val="15"/>
                <w:szCs w:val="15"/>
                <w:color w:val="3E3935"/>
              </w:rPr>
              <w:t>1,434,466</w:t>
            </w:r>
          </w:p>
        </w:tc>
      </w:tr>
      <w:tr>
        <w:trPr>
          <w:trHeight w:val="60"/>
        </w:trPr>
        <w:tc>
          <w:tcPr>
            <w:tcW w:w="2920" w:type="dxa"/>
            <w:vAlign w:val="bottom"/>
            <w:tcBorders>
              <w:bottom w:val="single" w:sz="8" w:color="3E3935"/>
            </w:tcBorders>
          </w:tcPr>
          <w:p>
            <w:pPr>
              <w:spacing w:after="0"/>
              <w:rPr>
                <w:sz w:val="5"/>
                <w:szCs w:val="5"/>
                <w:color w:val="auto"/>
              </w:rPr>
            </w:pPr>
          </w:p>
        </w:tc>
        <w:tc>
          <w:tcPr>
            <w:tcW w:w="1100" w:type="dxa"/>
            <w:vAlign w:val="bottom"/>
            <w:tcBorders>
              <w:bottom w:val="single" w:sz="8" w:color="3E3935"/>
            </w:tcBorders>
          </w:tcPr>
          <w:p>
            <w:pPr>
              <w:spacing w:after="0"/>
              <w:rPr>
                <w:sz w:val="5"/>
                <w:szCs w:val="5"/>
                <w:color w:val="auto"/>
              </w:rPr>
            </w:pPr>
          </w:p>
        </w:tc>
        <w:tc>
          <w:tcPr>
            <w:tcW w:w="1220" w:type="dxa"/>
            <w:vAlign w:val="bottom"/>
            <w:tcBorders>
              <w:bottom w:val="single" w:sz="8" w:color="3E3935"/>
            </w:tcBorders>
          </w:tcPr>
          <w:p>
            <w:pPr>
              <w:spacing w:after="0"/>
              <w:rPr>
                <w:sz w:val="5"/>
                <w:szCs w:val="5"/>
                <w:color w:val="auto"/>
              </w:rPr>
            </w:pPr>
          </w:p>
        </w:tc>
        <w:tc>
          <w:tcPr>
            <w:tcW w:w="220" w:type="dxa"/>
            <w:vAlign w:val="bottom"/>
            <w:tcBorders>
              <w:bottom w:val="single" w:sz="8" w:color="3E3935"/>
            </w:tcBorders>
          </w:tcPr>
          <w:p>
            <w:pPr>
              <w:spacing w:after="0"/>
              <w:rPr>
                <w:sz w:val="5"/>
                <w:szCs w:val="5"/>
                <w:color w:val="auto"/>
              </w:rPr>
            </w:pPr>
          </w:p>
        </w:tc>
        <w:tc>
          <w:tcPr>
            <w:tcW w:w="1100" w:type="dxa"/>
            <w:vAlign w:val="bottom"/>
            <w:tcBorders>
              <w:bottom w:val="single" w:sz="8" w:color="3E3935"/>
            </w:tcBorders>
          </w:tcPr>
          <w:p>
            <w:pPr>
              <w:spacing w:after="0"/>
              <w:rPr>
                <w:sz w:val="5"/>
                <w:szCs w:val="5"/>
                <w:color w:val="auto"/>
              </w:rPr>
            </w:pPr>
          </w:p>
        </w:tc>
        <w:tc>
          <w:tcPr>
            <w:tcW w:w="1240" w:type="dxa"/>
            <w:vAlign w:val="bottom"/>
            <w:tcBorders>
              <w:bottom w:val="single" w:sz="8" w:color="3E3935"/>
            </w:tcBorders>
          </w:tcPr>
          <w:p>
            <w:pPr>
              <w:spacing w:after="0"/>
              <w:rPr>
                <w:sz w:val="5"/>
                <w:szCs w:val="5"/>
                <w:color w:val="auto"/>
              </w:rPr>
            </w:pPr>
          </w:p>
        </w:tc>
        <w:tc>
          <w:tcPr>
            <w:tcW w:w="220" w:type="dxa"/>
            <w:vAlign w:val="bottom"/>
            <w:tcBorders>
              <w:bottom w:val="single" w:sz="8" w:color="3E3935"/>
            </w:tcBorders>
          </w:tcPr>
          <w:p>
            <w:pPr>
              <w:spacing w:after="0"/>
              <w:rPr>
                <w:sz w:val="5"/>
                <w:szCs w:val="5"/>
                <w:color w:val="auto"/>
              </w:rPr>
            </w:pPr>
          </w:p>
        </w:tc>
        <w:tc>
          <w:tcPr>
            <w:tcW w:w="1100" w:type="dxa"/>
            <w:vAlign w:val="bottom"/>
            <w:tcBorders>
              <w:bottom w:val="single" w:sz="8" w:color="3E3935"/>
            </w:tcBorders>
          </w:tcPr>
          <w:p>
            <w:pPr>
              <w:spacing w:after="0"/>
              <w:rPr>
                <w:sz w:val="5"/>
                <w:szCs w:val="5"/>
                <w:color w:val="auto"/>
              </w:rPr>
            </w:pPr>
          </w:p>
        </w:tc>
        <w:tc>
          <w:tcPr>
            <w:tcW w:w="1240" w:type="dxa"/>
            <w:vAlign w:val="bottom"/>
            <w:tcBorders>
              <w:bottom w:val="single" w:sz="8" w:color="3E3935"/>
            </w:tcBorders>
          </w:tcPr>
          <w:p>
            <w:pPr>
              <w:spacing w:after="0"/>
              <w:rPr>
                <w:sz w:val="5"/>
                <w:szCs w:val="5"/>
                <w:color w:val="auto"/>
              </w:rPr>
            </w:pPr>
          </w:p>
        </w:tc>
      </w:tr>
      <w:tr>
        <w:trPr>
          <w:trHeight w:val="206"/>
        </w:trPr>
        <w:tc>
          <w:tcPr>
            <w:tcW w:w="2920" w:type="dxa"/>
            <w:vAlign w:val="bottom"/>
          </w:tcPr>
          <w:p>
            <w:pPr>
              <w:ind w:left="80"/>
              <w:spacing w:after="0"/>
              <w:rPr>
                <w:sz w:val="20"/>
                <w:szCs w:val="20"/>
                <w:color w:val="auto"/>
              </w:rPr>
            </w:pPr>
            <w:r>
              <w:rPr>
                <w:rFonts w:ascii="Arial" w:cs="Arial" w:eastAsia="Arial" w:hAnsi="Arial"/>
                <w:sz w:val="15"/>
                <w:szCs w:val="15"/>
                <w:color w:val="3E3935"/>
              </w:rPr>
              <w:t>Change in Fair Value of Outstanding and</w:t>
            </w:r>
          </w:p>
        </w:tc>
        <w:tc>
          <w:tcPr>
            <w:tcW w:w="1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162"/>
        </w:trPr>
        <w:tc>
          <w:tcPr>
            <w:tcW w:w="2920" w:type="dxa"/>
            <w:vAlign w:val="bottom"/>
          </w:tcPr>
          <w:p>
            <w:pPr>
              <w:ind w:left="80"/>
              <w:spacing w:after="0" w:line="162" w:lineRule="exact"/>
              <w:rPr>
                <w:sz w:val="20"/>
                <w:szCs w:val="20"/>
                <w:color w:val="auto"/>
              </w:rPr>
            </w:pPr>
            <w:r>
              <w:rPr>
                <w:rFonts w:ascii="Arial" w:cs="Arial" w:eastAsia="Arial" w:hAnsi="Arial"/>
                <w:sz w:val="15"/>
                <w:szCs w:val="15"/>
                <w:color w:val="3E3935"/>
              </w:rPr>
              <w:t>Unvested Option Awards Granted in Prior</w:t>
            </w:r>
          </w:p>
        </w:tc>
        <w:tc>
          <w:tcPr>
            <w:tcW w:w="1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200"/>
        </w:trPr>
        <w:tc>
          <w:tcPr>
            <w:tcW w:w="2920" w:type="dxa"/>
            <w:vAlign w:val="bottom"/>
          </w:tcPr>
          <w:p>
            <w:pPr>
              <w:ind w:left="80"/>
              <w:spacing w:after="0"/>
              <w:rPr>
                <w:sz w:val="20"/>
                <w:szCs w:val="20"/>
                <w:color w:val="auto"/>
              </w:rPr>
            </w:pPr>
            <w:r>
              <w:rPr>
                <w:rFonts w:ascii="Arial" w:cs="Arial" w:eastAsia="Arial" w:hAnsi="Arial"/>
                <w:sz w:val="15"/>
                <w:szCs w:val="15"/>
                <w:color w:val="3E3935"/>
              </w:rPr>
              <w:t>Years</w:t>
            </w:r>
          </w:p>
        </w:tc>
        <w:tc>
          <w:tcPr>
            <w:tcW w:w="1100" w:type="dxa"/>
            <w:vAlign w:val="bottom"/>
          </w:tcPr>
          <w:p>
            <w:pPr>
              <w:jc w:val="right"/>
              <w:ind w:right="4"/>
              <w:spacing w:after="0"/>
              <w:rPr>
                <w:sz w:val="20"/>
                <w:szCs w:val="20"/>
                <w:color w:val="auto"/>
              </w:rPr>
            </w:pPr>
            <w:r>
              <w:rPr>
                <w:rFonts w:ascii="Arial" w:cs="Arial" w:eastAsia="Arial" w:hAnsi="Arial"/>
                <w:sz w:val="15"/>
                <w:szCs w:val="15"/>
                <w:color w:val="3E3935"/>
              </w:rPr>
              <w:t>(5,055,582)</w:t>
            </w:r>
          </w:p>
        </w:tc>
        <w:tc>
          <w:tcPr>
            <w:tcW w:w="1220" w:type="dxa"/>
            <w:vAlign w:val="bottom"/>
          </w:tcPr>
          <w:p>
            <w:pPr>
              <w:jc w:val="right"/>
              <w:spacing w:after="0"/>
              <w:rPr>
                <w:sz w:val="20"/>
                <w:szCs w:val="20"/>
                <w:color w:val="auto"/>
              </w:rPr>
            </w:pPr>
            <w:r>
              <w:rPr>
                <w:rFonts w:ascii="Arial" w:cs="Arial" w:eastAsia="Arial" w:hAnsi="Arial"/>
                <w:sz w:val="15"/>
                <w:szCs w:val="15"/>
                <w:color w:val="3E3935"/>
              </w:rPr>
              <w:t>(1,267,702)</w:t>
            </w:r>
          </w:p>
        </w:tc>
        <w:tc>
          <w:tcPr>
            <w:tcW w:w="220" w:type="dxa"/>
            <w:vAlign w:val="bottom"/>
          </w:tcPr>
          <w:p>
            <w:pPr>
              <w:spacing w:after="0"/>
              <w:rPr>
                <w:sz w:val="17"/>
                <w:szCs w:val="17"/>
                <w:color w:val="auto"/>
              </w:rPr>
            </w:pPr>
          </w:p>
        </w:tc>
        <w:tc>
          <w:tcPr>
            <w:tcW w:w="1100" w:type="dxa"/>
            <w:vAlign w:val="bottom"/>
          </w:tcPr>
          <w:p>
            <w:pPr>
              <w:jc w:val="right"/>
              <w:ind w:right="44"/>
              <w:spacing w:after="0"/>
              <w:rPr>
                <w:sz w:val="20"/>
                <w:szCs w:val="20"/>
                <w:color w:val="auto"/>
              </w:rPr>
            </w:pPr>
            <w:r>
              <w:rPr>
                <w:rFonts w:ascii="Arial" w:cs="Arial" w:eastAsia="Arial" w:hAnsi="Arial"/>
                <w:sz w:val="15"/>
                <w:szCs w:val="15"/>
                <w:color w:val="3E3935"/>
              </w:rPr>
              <w:t>6,628,520</w:t>
            </w:r>
          </w:p>
        </w:tc>
        <w:tc>
          <w:tcPr>
            <w:tcW w:w="1240" w:type="dxa"/>
            <w:vAlign w:val="bottom"/>
          </w:tcPr>
          <w:p>
            <w:pPr>
              <w:jc w:val="right"/>
              <w:ind w:right="24"/>
              <w:spacing w:after="0"/>
              <w:rPr>
                <w:sz w:val="20"/>
                <w:szCs w:val="20"/>
                <w:color w:val="auto"/>
              </w:rPr>
            </w:pPr>
            <w:r>
              <w:rPr>
                <w:rFonts w:ascii="Arial" w:cs="Arial" w:eastAsia="Arial" w:hAnsi="Arial"/>
                <w:sz w:val="15"/>
                <w:szCs w:val="15"/>
                <w:color w:val="3E3935"/>
              </w:rPr>
              <w:t>1,281,139</w:t>
            </w:r>
          </w:p>
        </w:tc>
        <w:tc>
          <w:tcPr>
            <w:tcW w:w="220" w:type="dxa"/>
            <w:vAlign w:val="bottom"/>
          </w:tcPr>
          <w:p>
            <w:pPr>
              <w:spacing w:after="0"/>
              <w:rPr>
                <w:sz w:val="17"/>
                <w:szCs w:val="17"/>
                <w:color w:val="auto"/>
              </w:rPr>
            </w:pPr>
          </w:p>
        </w:tc>
        <w:tc>
          <w:tcPr>
            <w:tcW w:w="1100" w:type="dxa"/>
            <w:vAlign w:val="bottom"/>
          </w:tcPr>
          <w:p>
            <w:pPr>
              <w:jc w:val="right"/>
              <w:ind w:right="64"/>
              <w:spacing w:after="0"/>
              <w:rPr>
                <w:sz w:val="20"/>
                <w:szCs w:val="20"/>
                <w:color w:val="auto"/>
              </w:rPr>
            </w:pPr>
            <w:r>
              <w:rPr>
                <w:rFonts w:ascii="Arial" w:cs="Arial" w:eastAsia="Arial" w:hAnsi="Arial"/>
                <w:sz w:val="15"/>
                <w:szCs w:val="15"/>
                <w:color w:val="3E3935"/>
              </w:rPr>
              <w:t>2,881,004</w:t>
            </w:r>
          </w:p>
        </w:tc>
        <w:tc>
          <w:tcPr>
            <w:tcW w:w="1240" w:type="dxa"/>
            <w:vAlign w:val="bottom"/>
          </w:tcPr>
          <w:p>
            <w:pPr>
              <w:jc w:val="right"/>
              <w:ind w:right="24"/>
              <w:spacing w:after="0"/>
              <w:rPr>
                <w:sz w:val="20"/>
                <w:szCs w:val="20"/>
                <w:color w:val="auto"/>
              </w:rPr>
            </w:pPr>
            <w:r>
              <w:rPr>
                <w:rFonts w:ascii="Arial" w:cs="Arial" w:eastAsia="Arial" w:hAnsi="Arial"/>
                <w:sz w:val="15"/>
                <w:szCs w:val="15"/>
                <w:color w:val="3E3935"/>
              </w:rPr>
              <w:t>231,707</w:t>
            </w:r>
          </w:p>
        </w:tc>
      </w:tr>
      <w:tr>
        <w:trPr>
          <w:trHeight w:val="60"/>
        </w:trPr>
        <w:tc>
          <w:tcPr>
            <w:tcW w:w="2920" w:type="dxa"/>
            <w:vAlign w:val="bottom"/>
            <w:tcBorders>
              <w:bottom w:val="single" w:sz="8" w:color="3E3935"/>
            </w:tcBorders>
          </w:tcPr>
          <w:p>
            <w:pPr>
              <w:spacing w:after="0"/>
              <w:rPr>
                <w:sz w:val="5"/>
                <w:szCs w:val="5"/>
                <w:color w:val="auto"/>
              </w:rPr>
            </w:pPr>
          </w:p>
        </w:tc>
        <w:tc>
          <w:tcPr>
            <w:tcW w:w="1100" w:type="dxa"/>
            <w:vAlign w:val="bottom"/>
            <w:tcBorders>
              <w:bottom w:val="single" w:sz="8" w:color="3E3935"/>
            </w:tcBorders>
          </w:tcPr>
          <w:p>
            <w:pPr>
              <w:spacing w:after="0"/>
              <w:rPr>
                <w:sz w:val="5"/>
                <w:szCs w:val="5"/>
                <w:color w:val="auto"/>
              </w:rPr>
            </w:pPr>
          </w:p>
        </w:tc>
        <w:tc>
          <w:tcPr>
            <w:tcW w:w="1220" w:type="dxa"/>
            <w:vAlign w:val="bottom"/>
            <w:tcBorders>
              <w:bottom w:val="single" w:sz="8" w:color="3E3935"/>
            </w:tcBorders>
          </w:tcPr>
          <w:p>
            <w:pPr>
              <w:spacing w:after="0"/>
              <w:rPr>
                <w:sz w:val="5"/>
                <w:szCs w:val="5"/>
                <w:color w:val="auto"/>
              </w:rPr>
            </w:pPr>
          </w:p>
        </w:tc>
        <w:tc>
          <w:tcPr>
            <w:tcW w:w="220" w:type="dxa"/>
            <w:vAlign w:val="bottom"/>
            <w:tcBorders>
              <w:bottom w:val="single" w:sz="8" w:color="3E3935"/>
            </w:tcBorders>
          </w:tcPr>
          <w:p>
            <w:pPr>
              <w:spacing w:after="0"/>
              <w:rPr>
                <w:sz w:val="5"/>
                <w:szCs w:val="5"/>
                <w:color w:val="auto"/>
              </w:rPr>
            </w:pPr>
          </w:p>
        </w:tc>
        <w:tc>
          <w:tcPr>
            <w:tcW w:w="1100" w:type="dxa"/>
            <w:vAlign w:val="bottom"/>
            <w:tcBorders>
              <w:bottom w:val="single" w:sz="8" w:color="3E3935"/>
            </w:tcBorders>
          </w:tcPr>
          <w:p>
            <w:pPr>
              <w:spacing w:after="0"/>
              <w:rPr>
                <w:sz w:val="5"/>
                <w:szCs w:val="5"/>
                <w:color w:val="auto"/>
              </w:rPr>
            </w:pPr>
          </w:p>
        </w:tc>
        <w:tc>
          <w:tcPr>
            <w:tcW w:w="1240" w:type="dxa"/>
            <w:vAlign w:val="bottom"/>
            <w:tcBorders>
              <w:bottom w:val="single" w:sz="8" w:color="3E3935"/>
            </w:tcBorders>
          </w:tcPr>
          <w:p>
            <w:pPr>
              <w:spacing w:after="0"/>
              <w:rPr>
                <w:sz w:val="5"/>
                <w:szCs w:val="5"/>
                <w:color w:val="auto"/>
              </w:rPr>
            </w:pPr>
          </w:p>
        </w:tc>
        <w:tc>
          <w:tcPr>
            <w:tcW w:w="220" w:type="dxa"/>
            <w:vAlign w:val="bottom"/>
            <w:tcBorders>
              <w:bottom w:val="single" w:sz="8" w:color="3E3935"/>
            </w:tcBorders>
          </w:tcPr>
          <w:p>
            <w:pPr>
              <w:spacing w:after="0"/>
              <w:rPr>
                <w:sz w:val="5"/>
                <w:szCs w:val="5"/>
                <w:color w:val="auto"/>
              </w:rPr>
            </w:pPr>
          </w:p>
        </w:tc>
        <w:tc>
          <w:tcPr>
            <w:tcW w:w="1100" w:type="dxa"/>
            <w:vAlign w:val="bottom"/>
            <w:tcBorders>
              <w:bottom w:val="single" w:sz="8" w:color="3E3935"/>
            </w:tcBorders>
          </w:tcPr>
          <w:p>
            <w:pPr>
              <w:spacing w:after="0"/>
              <w:rPr>
                <w:sz w:val="5"/>
                <w:szCs w:val="5"/>
                <w:color w:val="auto"/>
              </w:rPr>
            </w:pPr>
          </w:p>
        </w:tc>
        <w:tc>
          <w:tcPr>
            <w:tcW w:w="1240" w:type="dxa"/>
            <w:vAlign w:val="bottom"/>
            <w:tcBorders>
              <w:bottom w:val="single" w:sz="8" w:color="3E3935"/>
            </w:tcBorders>
          </w:tcPr>
          <w:p>
            <w:pPr>
              <w:spacing w:after="0"/>
              <w:rPr>
                <w:sz w:val="5"/>
                <w:szCs w:val="5"/>
                <w:color w:val="auto"/>
              </w:rPr>
            </w:pPr>
          </w:p>
        </w:tc>
      </w:tr>
      <w:tr>
        <w:trPr>
          <w:trHeight w:val="323"/>
        </w:trPr>
        <w:tc>
          <w:tcPr>
            <w:tcW w:w="29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40" w:type="dxa"/>
            <w:vAlign w:val="bottom"/>
          </w:tcPr>
          <w:p>
            <w:pPr>
              <w:jc w:val="right"/>
              <w:ind w:right="244"/>
              <w:spacing w:after="0"/>
              <w:rPr>
                <w:sz w:val="20"/>
                <w:szCs w:val="20"/>
                <w:color w:val="auto"/>
              </w:rPr>
            </w:pPr>
            <w:r>
              <w:rPr>
                <w:rFonts w:ascii="Arial" w:cs="Arial" w:eastAsia="Arial" w:hAnsi="Arial"/>
                <w:sz w:val="14"/>
                <w:szCs w:val="14"/>
                <w:color w:val="0071CE"/>
              </w:rPr>
              <w:t>85</w:t>
            </w:r>
          </w:p>
        </w:tc>
      </w:tr>
    </w:tbl>
    <w:p>
      <w:pPr>
        <w:sectPr>
          <w:pgSz w:w="11900" w:h="16838" w:orient="portrait"/>
          <w:cols w:equalWidth="0" w:num="1">
            <w:col w:w="11024"/>
          </w:cols>
          <w:pgMar w:left="436" w:top="108" w:right="43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493395</wp:posOffset>
            </wp:positionH>
            <wp:positionV relativeFrom="paragraph">
              <wp:posOffset>208280</wp:posOffset>
            </wp:positionV>
            <wp:extent cx="6574790" cy="825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6574790" cy="8255"/>
                    </a:xfrm>
                    <a:prstGeom prst="rect">
                      <a:avLst/>
                    </a:prstGeom>
                    <a:noFill/>
                  </pic:spPr>
                </pic:pic>
              </a:graphicData>
            </a:graphic>
          </wp:anchor>
        </w:drawing>
      </w:r>
    </w:p>
    <w:p>
      <w:pPr>
        <w:spacing w:after="0" w:line="200" w:lineRule="exact"/>
        <w:rPr>
          <w:sz w:val="20"/>
          <w:szCs w:val="20"/>
          <w:color w:val="auto"/>
        </w:rPr>
      </w:pPr>
    </w:p>
    <w:p>
      <w:pPr>
        <w:spacing w:after="0" w:line="328" w:lineRule="exact"/>
        <w:rPr>
          <w:sz w:val="20"/>
          <w:szCs w:val="20"/>
          <w:color w:val="auto"/>
        </w:rPr>
      </w:pPr>
    </w:p>
    <w:tbl>
      <w:tblPr>
        <w:tblLayout w:type="fixed"/>
        <w:tblInd w:w="780" w:type="dxa"/>
        <w:tblCellMar>
          <w:top w:w="0" w:type="dxa"/>
          <w:left w:w="0" w:type="dxa"/>
          <w:bottom w:w="0" w:type="dxa"/>
          <w:right w:w="0" w:type="dxa"/>
        </w:tblCellMar>
      </w:tblPr>
      <w:tr>
        <w:trPr>
          <w:trHeight w:val="211"/>
        </w:trPr>
        <w:tc>
          <w:tcPr>
            <w:tcW w:w="3100" w:type="dxa"/>
            <w:vAlign w:val="bottom"/>
          </w:tcPr>
          <w:p>
            <w:pPr>
              <w:spacing w:after="0"/>
              <w:rPr>
                <w:sz w:val="18"/>
                <w:szCs w:val="18"/>
                <w:color w:val="auto"/>
              </w:rPr>
            </w:pPr>
          </w:p>
        </w:tc>
        <w:tc>
          <w:tcPr>
            <w:tcW w:w="2340" w:type="dxa"/>
            <w:vAlign w:val="bottom"/>
            <w:tcBorders>
              <w:bottom w:val="single" w:sz="8" w:color="00C1DE"/>
            </w:tcBorders>
            <w:gridSpan w:val="2"/>
          </w:tcPr>
          <w:p>
            <w:pPr>
              <w:jc w:val="right"/>
              <w:ind w:right="925"/>
              <w:spacing w:after="0"/>
              <w:rPr>
                <w:sz w:val="20"/>
                <w:szCs w:val="20"/>
                <w:color w:val="auto"/>
              </w:rPr>
            </w:pPr>
            <w:r>
              <w:rPr>
                <w:rFonts w:ascii="Arial" w:cs="Arial" w:eastAsia="Arial" w:hAnsi="Arial"/>
                <w:sz w:val="14"/>
                <w:szCs w:val="14"/>
                <w:b w:val="1"/>
                <w:bCs w:val="1"/>
                <w:color w:val="00C1DE"/>
              </w:rPr>
              <w:t>2022</w:t>
            </w:r>
          </w:p>
        </w:tc>
        <w:tc>
          <w:tcPr>
            <w:tcW w:w="220" w:type="dxa"/>
            <w:vAlign w:val="bottom"/>
          </w:tcPr>
          <w:p>
            <w:pPr>
              <w:spacing w:after="0"/>
              <w:rPr>
                <w:sz w:val="18"/>
                <w:szCs w:val="18"/>
                <w:color w:val="auto"/>
              </w:rPr>
            </w:pPr>
          </w:p>
        </w:tc>
        <w:tc>
          <w:tcPr>
            <w:tcW w:w="940" w:type="dxa"/>
            <w:vAlign w:val="bottom"/>
            <w:tcBorders>
              <w:bottom w:val="single" w:sz="8" w:color="00C1DE"/>
            </w:tcBorders>
          </w:tcPr>
          <w:p>
            <w:pPr>
              <w:spacing w:after="0"/>
              <w:rPr>
                <w:sz w:val="18"/>
                <w:szCs w:val="18"/>
                <w:color w:val="auto"/>
              </w:rPr>
            </w:pPr>
          </w:p>
        </w:tc>
        <w:tc>
          <w:tcPr>
            <w:tcW w:w="1260" w:type="dxa"/>
            <w:vAlign w:val="bottom"/>
            <w:tcBorders>
              <w:bottom w:val="single" w:sz="8" w:color="00C1DE"/>
            </w:tcBorders>
          </w:tcPr>
          <w:p>
            <w:pPr>
              <w:jc w:val="right"/>
              <w:ind w:right="846"/>
              <w:spacing w:after="0"/>
              <w:rPr>
                <w:sz w:val="20"/>
                <w:szCs w:val="20"/>
                <w:color w:val="auto"/>
              </w:rPr>
            </w:pPr>
            <w:r>
              <w:rPr>
                <w:rFonts w:ascii="Arial" w:cs="Arial" w:eastAsia="Arial" w:hAnsi="Arial"/>
                <w:sz w:val="14"/>
                <w:szCs w:val="14"/>
                <w:b w:val="1"/>
                <w:bCs w:val="1"/>
                <w:color w:val="00C1DE"/>
              </w:rPr>
              <w:t>2021</w:t>
            </w:r>
          </w:p>
        </w:tc>
        <w:tc>
          <w:tcPr>
            <w:tcW w:w="220" w:type="dxa"/>
            <w:vAlign w:val="bottom"/>
          </w:tcPr>
          <w:p>
            <w:pPr>
              <w:spacing w:after="0"/>
              <w:rPr>
                <w:sz w:val="18"/>
                <w:szCs w:val="18"/>
                <w:color w:val="auto"/>
              </w:rPr>
            </w:pPr>
          </w:p>
        </w:tc>
        <w:tc>
          <w:tcPr>
            <w:tcW w:w="960" w:type="dxa"/>
            <w:vAlign w:val="bottom"/>
            <w:tcBorders>
              <w:bottom w:val="single" w:sz="8" w:color="00C1DE"/>
            </w:tcBorders>
          </w:tcPr>
          <w:p>
            <w:pPr>
              <w:spacing w:after="0"/>
              <w:rPr>
                <w:sz w:val="18"/>
                <w:szCs w:val="18"/>
                <w:color w:val="auto"/>
              </w:rPr>
            </w:pPr>
          </w:p>
        </w:tc>
        <w:tc>
          <w:tcPr>
            <w:tcW w:w="1320" w:type="dxa"/>
            <w:vAlign w:val="bottom"/>
            <w:tcBorders>
              <w:bottom w:val="single" w:sz="8" w:color="00C1DE"/>
            </w:tcBorders>
          </w:tcPr>
          <w:p>
            <w:pPr>
              <w:jc w:val="right"/>
              <w:ind w:right="906"/>
              <w:spacing w:after="0"/>
              <w:rPr>
                <w:sz w:val="20"/>
                <w:szCs w:val="20"/>
                <w:color w:val="auto"/>
              </w:rPr>
            </w:pPr>
            <w:r>
              <w:rPr>
                <w:rFonts w:ascii="Arial" w:cs="Arial" w:eastAsia="Arial" w:hAnsi="Arial"/>
                <w:sz w:val="14"/>
                <w:szCs w:val="14"/>
                <w:b w:val="1"/>
                <w:bCs w:val="1"/>
                <w:color w:val="00C1DE"/>
              </w:rPr>
              <w:t>2020</w:t>
            </w:r>
          </w:p>
        </w:tc>
      </w:tr>
      <w:tr>
        <w:trPr>
          <w:trHeight w:val="161"/>
        </w:trPr>
        <w:tc>
          <w:tcPr>
            <w:tcW w:w="3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46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00C1DE"/>
              </w:rPr>
              <w:t>Average</w:t>
            </w:r>
          </w:p>
        </w:tc>
        <w:tc>
          <w:tcPr>
            <w:tcW w:w="940" w:type="dxa"/>
            <w:vAlign w:val="bottom"/>
          </w:tcPr>
          <w:p>
            <w:pPr>
              <w:spacing w:after="0"/>
              <w:rPr>
                <w:sz w:val="13"/>
                <w:szCs w:val="13"/>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00C1DE"/>
              </w:rPr>
              <w:t>Average</w:t>
            </w:r>
          </w:p>
        </w:tc>
        <w:tc>
          <w:tcPr>
            <w:tcW w:w="960" w:type="dxa"/>
            <w:vAlign w:val="bottom"/>
          </w:tcPr>
          <w:p>
            <w:pPr>
              <w:spacing w:after="0"/>
              <w:rPr>
                <w:sz w:val="13"/>
                <w:szCs w:val="13"/>
                <w:color w:val="auto"/>
              </w:rPr>
            </w:pPr>
          </w:p>
        </w:tc>
        <w:tc>
          <w:tcPr>
            <w:tcW w:w="1320" w:type="dxa"/>
            <w:vAlign w:val="bottom"/>
          </w:tcPr>
          <w:p>
            <w:pPr>
              <w:jc w:val="right"/>
              <w:ind w:right="26"/>
              <w:spacing w:after="0"/>
              <w:rPr>
                <w:sz w:val="20"/>
                <w:szCs w:val="20"/>
                <w:color w:val="auto"/>
              </w:rPr>
            </w:pPr>
            <w:r>
              <w:rPr>
                <w:rFonts w:ascii="Arial" w:cs="Arial" w:eastAsia="Arial" w:hAnsi="Arial"/>
                <w:sz w:val="14"/>
                <w:szCs w:val="14"/>
                <w:b w:val="1"/>
                <w:bCs w:val="1"/>
                <w:color w:val="00C1DE"/>
              </w:rPr>
              <w:t>Average</w:t>
            </w:r>
          </w:p>
        </w:tc>
      </w:tr>
      <w:tr>
        <w:trPr>
          <w:trHeight w:val="197"/>
        </w:trPr>
        <w:tc>
          <w:tcPr>
            <w:tcW w:w="3100" w:type="dxa"/>
            <w:vAlign w:val="bottom"/>
            <w:tcBorders>
              <w:bottom w:val="single" w:sz="8" w:color="00C1DE"/>
            </w:tcBorders>
          </w:tcPr>
          <w:p>
            <w:pPr>
              <w:spacing w:after="0"/>
              <w:rPr>
                <w:sz w:val="17"/>
                <w:szCs w:val="17"/>
                <w:color w:val="auto"/>
              </w:rPr>
            </w:pPr>
          </w:p>
        </w:tc>
        <w:tc>
          <w:tcPr>
            <w:tcW w:w="1100" w:type="dxa"/>
            <w:vAlign w:val="bottom"/>
            <w:tcBorders>
              <w:bottom w:val="single" w:sz="8" w:color="00C1DE"/>
            </w:tcBorders>
          </w:tcPr>
          <w:p>
            <w:pPr>
              <w:jc w:val="right"/>
              <w:ind w:right="325"/>
              <w:spacing w:after="0"/>
              <w:rPr>
                <w:sz w:val="20"/>
                <w:szCs w:val="20"/>
                <w:color w:val="auto"/>
              </w:rPr>
            </w:pPr>
            <w:r>
              <w:rPr>
                <w:rFonts w:ascii="Arial" w:cs="Arial" w:eastAsia="Arial" w:hAnsi="Arial"/>
                <w:sz w:val="14"/>
                <w:szCs w:val="14"/>
                <w:b w:val="1"/>
                <w:bCs w:val="1"/>
                <w:color w:val="00C1DE"/>
              </w:rPr>
              <w:t>CEO</w:t>
            </w:r>
          </w:p>
        </w:tc>
        <w:tc>
          <w:tcPr>
            <w:tcW w:w="1460" w:type="dxa"/>
            <w:vAlign w:val="bottom"/>
            <w:tcBorders>
              <w:bottom w:val="single" w:sz="8" w:color="00C1DE"/>
            </w:tcBorders>
            <w:gridSpan w:val="2"/>
          </w:tcPr>
          <w:p>
            <w:pPr>
              <w:jc w:val="right"/>
              <w:ind w:right="320"/>
              <w:spacing w:after="0"/>
              <w:rPr>
                <w:sz w:val="20"/>
                <w:szCs w:val="20"/>
                <w:color w:val="auto"/>
              </w:rPr>
            </w:pPr>
            <w:r>
              <w:rPr>
                <w:rFonts w:ascii="Arial" w:cs="Arial" w:eastAsia="Arial" w:hAnsi="Arial"/>
                <w:sz w:val="14"/>
                <w:szCs w:val="14"/>
                <w:b w:val="1"/>
                <w:bCs w:val="1"/>
                <w:color w:val="00C1DE"/>
              </w:rPr>
              <w:t>Non-CEO NEOs</w:t>
            </w:r>
          </w:p>
        </w:tc>
        <w:tc>
          <w:tcPr>
            <w:tcW w:w="940" w:type="dxa"/>
            <w:vAlign w:val="bottom"/>
            <w:tcBorders>
              <w:bottom w:val="single" w:sz="8" w:color="00C1DE"/>
            </w:tcBorders>
          </w:tcPr>
          <w:p>
            <w:pPr>
              <w:jc w:val="right"/>
              <w:ind w:right="205"/>
              <w:spacing w:after="0"/>
              <w:rPr>
                <w:sz w:val="20"/>
                <w:szCs w:val="20"/>
                <w:color w:val="auto"/>
              </w:rPr>
            </w:pPr>
            <w:r>
              <w:rPr>
                <w:rFonts w:ascii="Arial" w:cs="Arial" w:eastAsia="Arial" w:hAnsi="Arial"/>
                <w:sz w:val="14"/>
                <w:szCs w:val="14"/>
                <w:b w:val="1"/>
                <w:bCs w:val="1"/>
                <w:color w:val="00C1DE"/>
              </w:rPr>
              <w:t>CEO</w:t>
            </w:r>
          </w:p>
        </w:tc>
        <w:tc>
          <w:tcPr>
            <w:tcW w:w="1480" w:type="dxa"/>
            <w:vAlign w:val="bottom"/>
            <w:tcBorders>
              <w:bottom w:val="single" w:sz="8" w:color="00C1DE"/>
            </w:tcBorders>
            <w:gridSpan w:val="2"/>
          </w:tcPr>
          <w:p>
            <w:pPr>
              <w:jc w:val="right"/>
              <w:ind w:right="280"/>
              <w:spacing w:after="0"/>
              <w:rPr>
                <w:sz w:val="20"/>
                <w:szCs w:val="20"/>
                <w:color w:val="auto"/>
              </w:rPr>
            </w:pPr>
            <w:r>
              <w:rPr>
                <w:rFonts w:ascii="Arial" w:cs="Arial" w:eastAsia="Arial" w:hAnsi="Arial"/>
                <w:sz w:val="14"/>
                <w:szCs w:val="14"/>
                <w:b w:val="1"/>
                <w:bCs w:val="1"/>
                <w:color w:val="00C1DE"/>
              </w:rPr>
              <w:t>Non-CEO NEOs</w:t>
            </w:r>
          </w:p>
        </w:tc>
        <w:tc>
          <w:tcPr>
            <w:tcW w:w="960" w:type="dxa"/>
            <w:vAlign w:val="bottom"/>
            <w:tcBorders>
              <w:bottom w:val="single" w:sz="8" w:color="00C1DE"/>
            </w:tcBorders>
          </w:tcPr>
          <w:p>
            <w:pPr>
              <w:jc w:val="right"/>
              <w:ind w:right="225"/>
              <w:spacing w:after="0"/>
              <w:rPr>
                <w:sz w:val="20"/>
                <w:szCs w:val="20"/>
                <w:color w:val="auto"/>
              </w:rPr>
            </w:pPr>
            <w:r>
              <w:rPr>
                <w:rFonts w:ascii="Arial" w:cs="Arial" w:eastAsia="Arial" w:hAnsi="Arial"/>
                <w:sz w:val="14"/>
                <w:szCs w:val="14"/>
                <w:b w:val="1"/>
                <w:bCs w:val="1"/>
                <w:color w:val="00C1DE"/>
              </w:rPr>
              <w:t>CEO</w:t>
            </w:r>
          </w:p>
        </w:tc>
        <w:tc>
          <w:tcPr>
            <w:tcW w:w="1320" w:type="dxa"/>
            <w:vAlign w:val="bottom"/>
            <w:tcBorders>
              <w:bottom w:val="single" w:sz="8" w:color="00C1DE"/>
            </w:tcBorders>
          </w:tcPr>
          <w:p>
            <w:pPr>
              <w:jc w:val="right"/>
              <w:ind w:right="26"/>
              <w:spacing w:after="0"/>
              <w:rPr>
                <w:sz w:val="20"/>
                <w:szCs w:val="20"/>
                <w:color w:val="auto"/>
              </w:rPr>
            </w:pPr>
            <w:r>
              <w:rPr>
                <w:rFonts w:ascii="Arial" w:cs="Arial" w:eastAsia="Arial" w:hAnsi="Arial"/>
                <w:sz w:val="14"/>
                <w:szCs w:val="14"/>
                <w:b w:val="1"/>
                <w:bCs w:val="1"/>
                <w:color w:val="00C1DE"/>
              </w:rPr>
              <w:t>Non-CEO NEOs</w:t>
            </w:r>
          </w:p>
        </w:tc>
      </w:tr>
      <w:tr>
        <w:trPr>
          <w:trHeight w:val="207"/>
        </w:trPr>
        <w:tc>
          <w:tcPr>
            <w:tcW w:w="3100" w:type="dxa"/>
            <w:vAlign w:val="bottom"/>
          </w:tcPr>
          <w:p>
            <w:pPr>
              <w:ind w:left="80"/>
              <w:spacing w:after="0"/>
              <w:rPr>
                <w:sz w:val="20"/>
                <w:szCs w:val="20"/>
                <w:color w:val="auto"/>
              </w:rPr>
            </w:pPr>
            <w:r>
              <w:rPr>
                <w:rFonts w:ascii="Arial" w:cs="Arial" w:eastAsia="Arial" w:hAnsi="Arial"/>
                <w:sz w:val="15"/>
                <w:szCs w:val="15"/>
                <w:color w:val="3E3935"/>
              </w:rPr>
              <w:t>Change in Fair Value of Option Awards that</w:t>
            </w:r>
          </w:p>
        </w:tc>
        <w:tc>
          <w:tcPr>
            <w:tcW w:w="1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0"/>
        </w:trPr>
        <w:tc>
          <w:tcPr>
            <w:tcW w:w="3100" w:type="dxa"/>
            <w:vAlign w:val="bottom"/>
          </w:tcPr>
          <w:p>
            <w:pPr>
              <w:ind w:left="80"/>
              <w:spacing w:after="0"/>
              <w:rPr>
                <w:sz w:val="20"/>
                <w:szCs w:val="20"/>
                <w:color w:val="auto"/>
              </w:rPr>
            </w:pPr>
            <w:r>
              <w:rPr>
                <w:rFonts w:ascii="Arial" w:cs="Arial" w:eastAsia="Arial" w:hAnsi="Arial"/>
                <w:sz w:val="15"/>
                <w:szCs w:val="15"/>
                <w:color w:val="3E3935"/>
              </w:rPr>
              <w:t>Vested in the Covered Year</w:t>
            </w:r>
          </w:p>
        </w:tc>
        <w:tc>
          <w:tcPr>
            <w:tcW w:w="1100" w:type="dxa"/>
            <w:vAlign w:val="bottom"/>
          </w:tcPr>
          <w:p>
            <w:pPr>
              <w:jc w:val="right"/>
              <w:ind w:right="5"/>
              <w:spacing w:after="0"/>
              <w:rPr>
                <w:sz w:val="20"/>
                <w:szCs w:val="20"/>
                <w:color w:val="auto"/>
              </w:rPr>
            </w:pPr>
            <w:r>
              <w:rPr>
                <w:rFonts w:ascii="Arial" w:cs="Arial" w:eastAsia="Arial" w:hAnsi="Arial"/>
                <w:sz w:val="15"/>
                <w:szCs w:val="15"/>
                <w:color w:val="3E3935"/>
              </w:rPr>
              <w:t>(2,429,243)</w:t>
            </w:r>
          </w:p>
        </w:tc>
        <w:tc>
          <w:tcPr>
            <w:tcW w:w="1240" w:type="dxa"/>
            <w:vAlign w:val="bottom"/>
          </w:tcPr>
          <w:p>
            <w:pPr>
              <w:jc w:val="right"/>
              <w:spacing w:after="0"/>
              <w:rPr>
                <w:sz w:val="20"/>
                <w:szCs w:val="20"/>
                <w:color w:val="auto"/>
              </w:rPr>
            </w:pPr>
            <w:r>
              <w:rPr>
                <w:rFonts w:ascii="Arial" w:cs="Arial" w:eastAsia="Arial" w:hAnsi="Arial"/>
                <w:sz w:val="15"/>
                <w:szCs w:val="15"/>
                <w:color w:val="3E3935"/>
              </w:rPr>
              <w:t>(481,646)</w:t>
            </w:r>
          </w:p>
        </w:tc>
        <w:tc>
          <w:tcPr>
            <w:tcW w:w="2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3E3935"/>
              </w:rPr>
              <w:t>4,969,494</w:t>
            </w:r>
          </w:p>
        </w:tc>
        <w:tc>
          <w:tcPr>
            <w:tcW w:w="1260" w:type="dxa"/>
            <w:vAlign w:val="bottom"/>
          </w:tcPr>
          <w:p>
            <w:pPr>
              <w:jc w:val="right"/>
              <w:spacing w:after="0"/>
              <w:rPr>
                <w:sz w:val="20"/>
                <w:szCs w:val="20"/>
                <w:color w:val="auto"/>
              </w:rPr>
            </w:pPr>
            <w:r>
              <w:rPr>
                <w:rFonts w:ascii="Arial" w:cs="Arial" w:eastAsia="Arial" w:hAnsi="Arial"/>
                <w:sz w:val="15"/>
                <w:szCs w:val="15"/>
                <w:color w:val="3E3935"/>
              </w:rPr>
              <w:t>804,660</w:t>
            </w:r>
          </w:p>
        </w:tc>
        <w:tc>
          <w:tcPr>
            <w:tcW w:w="2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3E3935"/>
              </w:rPr>
              <w:t>(1,755,912)</w:t>
            </w:r>
          </w:p>
        </w:tc>
        <w:tc>
          <w:tcPr>
            <w:tcW w:w="1320" w:type="dxa"/>
            <w:vAlign w:val="bottom"/>
          </w:tcPr>
          <w:p>
            <w:pPr>
              <w:jc w:val="right"/>
              <w:spacing w:after="0"/>
              <w:rPr>
                <w:sz w:val="20"/>
                <w:szCs w:val="20"/>
                <w:color w:val="auto"/>
              </w:rPr>
            </w:pPr>
            <w:r>
              <w:rPr>
                <w:rFonts w:ascii="Arial" w:cs="Arial" w:eastAsia="Arial" w:hAnsi="Arial"/>
                <w:sz w:val="15"/>
                <w:szCs w:val="15"/>
                <w:color w:val="3E3935"/>
              </w:rPr>
              <w:t>(177,797)</w:t>
            </w:r>
          </w:p>
        </w:tc>
      </w:tr>
      <w:tr>
        <w:trPr>
          <w:trHeight w:val="60"/>
        </w:trPr>
        <w:tc>
          <w:tcPr>
            <w:tcW w:w="3100" w:type="dxa"/>
            <w:vAlign w:val="bottom"/>
            <w:tcBorders>
              <w:bottom w:val="single" w:sz="8" w:color="3E3935"/>
            </w:tcBorders>
          </w:tcPr>
          <w:p>
            <w:pPr>
              <w:spacing w:after="0"/>
              <w:rPr>
                <w:sz w:val="5"/>
                <w:szCs w:val="5"/>
                <w:color w:val="auto"/>
              </w:rPr>
            </w:pPr>
          </w:p>
        </w:tc>
        <w:tc>
          <w:tcPr>
            <w:tcW w:w="1100" w:type="dxa"/>
            <w:vAlign w:val="bottom"/>
            <w:tcBorders>
              <w:bottom w:val="single" w:sz="8" w:color="3E3935"/>
            </w:tcBorders>
          </w:tcPr>
          <w:p>
            <w:pPr>
              <w:spacing w:after="0"/>
              <w:rPr>
                <w:sz w:val="5"/>
                <w:szCs w:val="5"/>
                <w:color w:val="auto"/>
              </w:rPr>
            </w:pPr>
          </w:p>
        </w:tc>
        <w:tc>
          <w:tcPr>
            <w:tcW w:w="1240" w:type="dxa"/>
            <w:vAlign w:val="bottom"/>
            <w:tcBorders>
              <w:bottom w:val="single" w:sz="8" w:color="3E3935"/>
            </w:tcBorders>
          </w:tcPr>
          <w:p>
            <w:pPr>
              <w:spacing w:after="0"/>
              <w:rPr>
                <w:sz w:val="5"/>
                <w:szCs w:val="5"/>
                <w:color w:val="auto"/>
              </w:rPr>
            </w:pPr>
          </w:p>
        </w:tc>
        <w:tc>
          <w:tcPr>
            <w:tcW w:w="220" w:type="dxa"/>
            <w:vAlign w:val="bottom"/>
            <w:tcBorders>
              <w:bottom w:val="single" w:sz="8" w:color="3E3935"/>
            </w:tcBorders>
          </w:tcPr>
          <w:p>
            <w:pPr>
              <w:spacing w:after="0"/>
              <w:rPr>
                <w:sz w:val="5"/>
                <w:szCs w:val="5"/>
                <w:color w:val="auto"/>
              </w:rPr>
            </w:pPr>
          </w:p>
        </w:tc>
        <w:tc>
          <w:tcPr>
            <w:tcW w:w="940" w:type="dxa"/>
            <w:vAlign w:val="bottom"/>
            <w:tcBorders>
              <w:bottom w:val="single" w:sz="8" w:color="3E3935"/>
            </w:tcBorders>
          </w:tcPr>
          <w:p>
            <w:pPr>
              <w:spacing w:after="0"/>
              <w:rPr>
                <w:sz w:val="5"/>
                <w:szCs w:val="5"/>
                <w:color w:val="auto"/>
              </w:rPr>
            </w:pPr>
          </w:p>
        </w:tc>
        <w:tc>
          <w:tcPr>
            <w:tcW w:w="1260" w:type="dxa"/>
            <w:vAlign w:val="bottom"/>
            <w:tcBorders>
              <w:bottom w:val="single" w:sz="8" w:color="3E3935"/>
            </w:tcBorders>
          </w:tcPr>
          <w:p>
            <w:pPr>
              <w:spacing w:after="0"/>
              <w:rPr>
                <w:sz w:val="5"/>
                <w:szCs w:val="5"/>
                <w:color w:val="auto"/>
              </w:rPr>
            </w:pPr>
          </w:p>
        </w:tc>
        <w:tc>
          <w:tcPr>
            <w:tcW w:w="220" w:type="dxa"/>
            <w:vAlign w:val="bottom"/>
            <w:tcBorders>
              <w:bottom w:val="single" w:sz="8" w:color="3E3935"/>
            </w:tcBorders>
          </w:tcPr>
          <w:p>
            <w:pPr>
              <w:spacing w:after="0"/>
              <w:rPr>
                <w:sz w:val="5"/>
                <w:szCs w:val="5"/>
                <w:color w:val="auto"/>
              </w:rPr>
            </w:pPr>
          </w:p>
        </w:tc>
        <w:tc>
          <w:tcPr>
            <w:tcW w:w="960" w:type="dxa"/>
            <w:vAlign w:val="bottom"/>
            <w:tcBorders>
              <w:bottom w:val="single" w:sz="8" w:color="3E3935"/>
            </w:tcBorders>
          </w:tcPr>
          <w:p>
            <w:pPr>
              <w:spacing w:after="0"/>
              <w:rPr>
                <w:sz w:val="5"/>
                <w:szCs w:val="5"/>
                <w:color w:val="auto"/>
              </w:rPr>
            </w:pPr>
          </w:p>
        </w:tc>
        <w:tc>
          <w:tcPr>
            <w:tcW w:w="1320" w:type="dxa"/>
            <w:vAlign w:val="bottom"/>
            <w:tcBorders>
              <w:bottom w:val="single" w:sz="8" w:color="3E3935"/>
            </w:tcBorders>
          </w:tcPr>
          <w:p>
            <w:pPr>
              <w:spacing w:after="0"/>
              <w:rPr>
                <w:sz w:val="5"/>
                <w:szCs w:val="5"/>
                <w:color w:val="auto"/>
              </w:rPr>
            </w:pPr>
          </w:p>
        </w:tc>
      </w:tr>
      <w:tr>
        <w:trPr>
          <w:trHeight w:val="206"/>
        </w:trPr>
        <w:tc>
          <w:tcPr>
            <w:tcW w:w="3100" w:type="dxa"/>
            <w:vAlign w:val="bottom"/>
          </w:tcPr>
          <w:p>
            <w:pPr>
              <w:ind w:left="80"/>
              <w:spacing w:after="0"/>
              <w:rPr>
                <w:sz w:val="20"/>
                <w:szCs w:val="20"/>
                <w:color w:val="auto"/>
              </w:rPr>
            </w:pPr>
            <w:r>
              <w:rPr>
                <w:rFonts w:ascii="Arial" w:cs="Arial" w:eastAsia="Arial" w:hAnsi="Arial"/>
                <w:sz w:val="15"/>
                <w:szCs w:val="15"/>
                <w:color w:val="3E3935"/>
              </w:rPr>
              <w:t>Less: Fair Value of Option Awards Forfeited</w:t>
            </w:r>
          </w:p>
        </w:tc>
        <w:tc>
          <w:tcPr>
            <w:tcW w:w="1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0"/>
        </w:trPr>
        <w:tc>
          <w:tcPr>
            <w:tcW w:w="3100" w:type="dxa"/>
            <w:vAlign w:val="bottom"/>
          </w:tcPr>
          <w:p>
            <w:pPr>
              <w:ind w:left="80"/>
              <w:spacing w:after="0"/>
              <w:rPr>
                <w:sz w:val="20"/>
                <w:szCs w:val="20"/>
                <w:color w:val="auto"/>
              </w:rPr>
            </w:pPr>
            <w:r>
              <w:rPr>
                <w:rFonts w:ascii="Arial" w:cs="Arial" w:eastAsia="Arial" w:hAnsi="Arial"/>
                <w:sz w:val="15"/>
                <w:szCs w:val="15"/>
                <w:color w:val="3E3935"/>
              </w:rPr>
              <w:t>During the Covered Year</w:t>
            </w:r>
          </w:p>
        </w:tc>
        <w:tc>
          <w:tcPr>
            <w:tcW w:w="1100" w:type="dxa"/>
            <w:vAlign w:val="bottom"/>
          </w:tcPr>
          <w:p>
            <w:pPr>
              <w:jc w:val="right"/>
              <w:ind w:right="45"/>
              <w:spacing w:after="0"/>
              <w:rPr>
                <w:sz w:val="20"/>
                <w:szCs w:val="20"/>
                <w:color w:val="auto"/>
              </w:rPr>
            </w:pPr>
            <w:r>
              <w:rPr>
                <w:rFonts w:ascii="Arial" w:cs="Arial" w:eastAsia="Arial" w:hAnsi="Arial"/>
                <w:sz w:val="15"/>
                <w:szCs w:val="15"/>
                <w:color w:val="3E3935"/>
              </w:rPr>
              <w:t>—</w:t>
            </w:r>
          </w:p>
        </w:tc>
        <w:tc>
          <w:tcPr>
            <w:tcW w:w="1460" w:type="dxa"/>
            <w:vAlign w:val="bottom"/>
            <w:gridSpan w:val="2"/>
          </w:tcPr>
          <w:p>
            <w:pPr>
              <w:jc w:val="right"/>
              <w:ind w:right="320"/>
              <w:spacing w:after="0"/>
              <w:rPr>
                <w:sz w:val="20"/>
                <w:szCs w:val="20"/>
                <w:color w:val="auto"/>
              </w:rPr>
            </w:pPr>
            <w:r>
              <w:rPr>
                <w:rFonts w:ascii="Arial" w:cs="Arial" w:eastAsia="Arial" w:hAnsi="Arial"/>
                <w:sz w:val="15"/>
                <w:szCs w:val="15"/>
                <w:color w:val="3E3935"/>
              </w:rPr>
              <w:t>—</w:t>
            </w:r>
          </w:p>
        </w:tc>
        <w:tc>
          <w:tcPr>
            <w:tcW w:w="940" w:type="dxa"/>
            <w:vAlign w:val="bottom"/>
          </w:tcPr>
          <w:p>
            <w:pPr>
              <w:jc w:val="right"/>
              <w:spacing w:after="0"/>
              <w:rPr>
                <w:sz w:val="20"/>
                <w:szCs w:val="20"/>
                <w:color w:val="auto"/>
              </w:rPr>
            </w:pPr>
            <w:r>
              <w:rPr>
                <w:rFonts w:ascii="Arial" w:cs="Arial" w:eastAsia="Arial" w:hAnsi="Arial"/>
                <w:sz w:val="15"/>
                <w:szCs w:val="15"/>
                <w:color w:val="3E3935"/>
              </w:rPr>
              <w:t>—</w:t>
            </w:r>
          </w:p>
        </w:tc>
        <w:tc>
          <w:tcPr>
            <w:tcW w:w="1480" w:type="dxa"/>
            <w:vAlign w:val="bottom"/>
            <w:gridSpan w:val="2"/>
          </w:tcPr>
          <w:p>
            <w:pPr>
              <w:jc w:val="right"/>
              <w:ind w:right="280"/>
              <w:spacing w:after="0"/>
              <w:rPr>
                <w:sz w:val="20"/>
                <w:szCs w:val="20"/>
                <w:color w:val="auto"/>
              </w:rPr>
            </w:pPr>
            <w:r>
              <w:rPr>
                <w:rFonts w:ascii="Arial" w:cs="Arial" w:eastAsia="Arial" w:hAnsi="Arial"/>
                <w:sz w:val="15"/>
                <w:szCs w:val="15"/>
                <w:color w:val="3E3935"/>
              </w:rPr>
              <w:t>—</w:t>
            </w:r>
          </w:p>
        </w:tc>
        <w:tc>
          <w:tcPr>
            <w:tcW w:w="960" w:type="dxa"/>
            <w:vAlign w:val="bottom"/>
          </w:tcPr>
          <w:p>
            <w:pPr>
              <w:jc w:val="right"/>
              <w:spacing w:after="0"/>
              <w:rPr>
                <w:sz w:val="20"/>
                <w:szCs w:val="20"/>
                <w:color w:val="auto"/>
              </w:rPr>
            </w:pPr>
            <w:r>
              <w:rPr>
                <w:rFonts w:ascii="Arial" w:cs="Arial" w:eastAsia="Arial" w:hAnsi="Arial"/>
                <w:sz w:val="15"/>
                <w:szCs w:val="15"/>
                <w:color w:val="3E3935"/>
              </w:rPr>
              <w:t>—</w:t>
            </w:r>
          </w:p>
        </w:tc>
        <w:tc>
          <w:tcPr>
            <w:tcW w:w="1320" w:type="dxa"/>
            <w:vAlign w:val="bottom"/>
          </w:tcPr>
          <w:p>
            <w:pPr>
              <w:jc w:val="right"/>
              <w:spacing w:after="0"/>
              <w:rPr>
                <w:sz w:val="20"/>
                <w:szCs w:val="20"/>
                <w:color w:val="auto"/>
              </w:rPr>
            </w:pPr>
            <w:r>
              <w:rPr>
                <w:rFonts w:ascii="Arial" w:cs="Arial" w:eastAsia="Arial" w:hAnsi="Arial"/>
                <w:sz w:val="15"/>
                <w:szCs w:val="15"/>
                <w:color w:val="3E3935"/>
              </w:rPr>
              <w:t>(89,780)</w:t>
            </w:r>
          </w:p>
        </w:tc>
      </w:tr>
      <w:tr>
        <w:trPr>
          <w:trHeight w:val="60"/>
        </w:trPr>
        <w:tc>
          <w:tcPr>
            <w:tcW w:w="3100" w:type="dxa"/>
            <w:vAlign w:val="bottom"/>
            <w:tcBorders>
              <w:bottom w:val="single" w:sz="8" w:color="3E3935"/>
            </w:tcBorders>
          </w:tcPr>
          <w:p>
            <w:pPr>
              <w:spacing w:after="0"/>
              <w:rPr>
                <w:sz w:val="5"/>
                <w:szCs w:val="5"/>
                <w:color w:val="auto"/>
              </w:rPr>
            </w:pPr>
          </w:p>
        </w:tc>
        <w:tc>
          <w:tcPr>
            <w:tcW w:w="1100" w:type="dxa"/>
            <w:vAlign w:val="bottom"/>
            <w:tcBorders>
              <w:bottom w:val="single" w:sz="8" w:color="3E3935"/>
            </w:tcBorders>
          </w:tcPr>
          <w:p>
            <w:pPr>
              <w:spacing w:after="0"/>
              <w:rPr>
                <w:sz w:val="5"/>
                <w:szCs w:val="5"/>
                <w:color w:val="auto"/>
              </w:rPr>
            </w:pPr>
          </w:p>
        </w:tc>
        <w:tc>
          <w:tcPr>
            <w:tcW w:w="1240" w:type="dxa"/>
            <w:vAlign w:val="bottom"/>
            <w:tcBorders>
              <w:bottom w:val="single" w:sz="8" w:color="3E3935"/>
            </w:tcBorders>
          </w:tcPr>
          <w:p>
            <w:pPr>
              <w:spacing w:after="0"/>
              <w:rPr>
                <w:sz w:val="5"/>
                <w:szCs w:val="5"/>
                <w:color w:val="auto"/>
              </w:rPr>
            </w:pPr>
          </w:p>
        </w:tc>
        <w:tc>
          <w:tcPr>
            <w:tcW w:w="220" w:type="dxa"/>
            <w:vAlign w:val="bottom"/>
            <w:tcBorders>
              <w:bottom w:val="single" w:sz="8" w:color="3E3935"/>
            </w:tcBorders>
          </w:tcPr>
          <w:p>
            <w:pPr>
              <w:spacing w:after="0"/>
              <w:rPr>
                <w:sz w:val="5"/>
                <w:szCs w:val="5"/>
                <w:color w:val="auto"/>
              </w:rPr>
            </w:pPr>
          </w:p>
        </w:tc>
        <w:tc>
          <w:tcPr>
            <w:tcW w:w="940" w:type="dxa"/>
            <w:vAlign w:val="bottom"/>
            <w:tcBorders>
              <w:bottom w:val="single" w:sz="8" w:color="3E3935"/>
            </w:tcBorders>
          </w:tcPr>
          <w:p>
            <w:pPr>
              <w:spacing w:after="0"/>
              <w:rPr>
                <w:sz w:val="5"/>
                <w:szCs w:val="5"/>
                <w:color w:val="auto"/>
              </w:rPr>
            </w:pPr>
          </w:p>
        </w:tc>
        <w:tc>
          <w:tcPr>
            <w:tcW w:w="1260" w:type="dxa"/>
            <w:vAlign w:val="bottom"/>
            <w:tcBorders>
              <w:bottom w:val="single" w:sz="8" w:color="3E3935"/>
            </w:tcBorders>
          </w:tcPr>
          <w:p>
            <w:pPr>
              <w:spacing w:after="0"/>
              <w:rPr>
                <w:sz w:val="5"/>
                <w:szCs w:val="5"/>
                <w:color w:val="auto"/>
              </w:rPr>
            </w:pPr>
          </w:p>
        </w:tc>
        <w:tc>
          <w:tcPr>
            <w:tcW w:w="220" w:type="dxa"/>
            <w:vAlign w:val="bottom"/>
            <w:tcBorders>
              <w:bottom w:val="single" w:sz="8" w:color="3E3935"/>
            </w:tcBorders>
          </w:tcPr>
          <w:p>
            <w:pPr>
              <w:spacing w:after="0"/>
              <w:rPr>
                <w:sz w:val="5"/>
                <w:szCs w:val="5"/>
                <w:color w:val="auto"/>
              </w:rPr>
            </w:pPr>
          </w:p>
        </w:tc>
        <w:tc>
          <w:tcPr>
            <w:tcW w:w="960" w:type="dxa"/>
            <w:vAlign w:val="bottom"/>
            <w:tcBorders>
              <w:bottom w:val="single" w:sz="8" w:color="3E3935"/>
            </w:tcBorders>
          </w:tcPr>
          <w:p>
            <w:pPr>
              <w:spacing w:after="0"/>
              <w:rPr>
                <w:sz w:val="5"/>
                <w:szCs w:val="5"/>
                <w:color w:val="auto"/>
              </w:rPr>
            </w:pPr>
          </w:p>
        </w:tc>
        <w:tc>
          <w:tcPr>
            <w:tcW w:w="1320" w:type="dxa"/>
            <w:vAlign w:val="bottom"/>
            <w:tcBorders>
              <w:bottom w:val="single" w:sz="8" w:color="3E3935"/>
            </w:tcBorders>
          </w:tcPr>
          <w:p>
            <w:pPr>
              <w:spacing w:after="0"/>
              <w:rPr>
                <w:sz w:val="5"/>
                <w:szCs w:val="5"/>
                <w:color w:val="auto"/>
              </w:rPr>
            </w:pPr>
          </w:p>
        </w:tc>
      </w:tr>
      <w:tr>
        <w:trPr>
          <w:trHeight w:val="252"/>
        </w:trPr>
        <w:tc>
          <w:tcPr>
            <w:tcW w:w="3100" w:type="dxa"/>
            <w:vAlign w:val="bottom"/>
          </w:tcPr>
          <w:p>
            <w:pPr>
              <w:ind w:left="80"/>
              <w:spacing w:after="0"/>
              <w:rPr>
                <w:sz w:val="20"/>
                <w:szCs w:val="20"/>
                <w:color w:val="auto"/>
              </w:rPr>
            </w:pPr>
            <w:r>
              <w:rPr>
                <w:rFonts w:ascii="Arial" w:cs="Arial" w:eastAsia="Arial" w:hAnsi="Arial"/>
                <w:sz w:val="15"/>
                <w:szCs w:val="15"/>
                <w:b w:val="1"/>
                <w:bCs w:val="1"/>
                <w:color w:val="3E3935"/>
              </w:rPr>
              <w:t>CAP Total</w:t>
            </w:r>
          </w:p>
        </w:tc>
        <w:tc>
          <w:tcPr>
            <w:tcW w:w="1100" w:type="dxa"/>
            <w:vAlign w:val="bottom"/>
          </w:tcPr>
          <w:p>
            <w:pPr>
              <w:jc w:val="right"/>
              <w:ind w:right="5"/>
              <w:spacing w:after="0"/>
              <w:rPr>
                <w:sz w:val="20"/>
                <w:szCs w:val="20"/>
                <w:color w:val="auto"/>
              </w:rPr>
            </w:pPr>
            <w:r>
              <w:rPr>
                <w:rFonts w:ascii="Arial" w:cs="Arial" w:eastAsia="Arial" w:hAnsi="Arial"/>
                <w:sz w:val="15"/>
                <w:szCs w:val="15"/>
                <w:color w:val="3E3935"/>
              </w:rPr>
              <w:t>(16,991,516)</w:t>
            </w:r>
          </w:p>
        </w:tc>
        <w:tc>
          <w:tcPr>
            <w:tcW w:w="1240" w:type="dxa"/>
            <w:vAlign w:val="bottom"/>
          </w:tcPr>
          <w:p>
            <w:pPr>
              <w:jc w:val="right"/>
              <w:spacing w:after="0"/>
              <w:rPr>
                <w:sz w:val="20"/>
                <w:szCs w:val="20"/>
                <w:color w:val="auto"/>
              </w:rPr>
            </w:pPr>
            <w:r>
              <w:rPr>
                <w:rFonts w:ascii="Arial" w:cs="Arial" w:eastAsia="Arial" w:hAnsi="Arial"/>
                <w:sz w:val="15"/>
                <w:szCs w:val="15"/>
                <w:color w:val="3E3935"/>
              </w:rPr>
              <w:t>(2,724,335)</w:t>
            </w:r>
          </w:p>
        </w:tc>
        <w:tc>
          <w:tcPr>
            <w:tcW w:w="2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3E3935"/>
              </w:rPr>
              <w:t>76,096,506</w:t>
            </w:r>
          </w:p>
        </w:tc>
        <w:tc>
          <w:tcPr>
            <w:tcW w:w="1260" w:type="dxa"/>
            <w:vAlign w:val="bottom"/>
          </w:tcPr>
          <w:p>
            <w:pPr>
              <w:jc w:val="right"/>
              <w:spacing w:after="0"/>
              <w:rPr>
                <w:sz w:val="20"/>
                <w:szCs w:val="20"/>
                <w:color w:val="auto"/>
              </w:rPr>
            </w:pPr>
            <w:r>
              <w:rPr>
                <w:rFonts w:ascii="Arial" w:cs="Arial" w:eastAsia="Arial" w:hAnsi="Arial"/>
                <w:sz w:val="15"/>
                <w:szCs w:val="15"/>
                <w:color w:val="3E3935"/>
              </w:rPr>
              <w:t>19,443,928</w:t>
            </w:r>
          </w:p>
        </w:tc>
        <w:tc>
          <w:tcPr>
            <w:tcW w:w="2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3E3935"/>
              </w:rPr>
              <w:t>45,185,399</w:t>
            </w:r>
          </w:p>
        </w:tc>
        <w:tc>
          <w:tcPr>
            <w:tcW w:w="1320" w:type="dxa"/>
            <w:vAlign w:val="bottom"/>
          </w:tcPr>
          <w:p>
            <w:pPr>
              <w:jc w:val="right"/>
              <w:ind w:right="26"/>
              <w:spacing w:after="0"/>
              <w:rPr>
                <w:sz w:val="20"/>
                <w:szCs w:val="20"/>
                <w:color w:val="auto"/>
              </w:rPr>
            </w:pPr>
            <w:r>
              <w:rPr>
                <w:rFonts w:ascii="Arial" w:cs="Arial" w:eastAsia="Arial" w:hAnsi="Arial"/>
                <w:sz w:val="15"/>
                <w:szCs w:val="15"/>
                <w:color w:val="3E3935"/>
              </w:rPr>
              <w:t>5,817,820</w:t>
            </w:r>
          </w:p>
        </w:tc>
      </w:tr>
      <w:tr>
        <w:trPr>
          <w:trHeight w:val="52"/>
        </w:trPr>
        <w:tc>
          <w:tcPr>
            <w:tcW w:w="3100" w:type="dxa"/>
            <w:vAlign w:val="bottom"/>
            <w:tcBorders>
              <w:bottom w:val="single" w:sz="8" w:color="0071CE"/>
            </w:tcBorders>
          </w:tcPr>
          <w:p>
            <w:pPr>
              <w:spacing w:after="0"/>
              <w:rPr>
                <w:sz w:val="4"/>
                <w:szCs w:val="4"/>
                <w:color w:val="auto"/>
              </w:rPr>
            </w:pPr>
          </w:p>
        </w:tc>
        <w:tc>
          <w:tcPr>
            <w:tcW w:w="1100" w:type="dxa"/>
            <w:vAlign w:val="bottom"/>
            <w:tcBorders>
              <w:bottom w:val="single" w:sz="8" w:color="0071CE"/>
            </w:tcBorders>
          </w:tcPr>
          <w:p>
            <w:pPr>
              <w:spacing w:after="0"/>
              <w:rPr>
                <w:sz w:val="4"/>
                <w:szCs w:val="4"/>
                <w:color w:val="auto"/>
              </w:rPr>
            </w:pPr>
          </w:p>
        </w:tc>
        <w:tc>
          <w:tcPr>
            <w:tcW w:w="1240" w:type="dxa"/>
            <w:vAlign w:val="bottom"/>
            <w:tcBorders>
              <w:bottom w:val="single" w:sz="8" w:color="0071CE"/>
            </w:tcBorders>
          </w:tcPr>
          <w:p>
            <w:pPr>
              <w:spacing w:after="0"/>
              <w:rPr>
                <w:sz w:val="4"/>
                <w:szCs w:val="4"/>
                <w:color w:val="auto"/>
              </w:rPr>
            </w:pPr>
          </w:p>
        </w:tc>
        <w:tc>
          <w:tcPr>
            <w:tcW w:w="220" w:type="dxa"/>
            <w:vAlign w:val="bottom"/>
            <w:tcBorders>
              <w:bottom w:val="single" w:sz="8" w:color="0071CE"/>
            </w:tcBorders>
          </w:tcPr>
          <w:p>
            <w:pPr>
              <w:spacing w:after="0"/>
              <w:rPr>
                <w:sz w:val="4"/>
                <w:szCs w:val="4"/>
                <w:color w:val="auto"/>
              </w:rPr>
            </w:pPr>
          </w:p>
        </w:tc>
        <w:tc>
          <w:tcPr>
            <w:tcW w:w="940" w:type="dxa"/>
            <w:vAlign w:val="bottom"/>
            <w:tcBorders>
              <w:bottom w:val="single" w:sz="8" w:color="0071CE"/>
            </w:tcBorders>
          </w:tcPr>
          <w:p>
            <w:pPr>
              <w:spacing w:after="0"/>
              <w:rPr>
                <w:sz w:val="4"/>
                <w:szCs w:val="4"/>
                <w:color w:val="auto"/>
              </w:rPr>
            </w:pPr>
          </w:p>
        </w:tc>
        <w:tc>
          <w:tcPr>
            <w:tcW w:w="1260" w:type="dxa"/>
            <w:vAlign w:val="bottom"/>
            <w:tcBorders>
              <w:bottom w:val="single" w:sz="8" w:color="0071CE"/>
            </w:tcBorders>
          </w:tcPr>
          <w:p>
            <w:pPr>
              <w:spacing w:after="0"/>
              <w:rPr>
                <w:sz w:val="4"/>
                <w:szCs w:val="4"/>
                <w:color w:val="auto"/>
              </w:rPr>
            </w:pPr>
          </w:p>
        </w:tc>
        <w:tc>
          <w:tcPr>
            <w:tcW w:w="220" w:type="dxa"/>
            <w:vAlign w:val="bottom"/>
            <w:tcBorders>
              <w:bottom w:val="single" w:sz="8" w:color="0071CE"/>
            </w:tcBorders>
          </w:tcPr>
          <w:p>
            <w:pPr>
              <w:spacing w:after="0"/>
              <w:rPr>
                <w:sz w:val="4"/>
                <w:szCs w:val="4"/>
                <w:color w:val="auto"/>
              </w:rPr>
            </w:pPr>
          </w:p>
        </w:tc>
        <w:tc>
          <w:tcPr>
            <w:tcW w:w="960" w:type="dxa"/>
            <w:vAlign w:val="bottom"/>
            <w:tcBorders>
              <w:bottom w:val="single" w:sz="8" w:color="0071CE"/>
            </w:tcBorders>
          </w:tcPr>
          <w:p>
            <w:pPr>
              <w:spacing w:after="0"/>
              <w:rPr>
                <w:sz w:val="4"/>
                <w:szCs w:val="4"/>
                <w:color w:val="auto"/>
              </w:rPr>
            </w:pPr>
          </w:p>
        </w:tc>
        <w:tc>
          <w:tcPr>
            <w:tcW w:w="1320" w:type="dxa"/>
            <w:vAlign w:val="bottom"/>
            <w:tcBorders>
              <w:bottom w:val="single" w:sz="8" w:color="0071CE"/>
            </w:tcBorders>
          </w:tcPr>
          <w:p>
            <w:pPr>
              <w:spacing w:after="0"/>
              <w:rPr>
                <w:sz w:val="4"/>
                <w:szCs w:val="4"/>
                <w:color w:val="auto"/>
              </w:rPr>
            </w:pPr>
          </w:p>
        </w:tc>
      </w:tr>
    </w:tbl>
    <w:p>
      <w:pPr>
        <w:spacing w:after="0" w:line="105" w:lineRule="exact"/>
        <w:rPr>
          <w:sz w:val="20"/>
          <w:szCs w:val="20"/>
          <w:color w:val="auto"/>
        </w:rPr>
      </w:pPr>
    </w:p>
    <w:p>
      <w:pPr>
        <w:jc w:val="both"/>
        <w:ind w:left="540" w:hanging="424"/>
        <w:spacing w:after="0" w:line="252" w:lineRule="auto"/>
        <w:tabs>
          <w:tab w:leader="none" w:pos="540" w:val="left"/>
        </w:tabs>
        <w:numPr>
          <w:ilvl w:val="0"/>
          <w:numId w:val="137"/>
        </w:numPr>
        <w:rPr>
          <w:rFonts w:ascii="Arial" w:cs="Arial" w:eastAsia="Arial" w:hAnsi="Arial"/>
          <w:sz w:val="18"/>
          <w:szCs w:val="18"/>
          <w:i w:val="1"/>
          <w:iCs w:val="1"/>
          <w:color w:val="3E3935"/>
        </w:rPr>
      </w:pPr>
      <w:r>
        <w:rPr>
          <w:rFonts w:ascii="Arial" w:cs="Arial" w:eastAsia="Arial" w:hAnsi="Arial"/>
          <w:sz w:val="18"/>
          <w:szCs w:val="18"/>
          <w:i w:val="1"/>
          <w:iCs w:val="1"/>
          <w:color w:val="3E3935"/>
        </w:rPr>
        <w:t>Represents the cumulative TSR of the Company of an initial investment of $100 for the measurement period beginning December 31, 2019, and ending December 31, 2022, 2021, or 2020, respectively, calculated in accordance with Item 201(e) of Regulation S-K as required under Item 402(v) of Regulation S-K.</w:t>
      </w:r>
    </w:p>
    <w:p>
      <w:pPr>
        <w:spacing w:after="0" w:line="36" w:lineRule="exact"/>
        <w:rPr>
          <w:rFonts w:ascii="Arial" w:cs="Arial" w:eastAsia="Arial" w:hAnsi="Arial"/>
          <w:sz w:val="18"/>
          <w:szCs w:val="18"/>
          <w:i w:val="1"/>
          <w:iCs w:val="1"/>
          <w:color w:val="3E3935"/>
        </w:rPr>
      </w:pPr>
    </w:p>
    <w:p>
      <w:pPr>
        <w:jc w:val="both"/>
        <w:ind w:left="540" w:right="20" w:hanging="424"/>
        <w:spacing w:after="0" w:line="252" w:lineRule="auto"/>
        <w:tabs>
          <w:tab w:leader="none" w:pos="540" w:val="left"/>
        </w:tabs>
        <w:numPr>
          <w:ilvl w:val="0"/>
          <w:numId w:val="137"/>
        </w:numPr>
        <w:rPr>
          <w:rFonts w:ascii="Arial" w:cs="Arial" w:eastAsia="Arial" w:hAnsi="Arial"/>
          <w:sz w:val="18"/>
          <w:szCs w:val="18"/>
          <w:i w:val="1"/>
          <w:iCs w:val="1"/>
          <w:color w:val="3E3935"/>
        </w:rPr>
      </w:pPr>
      <w:r>
        <w:rPr>
          <w:rFonts w:ascii="Arial" w:cs="Arial" w:eastAsia="Arial" w:hAnsi="Arial"/>
          <w:sz w:val="18"/>
          <w:szCs w:val="18"/>
          <w:i w:val="1"/>
          <w:iCs w:val="1"/>
          <w:color w:val="3E3935"/>
        </w:rPr>
        <w:t>Represents the cumulative TSR of the Dow Jones Automobiles &amp; Parts Titans 30 Index (the “Peer Group TSR”) of an initial investment of $100 for the measurement period beginning December 31, 2019, and ending December 31, 2022, 2021, or 2020, respectively, calculated in accordance with Item 201(e) of Regulation S-K as required under Item 402(v) of Regulation S-K.</w:t>
      </w:r>
    </w:p>
    <w:p>
      <w:pPr>
        <w:spacing w:after="0" w:line="36" w:lineRule="exact"/>
        <w:rPr>
          <w:rFonts w:ascii="Arial" w:cs="Arial" w:eastAsia="Arial" w:hAnsi="Arial"/>
          <w:sz w:val="18"/>
          <w:szCs w:val="18"/>
          <w:i w:val="1"/>
          <w:iCs w:val="1"/>
          <w:color w:val="3E3935"/>
        </w:rPr>
      </w:pPr>
    </w:p>
    <w:p>
      <w:pPr>
        <w:ind w:left="540" w:right="20" w:hanging="424"/>
        <w:spacing w:after="0" w:line="269" w:lineRule="auto"/>
        <w:tabs>
          <w:tab w:leader="none" w:pos="540" w:val="left"/>
        </w:tabs>
        <w:numPr>
          <w:ilvl w:val="0"/>
          <w:numId w:val="137"/>
        </w:numPr>
        <w:rPr>
          <w:rFonts w:ascii="Arial" w:cs="Arial" w:eastAsia="Arial" w:hAnsi="Arial"/>
          <w:sz w:val="18"/>
          <w:szCs w:val="18"/>
          <w:i w:val="1"/>
          <w:iCs w:val="1"/>
          <w:color w:val="3E3935"/>
        </w:rPr>
      </w:pPr>
      <w:r>
        <w:rPr>
          <w:rFonts w:ascii="Arial" w:cs="Arial" w:eastAsia="Arial" w:hAnsi="Arial"/>
          <w:sz w:val="18"/>
          <w:szCs w:val="18"/>
          <w:i w:val="1"/>
          <w:iCs w:val="1"/>
          <w:color w:val="3E3935"/>
        </w:rPr>
        <w:t>Reflects net income as shown in the Company’s Annual Report on Form 10-K for the years ended December 31, 2022, 2021, and 2020.</w:t>
      </w:r>
    </w:p>
    <w:p>
      <w:pPr>
        <w:spacing w:after="0" w:line="22" w:lineRule="exact"/>
        <w:rPr>
          <w:rFonts w:ascii="Arial" w:cs="Arial" w:eastAsia="Arial" w:hAnsi="Arial"/>
          <w:sz w:val="18"/>
          <w:szCs w:val="18"/>
          <w:i w:val="1"/>
          <w:iCs w:val="1"/>
          <w:color w:val="3E3935"/>
        </w:rPr>
      </w:pPr>
    </w:p>
    <w:p>
      <w:pPr>
        <w:jc w:val="both"/>
        <w:ind w:left="540" w:hanging="424"/>
        <w:spacing w:after="0" w:line="246" w:lineRule="auto"/>
        <w:tabs>
          <w:tab w:leader="none" w:pos="540" w:val="left"/>
        </w:tabs>
        <w:numPr>
          <w:ilvl w:val="0"/>
          <w:numId w:val="137"/>
        </w:numPr>
        <w:rPr>
          <w:rFonts w:ascii="Arial" w:cs="Arial" w:eastAsia="Arial" w:hAnsi="Arial"/>
          <w:sz w:val="18"/>
          <w:szCs w:val="18"/>
          <w:i w:val="1"/>
          <w:iCs w:val="1"/>
          <w:color w:val="3E3935"/>
        </w:rPr>
      </w:pPr>
      <w:r>
        <w:rPr>
          <w:rFonts w:ascii="Arial" w:cs="Arial" w:eastAsia="Arial" w:hAnsi="Arial"/>
          <w:sz w:val="18"/>
          <w:szCs w:val="18"/>
          <w:i w:val="1"/>
          <w:iCs w:val="1"/>
          <w:color w:val="3E3935"/>
        </w:rPr>
        <w:t>Reflects EBIT-adjusted, the company-selected measure for 2022, as shown in the Company’s Annual Report on Form 10-K for the years ended December 31, 2022, 2021, and 2020. Refer to Appendix A for a reconciliation of EBIT-adjusted to its closest comparable GAAP measure. Please note EBIT-adjusted may not have been the company-selected measure for 2021 and 2020, and we may determine a different measure to be the company-selected measure in future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140335</wp:posOffset>
            </wp:positionV>
            <wp:extent cx="6995160" cy="825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32" w:lineRule="exact"/>
        <w:rPr>
          <w:sz w:val="20"/>
          <w:szCs w:val="20"/>
          <w:color w:val="auto"/>
        </w:rPr>
      </w:pPr>
    </w:p>
    <w:p>
      <w:pPr>
        <w:ind w:left="220"/>
        <w:spacing w:after="0"/>
        <w:rPr>
          <w:sz w:val="20"/>
          <w:szCs w:val="20"/>
          <w:color w:val="auto"/>
        </w:rPr>
      </w:pPr>
      <w:r>
        <w:rPr>
          <w:rFonts w:ascii="Arial" w:cs="Arial" w:eastAsia="Arial" w:hAnsi="Arial"/>
          <w:sz w:val="20"/>
          <w:szCs w:val="20"/>
          <w:b w:val="1"/>
          <w:bCs w:val="1"/>
          <w:color w:val="00C1DE"/>
        </w:rPr>
        <w:t>Tabular List of Most-Important Measures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23495</wp:posOffset>
            </wp:positionV>
            <wp:extent cx="6995160" cy="825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76" w:lineRule="exact"/>
        <w:rPr>
          <w:sz w:val="20"/>
          <w:szCs w:val="20"/>
          <w:color w:val="auto"/>
        </w:rPr>
      </w:pPr>
    </w:p>
    <w:p>
      <w:pPr>
        <w:ind w:left="220"/>
        <w:spacing w:after="0"/>
        <w:rPr>
          <w:sz w:val="20"/>
          <w:szCs w:val="20"/>
          <w:color w:val="auto"/>
        </w:rPr>
      </w:pPr>
      <w:r>
        <w:rPr>
          <w:rFonts w:ascii="Arial" w:cs="Arial" w:eastAsia="Arial" w:hAnsi="Arial"/>
          <w:sz w:val="20"/>
          <w:szCs w:val="20"/>
          <w:color w:val="3E3935"/>
        </w:rPr>
        <w:t>EBIT-adjusted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39370</wp:posOffset>
            </wp:positionV>
            <wp:extent cx="6995160" cy="825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01" w:lineRule="exact"/>
        <w:rPr>
          <w:sz w:val="20"/>
          <w:szCs w:val="20"/>
          <w:color w:val="auto"/>
        </w:rPr>
      </w:pPr>
    </w:p>
    <w:p>
      <w:pPr>
        <w:ind w:left="220"/>
        <w:spacing w:after="0"/>
        <w:rPr>
          <w:sz w:val="20"/>
          <w:szCs w:val="20"/>
          <w:color w:val="auto"/>
        </w:rPr>
      </w:pPr>
      <w:r>
        <w:rPr>
          <w:rFonts w:ascii="Arial" w:cs="Arial" w:eastAsia="Arial" w:hAnsi="Arial"/>
          <w:sz w:val="20"/>
          <w:szCs w:val="20"/>
          <w:color w:val="3E3935"/>
        </w:rPr>
        <w:t>EBIT-adjusted Margin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39370</wp:posOffset>
            </wp:positionV>
            <wp:extent cx="6995160" cy="825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01" w:lineRule="exact"/>
        <w:rPr>
          <w:sz w:val="20"/>
          <w:szCs w:val="20"/>
          <w:color w:val="auto"/>
        </w:rPr>
      </w:pPr>
    </w:p>
    <w:p>
      <w:pPr>
        <w:ind w:left="220"/>
        <w:spacing w:after="0"/>
        <w:rPr>
          <w:sz w:val="20"/>
          <w:szCs w:val="20"/>
          <w:color w:val="auto"/>
        </w:rPr>
      </w:pPr>
      <w:r>
        <w:rPr>
          <w:rFonts w:ascii="Arial" w:cs="Arial" w:eastAsia="Arial" w:hAnsi="Arial"/>
          <w:sz w:val="20"/>
          <w:szCs w:val="20"/>
          <w:color w:val="3E3935"/>
        </w:rPr>
        <w:t>Relative TSR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39370</wp:posOffset>
            </wp:positionV>
            <wp:extent cx="6995160" cy="889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76" w:lineRule="exact"/>
        <w:rPr>
          <w:sz w:val="20"/>
          <w:szCs w:val="20"/>
          <w:color w:val="auto"/>
        </w:rPr>
      </w:pPr>
    </w:p>
    <w:p>
      <w:pPr>
        <w:ind w:left="660" w:right="20" w:hanging="481"/>
        <w:spacing w:after="0" w:line="234" w:lineRule="auto"/>
        <w:tabs>
          <w:tab w:leader="none" w:pos="660" w:val="left"/>
        </w:tabs>
        <w:numPr>
          <w:ilvl w:val="0"/>
          <w:numId w:val="138"/>
        </w:numPr>
        <w:rPr>
          <w:rFonts w:ascii="Times New Roman" w:cs="Times New Roman" w:eastAsia="Times New Roman" w:hAnsi="Times New Roman"/>
          <w:sz w:val="31"/>
          <w:szCs w:val="31"/>
          <w:color w:val="0071CE"/>
          <w:vertAlign w:val="superscript"/>
        </w:rPr>
      </w:pPr>
      <w:r>
        <w:rPr>
          <w:rFonts w:ascii="Arial" w:cs="Arial" w:eastAsia="Arial" w:hAnsi="Arial"/>
          <w:sz w:val="25"/>
          <w:szCs w:val="25"/>
          <w:color w:val="3E3935"/>
        </w:rPr>
        <w:t>Relationship Between CAP Disclosed in the Pay Versus Performance Table and Other Table Elements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527685</wp:posOffset>
            </wp:positionH>
            <wp:positionV relativeFrom="paragraph">
              <wp:posOffset>181610</wp:posOffset>
            </wp:positionV>
            <wp:extent cx="6043295" cy="230568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6043295" cy="23056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both"/>
        <w:ind w:left="120"/>
        <w:spacing w:after="0" w:line="241" w:lineRule="auto"/>
        <w:rPr>
          <w:sz w:val="20"/>
          <w:szCs w:val="20"/>
          <w:color w:val="auto"/>
        </w:rPr>
      </w:pPr>
      <w:r>
        <w:rPr>
          <w:rFonts w:ascii="Arial" w:cs="Arial" w:eastAsia="Arial" w:hAnsi="Arial"/>
          <w:sz w:val="20"/>
          <w:szCs w:val="20"/>
          <w:color w:val="3E3935"/>
        </w:rPr>
        <w:t>The CAP values for both our CEO and non-CEO NEOs have decreased significantly year-over-year as the majority of compensation paid to our executives is aligned to shareholders and delivered in equity. As a result, the CAP values for 2022 are negative due to the decline in TSR, despite our strong net income and record EBIT-adjusted performance.</w:t>
      </w:r>
    </w:p>
    <w:p>
      <w:pPr>
        <w:spacing w:after="0" w:line="116" w:lineRule="exact"/>
        <w:rPr>
          <w:sz w:val="20"/>
          <w:szCs w:val="20"/>
          <w:color w:val="auto"/>
        </w:rPr>
      </w:pPr>
    </w:p>
    <w:p>
      <w:pPr>
        <w:ind w:left="120"/>
        <w:spacing w:after="0"/>
        <w:rPr>
          <w:sz w:val="20"/>
          <w:szCs w:val="20"/>
          <w:color w:val="auto"/>
        </w:rPr>
      </w:pPr>
      <w:r>
        <w:rPr>
          <w:rFonts w:ascii="Arial" w:cs="Arial" w:eastAsia="Arial" w:hAnsi="Arial"/>
          <w:sz w:val="14"/>
          <w:szCs w:val="14"/>
          <w:color w:val="0071CE"/>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wp:posOffset>
            </wp:positionH>
            <wp:positionV relativeFrom="paragraph">
              <wp:posOffset>-95885</wp:posOffset>
            </wp:positionV>
            <wp:extent cx="5983605" cy="10287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5983605" cy="102870"/>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31"/>
          <w:szCs w:val="31"/>
          <w:color w:val="3E3935"/>
        </w:rPr>
        <w:t>Equity Compensation Plan Information</w:t>
      </w:r>
    </w:p>
    <w:p>
      <w:pPr>
        <w:spacing w:after="0" w:line="166" w:lineRule="exact"/>
        <w:rPr>
          <w:sz w:val="20"/>
          <w:szCs w:val="20"/>
          <w:color w:val="auto"/>
        </w:rPr>
      </w:pPr>
    </w:p>
    <w:p>
      <w:pPr>
        <w:ind w:left="120"/>
        <w:spacing w:after="0" w:line="257" w:lineRule="auto"/>
        <w:rPr>
          <w:sz w:val="20"/>
          <w:szCs w:val="20"/>
          <w:color w:val="auto"/>
        </w:rPr>
      </w:pPr>
      <w:r>
        <w:rPr>
          <w:rFonts w:ascii="Arial" w:cs="Arial" w:eastAsia="Arial" w:hAnsi="Arial"/>
          <w:sz w:val="20"/>
          <w:szCs w:val="20"/>
          <w:color w:val="3E3935"/>
        </w:rPr>
        <w:t>The following table provides information as of December 31, 2022, about the Company’s common stock that may be issued upon the exercise of options, warrants, and rights under all the Company’s equity compensation plans.</w:t>
      </w:r>
    </w:p>
    <w:p>
      <w:pPr>
        <w:spacing w:after="0" w:line="184" w:lineRule="exact"/>
        <w:rPr>
          <w:sz w:val="20"/>
          <w:szCs w:val="20"/>
          <w:color w:val="auto"/>
        </w:rPr>
      </w:pPr>
    </w:p>
    <w:tbl>
      <w:tblPr>
        <w:tblLayout w:type="fixed"/>
        <w:tblInd w:w="120" w:type="dxa"/>
        <w:tblCellMar>
          <w:top w:w="0" w:type="dxa"/>
          <w:left w:w="0" w:type="dxa"/>
          <w:bottom w:w="0" w:type="dxa"/>
          <w:right w:w="0" w:type="dxa"/>
        </w:tblCellMar>
      </w:tblPr>
      <w:tr>
        <w:trPr>
          <w:trHeight w:val="211"/>
        </w:trPr>
        <w:tc>
          <w:tcPr>
            <w:tcW w:w="2180" w:type="dxa"/>
            <w:vAlign w:val="bottom"/>
            <w:tcBorders>
              <w:top w:val="single" w:sz="8" w:color="00C1DE"/>
            </w:tcBorders>
          </w:tcPr>
          <w:p>
            <w:pPr>
              <w:spacing w:after="0"/>
              <w:rPr>
                <w:sz w:val="18"/>
                <w:szCs w:val="18"/>
                <w:color w:val="auto"/>
              </w:rPr>
            </w:pPr>
          </w:p>
        </w:tc>
        <w:tc>
          <w:tcPr>
            <w:tcW w:w="2800" w:type="dxa"/>
            <w:vAlign w:val="bottom"/>
            <w:tcBorders>
              <w:top w:val="single" w:sz="8" w:color="00C1DE"/>
            </w:tcBorders>
          </w:tcPr>
          <w:p>
            <w:pPr>
              <w:spacing w:after="0"/>
              <w:rPr>
                <w:sz w:val="18"/>
                <w:szCs w:val="18"/>
                <w:color w:val="auto"/>
              </w:rPr>
            </w:pPr>
          </w:p>
        </w:tc>
        <w:tc>
          <w:tcPr>
            <w:tcW w:w="3240" w:type="dxa"/>
            <w:vAlign w:val="bottom"/>
            <w:tcBorders>
              <w:top w:val="single" w:sz="8" w:color="00C1DE"/>
            </w:tcBorders>
          </w:tcPr>
          <w:p>
            <w:pPr>
              <w:spacing w:after="0"/>
              <w:rPr>
                <w:sz w:val="18"/>
                <w:szCs w:val="18"/>
                <w:color w:val="auto"/>
              </w:rPr>
            </w:pPr>
          </w:p>
        </w:tc>
        <w:tc>
          <w:tcPr>
            <w:tcW w:w="2800" w:type="dxa"/>
            <w:vAlign w:val="bottom"/>
            <w:tcBorders>
              <w:top w:val="single" w:sz="8" w:color="00C1DE"/>
            </w:tcBorders>
          </w:tcPr>
          <w:p>
            <w:pPr>
              <w:jc w:val="right"/>
              <w:ind w:right="71"/>
              <w:spacing w:after="0"/>
              <w:rPr>
                <w:sz w:val="20"/>
                <w:szCs w:val="20"/>
                <w:color w:val="auto"/>
              </w:rPr>
            </w:pPr>
            <w:r>
              <w:rPr>
                <w:rFonts w:ascii="Arial" w:cs="Arial" w:eastAsia="Arial" w:hAnsi="Arial"/>
                <w:sz w:val="18"/>
                <w:szCs w:val="18"/>
                <w:b w:val="1"/>
                <w:bCs w:val="1"/>
                <w:color w:val="00C1DE"/>
              </w:rPr>
              <w:t>Number of Securities</w:t>
            </w:r>
          </w:p>
        </w:tc>
        <w:tc>
          <w:tcPr>
            <w:tcW w:w="0" w:type="dxa"/>
            <w:vAlign w:val="bottom"/>
          </w:tcPr>
          <w:p>
            <w:pPr>
              <w:spacing w:after="0"/>
              <w:rPr>
                <w:sz w:val="1"/>
                <w:szCs w:val="1"/>
                <w:color w:val="auto"/>
              </w:rPr>
            </w:pPr>
          </w:p>
        </w:tc>
      </w:tr>
      <w:tr>
        <w:trPr>
          <w:trHeight w:val="203"/>
        </w:trPr>
        <w:tc>
          <w:tcPr>
            <w:tcW w:w="2180" w:type="dxa"/>
            <w:vAlign w:val="bottom"/>
          </w:tcPr>
          <w:p>
            <w:pPr>
              <w:spacing w:after="0"/>
              <w:rPr>
                <w:sz w:val="17"/>
                <w:szCs w:val="17"/>
                <w:color w:val="auto"/>
              </w:rPr>
            </w:pPr>
          </w:p>
        </w:tc>
        <w:tc>
          <w:tcPr>
            <w:tcW w:w="2800" w:type="dxa"/>
            <w:vAlign w:val="bottom"/>
          </w:tcPr>
          <w:p>
            <w:pPr>
              <w:spacing w:after="0"/>
              <w:rPr>
                <w:sz w:val="17"/>
                <w:szCs w:val="17"/>
                <w:color w:val="auto"/>
              </w:rPr>
            </w:pPr>
          </w:p>
        </w:tc>
        <w:tc>
          <w:tcPr>
            <w:tcW w:w="3240" w:type="dxa"/>
            <w:vAlign w:val="bottom"/>
          </w:tcPr>
          <w:p>
            <w:pPr>
              <w:spacing w:after="0"/>
              <w:rPr>
                <w:sz w:val="17"/>
                <w:szCs w:val="17"/>
                <w:color w:val="auto"/>
              </w:rPr>
            </w:pPr>
          </w:p>
        </w:tc>
        <w:tc>
          <w:tcPr>
            <w:tcW w:w="2800" w:type="dxa"/>
            <w:vAlign w:val="bottom"/>
          </w:tcPr>
          <w:p>
            <w:pPr>
              <w:jc w:val="right"/>
              <w:ind w:right="71"/>
              <w:spacing w:after="0" w:line="202" w:lineRule="exact"/>
              <w:rPr>
                <w:sz w:val="20"/>
                <w:szCs w:val="20"/>
                <w:color w:val="auto"/>
              </w:rPr>
            </w:pPr>
            <w:r>
              <w:rPr>
                <w:rFonts w:ascii="Arial" w:cs="Arial" w:eastAsia="Arial" w:hAnsi="Arial"/>
                <w:sz w:val="18"/>
                <w:szCs w:val="18"/>
                <w:b w:val="1"/>
                <w:bCs w:val="1"/>
                <w:color w:val="00C1DE"/>
              </w:rPr>
              <w:t>Remaining Available for</w:t>
            </w:r>
          </w:p>
        </w:tc>
        <w:tc>
          <w:tcPr>
            <w:tcW w:w="0" w:type="dxa"/>
            <w:vAlign w:val="bottom"/>
          </w:tcPr>
          <w:p>
            <w:pPr>
              <w:spacing w:after="0"/>
              <w:rPr>
                <w:sz w:val="1"/>
                <w:szCs w:val="1"/>
                <w:color w:val="auto"/>
              </w:rPr>
            </w:pPr>
          </w:p>
        </w:tc>
      </w:tr>
      <w:tr>
        <w:trPr>
          <w:trHeight w:val="203"/>
        </w:trPr>
        <w:tc>
          <w:tcPr>
            <w:tcW w:w="2180" w:type="dxa"/>
            <w:vAlign w:val="bottom"/>
          </w:tcPr>
          <w:p>
            <w:pPr>
              <w:spacing w:after="0"/>
              <w:rPr>
                <w:sz w:val="17"/>
                <w:szCs w:val="17"/>
                <w:color w:val="auto"/>
              </w:rPr>
            </w:pPr>
          </w:p>
        </w:tc>
        <w:tc>
          <w:tcPr>
            <w:tcW w:w="2800" w:type="dxa"/>
            <w:vAlign w:val="bottom"/>
          </w:tcPr>
          <w:p>
            <w:pPr>
              <w:jc w:val="right"/>
              <w:ind w:right="247"/>
              <w:spacing w:after="0" w:line="202" w:lineRule="exact"/>
              <w:rPr>
                <w:sz w:val="20"/>
                <w:szCs w:val="20"/>
                <w:color w:val="auto"/>
              </w:rPr>
            </w:pPr>
            <w:r>
              <w:rPr>
                <w:rFonts w:ascii="Arial" w:cs="Arial" w:eastAsia="Arial" w:hAnsi="Arial"/>
                <w:sz w:val="18"/>
                <w:szCs w:val="18"/>
                <w:b w:val="1"/>
                <w:bCs w:val="1"/>
                <w:color w:val="00C1DE"/>
              </w:rPr>
              <w:t>Number of Securities to</w:t>
            </w:r>
          </w:p>
        </w:tc>
        <w:tc>
          <w:tcPr>
            <w:tcW w:w="3240" w:type="dxa"/>
            <w:vAlign w:val="bottom"/>
            <w:vMerge w:val="restart"/>
          </w:tcPr>
          <w:p>
            <w:pPr>
              <w:jc w:val="right"/>
              <w:ind w:right="246"/>
              <w:spacing w:after="0"/>
              <w:rPr>
                <w:sz w:val="20"/>
                <w:szCs w:val="20"/>
                <w:color w:val="auto"/>
              </w:rPr>
            </w:pPr>
            <w:r>
              <w:rPr>
                <w:rFonts w:ascii="Arial" w:cs="Arial" w:eastAsia="Arial" w:hAnsi="Arial"/>
                <w:sz w:val="18"/>
                <w:szCs w:val="18"/>
                <w:b w:val="1"/>
                <w:bCs w:val="1"/>
                <w:color w:val="00C1DE"/>
              </w:rPr>
              <w:t>Weighted-Average Exercise</w:t>
            </w:r>
          </w:p>
        </w:tc>
        <w:tc>
          <w:tcPr>
            <w:tcW w:w="2800" w:type="dxa"/>
            <w:vAlign w:val="bottom"/>
          </w:tcPr>
          <w:p>
            <w:pPr>
              <w:jc w:val="right"/>
              <w:ind w:right="71"/>
              <w:spacing w:after="0" w:line="202" w:lineRule="exact"/>
              <w:rPr>
                <w:sz w:val="20"/>
                <w:szCs w:val="20"/>
                <w:color w:val="auto"/>
              </w:rPr>
            </w:pPr>
            <w:r>
              <w:rPr>
                <w:rFonts w:ascii="Arial" w:cs="Arial" w:eastAsia="Arial" w:hAnsi="Arial"/>
                <w:sz w:val="18"/>
                <w:szCs w:val="18"/>
                <w:b w:val="1"/>
                <w:bCs w:val="1"/>
                <w:color w:val="00C1DE"/>
              </w:rPr>
              <w:t>Future Issuance Under</w:t>
            </w:r>
          </w:p>
        </w:tc>
        <w:tc>
          <w:tcPr>
            <w:tcW w:w="0" w:type="dxa"/>
            <w:vAlign w:val="bottom"/>
          </w:tcPr>
          <w:p>
            <w:pPr>
              <w:spacing w:after="0"/>
              <w:rPr>
                <w:sz w:val="1"/>
                <w:szCs w:val="1"/>
                <w:color w:val="auto"/>
              </w:rPr>
            </w:pPr>
          </w:p>
        </w:tc>
      </w:tr>
      <w:tr>
        <w:trPr>
          <w:trHeight w:val="189"/>
        </w:trPr>
        <w:tc>
          <w:tcPr>
            <w:tcW w:w="2180" w:type="dxa"/>
            <w:vAlign w:val="bottom"/>
          </w:tcPr>
          <w:p>
            <w:pPr>
              <w:spacing w:after="0"/>
              <w:rPr>
                <w:sz w:val="16"/>
                <w:szCs w:val="16"/>
                <w:color w:val="auto"/>
              </w:rPr>
            </w:pPr>
          </w:p>
        </w:tc>
        <w:tc>
          <w:tcPr>
            <w:tcW w:w="2800" w:type="dxa"/>
            <w:vAlign w:val="bottom"/>
          </w:tcPr>
          <w:p>
            <w:pPr>
              <w:jc w:val="right"/>
              <w:ind w:right="247"/>
              <w:spacing w:after="0" w:line="189" w:lineRule="exact"/>
              <w:rPr>
                <w:sz w:val="20"/>
                <w:szCs w:val="20"/>
                <w:color w:val="auto"/>
              </w:rPr>
            </w:pPr>
            <w:r>
              <w:rPr>
                <w:rFonts w:ascii="Arial" w:cs="Arial" w:eastAsia="Arial" w:hAnsi="Arial"/>
                <w:sz w:val="18"/>
                <w:szCs w:val="18"/>
                <w:b w:val="1"/>
                <w:bCs w:val="1"/>
                <w:color w:val="00C1DE"/>
              </w:rPr>
              <w:t>be Issued Upon Exercise</w:t>
            </w:r>
          </w:p>
        </w:tc>
        <w:tc>
          <w:tcPr>
            <w:tcW w:w="3240" w:type="dxa"/>
            <w:vAlign w:val="bottom"/>
            <w:vMerge w:val="continue"/>
          </w:tcPr>
          <w:p>
            <w:pPr>
              <w:spacing w:after="0"/>
              <w:rPr>
                <w:sz w:val="16"/>
                <w:szCs w:val="16"/>
                <w:color w:val="auto"/>
              </w:rPr>
            </w:pPr>
          </w:p>
        </w:tc>
        <w:tc>
          <w:tcPr>
            <w:tcW w:w="2800" w:type="dxa"/>
            <w:vAlign w:val="bottom"/>
          </w:tcPr>
          <w:p>
            <w:pPr>
              <w:jc w:val="right"/>
              <w:ind w:right="71"/>
              <w:spacing w:after="0" w:line="189" w:lineRule="exact"/>
              <w:rPr>
                <w:sz w:val="20"/>
                <w:szCs w:val="20"/>
                <w:color w:val="auto"/>
              </w:rPr>
            </w:pPr>
            <w:r>
              <w:rPr>
                <w:rFonts w:ascii="Arial" w:cs="Arial" w:eastAsia="Arial" w:hAnsi="Arial"/>
                <w:sz w:val="18"/>
                <w:szCs w:val="18"/>
                <w:b w:val="1"/>
                <w:bCs w:val="1"/>
                <w:color w:val="00C1DE"/>
              </w:rPr>
              <w:t>Equity Compensation Plan</w:t>
            </w:r>
          </w:p>
        </w:tc>
        <w:tc>
          <w:tcPr>
            <w:tcW w:w="0" w:type="dxa"/>
            <w:vAlign w:val="bottom"/>
          </w:tcPr>
          <w:p>
            <w:pPr>
              <w:spacing w:after="0"/>
              <w:rPr>
                <w:sz w:val="1"/>
                <w:szCs w:val="1"/>
                <w:color w:val="auto"/>
              </w:rPr>
            </w:pPr>
          </w:p>
        </w:tc>
      </w:tr>
      <w:tr>
        <w:trPr>
          <w:trHeight w:val="203"/>
        </w:trPr>
        <w:tc>
          <w:tcPr>
            <w:tcW w:w="2180" w:type="dxa"/>
            <w:vAlign w:val="bottom"/>
          </w:tcPr>
          <w:p>
            <w:pPr>
              <w:spacing w:after="0"/>
              <w:rPr>
                <w:sz w:val="17"/>
                <w:szCs w:val="17"/>
                <w:color w:val="auto"/>
              </w:rPr>
            </w:pPr>
          </w:p>
        </w:tc>
        <w:tc>
          <w:tcPr>
            <w:tcW w:w="2800" w:type="dxa"/>
            <w:vAlign w:val="bottom"/>
          </w:tcPr>
          <w:p>
            <w:pPr>
              <w:jc w:val="right"/>
              <w:ind w:right="247"/>
              <w:spacing w:after="0" w:line="202" w:lineRule="exact"/>
              <w:rPr>
                <w:sz w:val="20"/>
                <w:szCs w:val="20"/>
                <w:color w:val="auto"/>
              </w:rPr>
            </w:pPr>
            <w:r>
              <w:rPr>
                <w:rFonts w:ascii="Arial" w:cs="Arial" w:eastAsia="Arial" w:hAnsi="Arial"/>
                <w:sz w:val="18"/>
                <w:szCs w:val="18"/>
                <w:b w:val="1"/>
                <w:bCs w:val="1"/>
                <w:color w:val="00C1DE"/>
              </w:rPr>
              <w:t>of Outstanding Options,</w:t>
            </w:r>
          </w:p>
        </w:tc>
        <w:tc>
          <w:tcPr>
            <w:tcW w:w="3240" w:type="dxa"/>
            <w:vAlign w:val="bottom"/>
          </w:tcPr>
          <w:p>
            <w:pPr>
              <w:jc w:val="right"/>
              <w:ind w:right="246"/>
              <w:spacing w:after="0" w:line="202" w:lineRule="exact"/>
              <w:rPr>
                <w:sz w:val="20"/>
                <w:szCs w:val="20"/>
                <w:color w:val="auto"/>
              </w:rPr>
            </w:pPr>
            <w:r>
              <w:rPr>
                <w:rFonts w:ascii="Arial" w:cs="Arial" w:eastAsia="Arial" w:hAnsi="Arial"/>
                <w:sz w:val="18"/>
                <w:szCs w:val="18"/>
                <w:b w:val="1"/>
                <w:bCs w:val="1"/>
                <w:color w:val="00C1DE"/>
              </w:rPr>
              <w:t>Price of Outstanding Options,</w:t>
            </w:r>
          </w:p>
        </w:tc>
        <w:tc>
          <w:tcPr>
            <w:tcW w:w="2800" w:type="dxa"/>
            <w:vAlign w:val="bottom"/>
          </w:tcPr>
          <w:p>
            <w:pPr>
              <w:jc w:val="right"/>
              <w:ind w:right="71"/>
              <w:spacing w:after="0" w:line="202" w:lineRule="exact"/>
              <w:rPr>
                <w:sz w:val="20"/>
                <w:szCs w:val="20"/>
                <w:color w:val="auto"/>
              </w:rPr>
            </w:pPr>
            <w:r>
              <w:rPr>
                <w:rFonts w:ascii="Arial" w:cs="Arial" w:eastAsia="Arial" w:hAnsi="Arial"/>
                <w:sz w:val="18"/>
                <w:szCs w:val="18"/>
                <w:b w:val="1"/>
                <w:bCs w:val="1"/>
                <w:color w:val="00C1DE"/>
              </w:rPr>
              <w:t>(excluding securities</w:t>
            </w:r>
          </w:p>
        </w:tc>
        <w:tc>
          <w:tcPr>
            <w:tcW w:w="0" w:type="dxa"/>
            <w:vAlign w:val="bottom"/>
          </w:tcPr>
          <w:p>
            <w:pPr>
              <w:spacing w:after="0"/>
              <w:rPr>
                <w:sz w:val="1"/>
                <w:szCs w:val="1"/>
                <w:color w:val="auto"/>
              </w:rPr>
            </w:pPr>
          </w:p>
        </w:tc>
      </w:tr>
      <w:tr>
        <w:trPr>
          <w:trHeight w:val="203"/>
        </w:trPr>
        <w:tc>
          <w:tcPr>
            <w:tcW w:w="2180" w:type="dxa"/>
            <w:vAlign w:val="bottom"/>
          </w:tcPr>
          <w:p>
            <w:pPr>
              <w:spacing w:after="0"/>
              <w:rPr>
                <w:sz w:val="17"/>
                <w:szCs w:val="17"/>
                <w:color w:val="auto"/>
              </w:rPr>
            </w:pPr>
          </w:p>
        </w:tc>
        <w:tc>
          <w:tcPr>
            <w:tcW w:w="2800" w:type="dxa"/>
            <w:vAlign w:val="bottom"/>
          </w:tcPr>
          <w:p>
            <w:pPr>
              <w:jc w:val="right"/>
              <w:ind w:right="247"/>
              <w:spacing w:after="0" w:line="202" w:lineRule="exact"/>
              <w:rPr>
                <w:sz w:val="20"/>
                <w:szCs w:val="20"/>
                <w:color w:val="auto"/>
              </w:rPr>
            </w:pPr>
            <w:r>
              <w:rPr>
                <w:rFonts w:ascii="Arial" w:cs="Arial" w:eastAsia="Arial" w:hAnsi="Arial"/>
                <w:sz w:val="18"/>
                <w:szCs w:val="18"/>
                <w:b w:val="1"/>
                <w:bCs w:val="1"/>
                <w:color w:val="00C1DE"/>
              </w:rPr>
              <w:t>Warrants, and Rights</w:t>
            </w:r>
          </w:p>
        </w:tc>
        <w:tc>
          <w:tcPr>
            <w:tcW w:w="3240" w:type="dxa"/>
            <w:vAlign w:val="bottom"/>
          </w:tcPr>
          <w:p>
            <w:pPr>
              <w:jc w:val="right"/>
              <w:ind w:right="246"/>
              <w:spacing w:after="0" w:line="202" w:lineRule="exact"/>
              <w:rPr>
                <w:sz w:val="20"/>
                <w:szCs w:val="20"/>
                <w:color w:val="auto"/>
              </w:rPr>
            </w:pPr>
            <w:r>
              <w:rPr>
                <w:rFonts w:ascii="Arial" w:cs="Arial" w:eastAsia="Arial" w:hAnsi="Arial"/>
                <w:sz w:val="18"/>
                <w:szCs w:val="18"/>
                <w:b w:val="1"/>
                <w:bCs w:val="1"/>
                <w:color w:val="00C1DE"/>
              </w:rPr>
              <w:t>Warrants, and Rights</w:t>
            </w:r>
          </w:p>
        </w:tc>
        <w:tc>
          <w:tcPr>
            <w:tcW w:w="2800" w:type="dxa"/>
            <w:vAlign w:val="bottom"/>
          </w:tcPr>
          <w:p>
            <w:pPr>
              <w:jc w:val="right"/>
              <w:ind w:right="71"/>
              <w:spacing w:after="0" w:line="202" w:lineRule="exact"/>
              <w:rPr>
                <w:sz w:val="20"/>
                <w:szCs w:val="20"/>
                <w:color w:val="auto"/>
              </w:rPr>
            </w:pPr>
            <w:r>
              <w:rPr>
                <w:rFonts w:ascii="Arial" w:cs="Arial" w:eastAsia="Arial" w:hAnsi="Arial"/>
                <w:sz w:val="18"/>
                <w:szCs w:val="18"/>
                <w:b w:val="1"/>
                <w:bCs w:val="1"/>
                <w:color w:val="00C1DE"/>
              </w:rPr>
              <w:t>reflected in column (A))</w:t>
            </w:r>
          </w:p>
        </w:tc>
        <w:tc>
          <w:tcPr>
            <w:tcW w:w="0" w:type="dxa"/>
            <w:vAlign w:val="bottom"/>
          </w:tcPr>
          <w:p>
            <w:pPr>
              <w:spacing w:after="0"/>
              <w:rPr>
                <w:sz w:val="1"/>
                <w:szCs w:val="1"/>
                <w:color w:val="auto"/>
              </w:rPr>
            </w:pPr>
          </w:p>
        </w:tc>
      </w:tr>
      <w:tr>
        <w:trPr>
          <w:trHeight w:val="261"/>
        </w:trPr>
        <w:tc>
          <w:tcPr>
            <w:tcW w:w="2180" w:type="dxa"/>
            <w:vAlign w:val="bottom"/>
            <w:tcBorders>
              <w:bottom w:val="single" w:sz="8" w:color="00C1DE"/>
            </w:tcBorders>
          </w:tcPr>
          <w:p>
            <w:pPr>
              <w:ind w:left="100"/>
              <w:spacing w:after="0"/>
              <w:rPr>
                <w:sz w:val="20"/>
                <w:szCs w:val="20"/>
                <w:color w:val="auto"/>
              </w:rPr>
            </w:pPr>
            <w:r>
              <w:rPr>
                <w:rFonts w:ascii="Arial" w:cs="Arial" w:eastAsia="Arial" w:hAnsi="Arial"/>
                <w:sz w:val="18"/>
                <w:szCs w:val="18"/>
                <w:b w:val="1"/>
                <w:bCs w:val="1"/>
                <w:color w:val="00C1DE"/>
              </w:rPr>
              <w:t>Plan Category</w:t>
            </w:r>
          </w:p>
        </w:tc>
        <w:tc>
          <w:tcPr>
            <w:tcW w:w="2800" w:type="dxa"/>
            <w:vAlign w:val="bottom"/>
            <w:tcBorders>
              <w:bottom w:val="single" w:sz="8" w:color="00C1DE"/>
            </w:tcBorders>
          </w:tcPr>
          <w:p>
            <w:pPr>
              <w:jc w:val="right"/>
              <w:ind w:right="247"/>
              <w:spacing w:after="0"/>
              <w:rPr>
                <w:sz w:val="20"/>
                <w:szCs w:val="20"/>
                <w:color w:val="auto"/>
              </w:rPr>
            </w:pPr>
            <w:r>
              <w:rPr>
                <w:rFonts w:ascii="Arial" w:cs="Arial" w:eastAsia="Arial" w:hAnsi="Arial"/>
                <w:sz w:val="18"/>
                <w:szCs w:val="18"/>
                <w:b w:val="1"/>
                <w:bCs w:val="1"/>
                <w:color w:val="00C1DE"/>
              </w:rPr>
              <w:t>(A)</w:t>
            </w:r>
          </w:p>
        </w:tc>
        <w:tc>
          <w:tcPr>
            <w:tcW w:w="3240" w:type="dxa"/>
            <w:vAlign w:val="bottom"/>
            <w:tcBorders>
              <w:bottom w:val="single" w:sz="8" w:color="00C1DE"/>
            </w:tcBorders>
          </w:tcPr>
          <w:p>
            <w:pPr>
              <w:jc w:val="right"/>
              <w:ind w:right="246"/>
              <w:spacing w:after="0"/>
              <w:rPr>
                <w:sz w:val="20"/>
                <w:szCs w:val="20"/>
                <w:color w:val="auto"/>
              </w:rPr>
            </w:pPr>
            <w:r>
              <w:rPr>
                <w:rFonts w:ascii="Arial" w:cs="Arial" w:eastAsia="Arial" w:hAnsi="Arial"/>
                <w:sz w:val="18"/>
                <w:szCs w:val="18"/>
                <w:b w:val="1"/>
                <w:bCs w:val="1"/>
                <w:color w:val="00C1DE"/>
              </w:rPr>
              <w:t>(B)</w:t>
            </w:r>
          </w:p>
        </w:tc>
        <w:tc>
          <w:tcPr>
            <w:tcW w:w="2800" w:type="dxa"/>
            <w:vAlign w:val="bottom"/>
            <w:tcBorders>
              <w:bottom w:val="single" w:sz="8" w:color="00C1DE"/>
            </w:tcBorders>
          </w:tcPr>
          <w:p>
            <w:pPr>
              <w:jc w:val="right"/>
              <w:ind w:right="71"/>
              <w:spacing w:after="0"/>
              <w:rPr>
                <w:sz w:val="20"/>
                <w:szCs w:val="20"/>
                <w:color w:val="auto"/>
              </w:rPr>
            </w:pPr>
            <w:r>
              <w:rPr>
                <w:rFonts w:ascii="Arial" w:cs="Arial" w:eastAsia="Arial" w:hAnsi="Arial"/>
                <w:sz w:val="18"/>
                <w:szCs w:val="18"/>
                <w:b w:val="1"/>
                <w:bCs w:val="1"/>
                <w:color w:val="00C1DE"/>
              </w:rPr>
              <w:t>(C)</w:t>
            </w:r>
          </w:p>
        </w:tc>
        <w:tc>
          <w:tcPr>
            <w:tcW w:w="0" w:type="dxa"/>
            <w:vAlign w:val="bottom"/>
          </w:tcPr>
          <w:p>
            <w:pPr>
              <w:spacing w:after="0"/>
              <w:rPr>
                <w:sz w:val="1"/>
                <w:szCs w:val="1"/>
                <w:color w:val="auto"/>
              </w:rPr>
            </w:pPr>
          </w:p>
        </w:tc>
      </w:tr>
      <w:tr>
        <w:trPr>
          <w:trHeight w:val="256"/>
        </w:trPr>
        <w:tc>
          <w:tcPr>
            <w:tcW w:w="2180" w:type="dxa"/>
            <w:vAlign w:val="bottom"/>
          </w:tcPr>
          <w:p>
            <w:pPr>
              <w:ind w:left="80"/>
              <w:spacing w:after="0"/>
              <w:rPr>
                <w:sz w:val="20"/>
                <w:szCs w:val="20"/>
                <w:color w:val="auto"/>
              </w:rPr>
            </w:pPr>
            <w:r>
              <w:rPr>
                <w:rFonts w:ascii="Arial" w:cs="Arial" w:eastAsia="Arial" w:hAnsi="Arial"/>
                <w:sz w:val="20"/>
                <w:szCs w:val="20"/>
                <w:color w:val="3E3935"/>
              </w:rPr>
              <w:t>Equity</w:t>
            </w:r>
          </w:p>
        </w:tc>
        <w:tc>
          <w:tcPr>
            <w:tcW w:w="2800" w:type="dxa"/>
            <w:vAlign w:val="bottom"/>
          </w:tcPr>
          <w:p>
            <w:pPr>
              <w:spacing w:after="0"/>
              <w:rPr>
                <w:sz w:val="22"/>
                <w:szCs w:val="22"/>
                <w:color w:val="auto"/>
              </w:rPr>
            </w:pPr>
          </w:p>
        </w:tc>
        <w:tc>
          <w:tcPr>
            <w:tcW w:w="3240" w:type="dxa"/>
            <w:vAlign w:val="bottom"/>
          </w:tcPr>
          <w:p>
            <w:pPr>
              <w:spacing w:after="0"/>
              <w:rPr>
                <w:sz w:val="22"/>
                <w:szCs w:val="22"/>
                <w:color w:val="auto"/>
              </w:rPr>
            </w:pPr>
          </w:p>
        </w:tc>
        <w:tc>
          <w:tcPr>
            <w:tcW w:w="28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180" w:type="dxa"/>
            <w:vAlign w:val="bottom"/>
          </w:tcPr>
          <w:p>
            <w:pPr>
              <w:ind w:left="80"/>
              <w:spacing w:after="0" w:line="216" w:lineRule="exact"/>
              <w:rPr>
                <w:sz w:val="20"/>
                <w:szCs w:val="20"/>
                <w:color w:val="auto"/>
              </w:rPr>
            </w:pPr>
            <w:r>
              <w:rPr>
                <w:rFonts w:ascii="Arial" w:cs="Arial" w:eastAsia="Arial" w:hAnsi="Arial"/>
                <w:sz w:val="20"/>
                <w:szCs w:val="20"/>
                <w:color w:val="3E3935"/>
              </w:rPr>
              <w:t>compensation plans</w:t>
            </w:r>
          </w:p>
        </w:tc>
        <w:tc>
          <w:tcPr>
            <w:tcW w:w="280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80" w:type="dxa"/>
            <w:vAlign w:val="bottom"/>
          </w:tcPr>
          <w:p>
            <w:pPr>
              <w:ind w:left="80"/>
              <w:spacing w:after="0" w:line="216" w:lineRule="exact"/>
              <w:rPr>
                <w:sz w:val="20"/>
                <w:szCs w:val="20"/>
                <w:color w:val="auto"/>
              </w:rPr>
            </w:pPr>
            <w:r>
              <w:rPr>
                <w:rFonts w:ascii="Arial" w:cs="Arial" w:eastAsia="Arial" w:hAnsi="Arial"/>
                <w:sz w:val="20"/>
                <w:szCs w:val="20"/>
                <w:color w:val="3E3935"/>
              </w:rPr>
              <w:t>approved by</w:t>
            </w:r>
          </w:p>
        </w:tc>
        <w:tc>
          <w:tcPr>
            <w:tcW w:w="280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9"/>
        </w:trPr>
        <w:tc>
          <w:tcPr>
            <w:tcW w:w="2180" w:type="dxa"/>
            <w:vAlign w:val="bottom"/>
            <w:tcBorders>
              <w:bottom w:val="single" w:sz="8" w:color="3E3935"/>
            </w:tcBorders>
          </w:tcPr>
          <w:p>
            <w:pPr>
              <w:ind w:left="80"/>
              <w:spacing w:after="0"/>
              <w:rPr>
                <w:sz w:val="20"/>
                <w:szCs w:val="20"/>
                <w:color w:val="auto"/>
              </w:rPr>
            </w:pPr>
            <w:r>
              <w:rPr>
                <w:rFonts w:ascii="Arial" w:cs="Arial" w:eastAsia="Arial" w:hAnsi="Arial"/>
                <w:sz w:val="20"/>
                <w:szCs w:val="20"/>
                <w:color w:val="3E3935"/>
              </w:rPr>
              <w:t>security holders</w:t>
            </w:r>
          </w:p>
        </w:tc>
        <w:tc>
          <w:tcPr>
            <w:tcW w:w="2800" w:type="dxa"/>
            <w:vAlign w:val="bottom"/>
            <w:tcBorders>
              <w:bottom w:val="single" w:sz="8" w:color="3E3935"/>
            </w:tcBorders>
          </w:tcPr>
          <w:p>
            <w:pPr>
              <w:jc w:val="right"/>
              <w:ind w:right="247"/>
              <w:spacing w:after="0"/>
              <w:rPr>
                <w:sz w:val="20"/>
                <w:szCs w:val="20"/>
                <w:color w:val="auto"/>
              </w:rPr>
            </w:pPr>
            <w:r>
              <w:rPr>
                <w:rFonts w:ascii="Arial" w:cs="Arial" w:eastAsia="Arial" w:hAnsi="Arial"/>
                <w:sz w:val="20"/>
                <w:szCs w:val="20"/>
                <w:color w:val="3E3935"/>
              </w:rPr>
              <w:t>34,117,956</w:t>
            </w:r>
            <w:r>
              <w:rPr>
                <w:rFonts w:ascii="Arial" w:cs="Arial" w:eastAsia="Arial" w:hAnsi="Arial"/>
                <w:sz w:val="24"/>
                <w:szCs w:val="24"/>
                <w:color w:val="3E3935"/>
                <w:vertAlign w:val="superscript"/>
              </w:rPr>
              <w:t>(1)</w:t>
            </w:r>
          </w:p>
        </w:tc>
        <w:tc>
          <w:tcPr>
            <w:tcW w:w="3240" w:type="dxa"/>
            <w:vAlign w:val="bottom"/>
            <w:tcBorders>
              <w:bottom w:val="single" w:sz="8" w:color="3E3935"/>
            </w:tcBorders>
          </w:tcPr>
          <w:p>
            <w:pPr>
              <w:jc w:val="right"/>
              <w:ind w:right="246"/>
              <w:spacing w:after="0"/>
              <w:rPr>
                <w:sz w:val="20"/>
                <w:szCs w:val="20"/>
                <w:color w:val="auto"/>
              </w:rPr>
            </w:pPr>
            <w:r>
              <w:rPr>
                <w:rFonts w:ascii="Arial" w:cs="Arial" w:eastAsia="Arial" w:hAnsi="Arial"/>
                <w:sz w:val="20"/>
                <w:szCs w:val="20"/>
                <w:color w:val="3E3935"/>
              </w:rPr>
              <w:t>$39.46</w:t>
            </w:r>
          </w:p>
        </w:tc>
        <w:tc>
          <w:tcPr>
            <w:tcW w:w="2800" w:type="dxa"/>
            <w:vAlign w:val="bottom"/>
            <w:tcBorders>
              <w:bottom w:val="single" w:sz="8" w:color="3E3935"/>
            </w:tcBorders>
          </w:tcPr>
          <w:p>
            <w:pPr>
              <w:jc w:val="right"/>
              <w:spacing w:after="0"/>
              <w:rPr>
                <w:sz w:val="20"/>
                <w:szCs w:val="20"/>
                <w:color w:val="auto"/>
              </w:rPr>
            </w:pPr>
            <w:r>
              <w:rPr>
                <w:rFonts w:ascii="Arial" w:cs="Arial" w:eastAsia="Arial" w:hAnsi="Arial"/>
                <w:sz w:val="20"/>
                <w:szCs w:val="20"/>
                <w:color w:val="3E3935"/>
              </w:rPr>
              <w:t>37,273,501</w:t>
            </w:r>
            <w:r>
              <w:rPr>
                <w:rFonts w:ascii="Arial" w:cs="Arial" w:eastAsia="Arial" w:hAnsi="Arial"/>
                <w:sz w:val="24"/>
                <w:szCs w:val="24"/>
                <w:color w:val="3E3935"/>
                <w:vertAlign w:val="superscript"/>
              </w:rPr>
              <w:t>(3)</w:t>
            </w:r>
          </w:p>
        </w:tc>
        <w:tc>
          <w:tcPr>
            <w:tcW w:w="0" w:type="dxa"/>
            <w:vAlign w:val="bottom"/>
          </w:tcPr>
          <w:p>
            <w:pPr>
              <w:spacing w:after="0"/>
              <w:rPr>
                <w:sz w:val="1"/>
                <w:szCs w:val="1"/>
                <w:color w:val="auto"/>
              </w:rPr>
            </w:pPr>
          </w:p>
        </w:tc>
      </w:tr>
      <w:tr>
        <w:trPr>
          <w:trHeight w:val="255"/>
        </w:trPr>
        <w:tc>
          <w:tcPr>
            <w:tcW w:w="2180" w:type="dxa"/>
            <w:vAlign w:val="bottom"/>
          </w:tcPr>
          <w:p>
            <w:pPr>
              <w:ind w:left="80"/>
              <w:spacing w:after="0"/>
              <w:rPr>
                <w:sz w:val="20"/>
                <w:szCs w:val="20"/>
                <w:color w:val="auto"/>
              </w:rPr>
            </w:pPr>
            <w:r>
              <w:rPr>
                <w:rFonts w:ascii="Arial" w:cs="Arial" w:eastAsia="Arial" w:hAnsi="Arial"/>
                <w:sz w:val="20"/>
                <w:szCs w:val="20"/>
                <w:color w:val="3E3935"/>
              </w:rPr>
              <w:t>Equity</w:t>
            </w:r>
          </w:p>
        </w:tc>
        <w:tc>
          <w:tcPr>
            <w:tcW w:w="2800" w:type="dxa"/>
            <w:vAlign w:val="bottom"/>
          </w:tcPr>
          <w:p>
            <w:pPr>
              <w:spacing w:after="0"/>
              <w:rPr>
                <w:sz w:val="22"/>
                <w:szCs w:val="22"/>
                <w:color w:val="auto"/>
              </w:rPr>
            </w:pPr>
          </w:p>
        </w:tc>
        <w:tc>
          <w:tcPr>
            <w:tcW w:w="3240" w:type="dxa"/>
            <w:vAlign w:val="bottom"/>
          </w:tcPr>
          <w:p>
            <w:pPr>
              <w:spacing w:after="0"/>
              <w:rPr>
                <w:sz w:val="22"/>
                <w:szCs w:val="22"/>
                <w:color w:val="auto"/>
              </w:rPr>
            </w:pPr>
          </w:p>
        </w:tc>
        <w:tc>
          <w:tcPr>
            <w:tcW w:w="28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180" w:type="dxa"/>
            <w:vAlign w:val="bottom"/>
          </w:tcPr>
          <w:p>
            <w:pPr>
              <w:ind w:left="80"/>
              <w:spacing w:after="0" w:line="216" w:lineRule="exact"/>
              <w:rPr>
                <w:sz w:val="20"/>
                <w:szCs w:val="20"/>
                <w:color w:val="auto"/>
              </w:rPr>
            </w:pPr>
            <w:r>
              <w:rPr>
                <w:rFonts w:ascii="Arial" w:cs="Arial" w:eastAsia="Arial" w:hAnsi="Arial"/>
                <w:sz w:val="20"/>
                <w:szCs w:val="20"/>
                <w:color w:val="3E3935"/>
              </w:rPr>
              <w:t>compensation plans</w:t>
            </w:r>
          </w:p>
        </w:tc>
        <w:tc>
          <w:tcPr>
            <w:tcW w:w="280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80" w:type="dxa"/>
            <w:vAlign w:val="bottom"/>
          </w:tcPr>
          <w:p>
            <w:pPr>
              <w:ind w:left="80"/>
              <w:spacing w:after="0" w:line="216" w:lineRule="exact"/>
              <w:rPr>
                <w:sz w:val="20"/>
                <w:szCs w:val="20"/>
                <w:color w:val="auto"/>
              </w:rPr>
            </w:pPr>
            <w:r>
              <w:rPr>
                <w:rFonts w:ascii="Arial" w:cs="Arial" w:eastAsia="Arial" w:hAnsi="Arial"/>
                <w:sz w:val="20"/>
                <w:szCs w:val="20"/>
                <w:color w:val="3E3935"/>
              </w:rPr>
              <w:t>not approved by</w:t>
            </w:r>
          </w:p>
        </w:tc>
        <w:tc>
          <w:tcPr>
            <w:tcW w:w="280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9"/>
        </w:trPr>
        <w:tc>
          <w:tcPr>
            <w:tcW w:w="2180" w:type="dxa"/>
            <w:vAlign w:val="bottom"/>
            <w:tcBorders>
              <w:bottom w:val="single" w:sz="8" w:color="3E3935"/>
            </w:tcBorders>
          </w:tcPr>
          <w:p>
            <w:pPr>
              <w:ind w:left="80"/>
              <w:spacing w:after="0"/>
              <w:rPr>
                <w:sz w:val="20"/>
                <w:szCs w:val="20"/>
                <w:color w:val="auto"/>
              </w:rPr>
            </w:pPr>
            <w:r>
              <w:rPr>
                <w:rFonts w:ascii="Arial" w:cs="Arial" w:eastAsia="Arial" w:hAnsi="Arial"/>
                <w:sz w:val="20"/>
                <w:szCs w:val="20"/>
                <w:color w:val="3E3935"/>
              </w:rPr>
              <w:t>security holders</w:t>
            </w:r>
            <w:r>
              <w:rPr>
                <w:rFonts w:ascii="Arial" w:cs="Arial" w:eastAsia="Arial" w:hAnsi="Arial"/>
                <w:sz w:val="24"/>
                <w:szCs w:val="24"/>
                <w:color w:val="3E3935"/>
                <w:vertAlign w:val="superscript"/>
              </w:rPr>
              <w:t>(2)</w:t>
            </w:r>
          </w:p>
        </w:tc>
        <w:tc>
          <w:tcPr>
            <w:tcW w:w="2800" w:type="dxa"/>
            <w:vAlign w:val="bottom"/>
            <w:tcBorders>
              <w:bottom w:val="single" w:sz="8" w:color="3E3935"/>
            </w:tcBorders>
          </w:tcPr>
          <w:p>
            <w:pPr>
              <w:jc w:val="right"/>
              <w:ind w:right="347"/>
              <w:spacing w:after="0"/>
              <w:rPr>
                <w:sz w:val="20"/>
                <w:szCs w:val="20"/>
                <w:color w:val="auto"/>
              </w:rPr>
            </w:pPr>
            <w:r>
              <w:rPr>
                <w:rFonts w:ascii="Arial" w:cs="Arial" w:eastAsia="Arial" w:hAnsi="Arial"/>
                <w:sz w:val="20"/>
                <w:szCs w:val="20"/>
                <w:color w:val="3E3935"/>
              </w:rPr>
              <w:t>—</w:t>
            </w:r>
          </w:p>
        </w:tc>
        <w:tc>
          <w:tcPr>
            <w:tcW w:w="3240" w:type="dxa"/>
            <w:vAlign w:val="bottom"/>
            <w:tcBorders>
              <w:bottom w:val="single" w:sz="8" w:color="3E3935"/>
            </w:tcBorders>
          </w:tcPr>
          <w:p>
            <w:pPr>
              <w:jc w:val="right"/>
              <w:ind w:right="246"/>
              <w:spacing w:after="0"/>
              <w:rPr>
                <w:sz w:val="20"/>
                <w:szCs w:val="20"/>
                <w:color w:val="auto"/>
              </w:rPr>
            </w:pPr>
            <w:r>
              <w:rPr>
                <w:rFonts w:ascii="Arial" w:cs="Arial" w:eastAsia="Arial" w:hAnsi="Arial"/>
                <w:sz w:val="20"/>
                <w:szCs w:val="20"/>
                <w:color w:val="3E3935"/>
              </w:rPr>
              <w:t>—</w:t>
            </w:r>
          </w:p>
        </w:tc>
        <w:tc>
          <w:tcPr>
            <w:tcW w:w="2800" w:type="dxa"/>
            <w:vAlign w:val="bottom"/>
            <w:tcBorders>
              <w:bottom w:val="single" w:sz="8" w:color="3E3935"/>
            </w:tcBorders>
          </w:tcPr>
          <w:p>
            <w:pPr>
              <w:jc w:val="right"/>
              <w:spacing w:after="0" w:line="318" w:lineRule="exact"/>
              <w:rPr>
                <w:sz w:val="20"/>
                <w:szCs w:val="20"/>
                <w:color w:val="auto"/>
              </w:rPr>
            </w:pPr>
            <w:r>
              <w:rPr>
                <w:rFonts w:ascii="Arial" w:cs="Arial" w:eastAsia="Arial" w:hAnsi="Arial"/>
                <w:sz w:val="36"/>
                <w:szCs w:val="36"/>
                <w:color w:val="3E3935"/>
                <w:vertAlign w:val="subscript"/>
              </w:rPr>
              <w:t>—</w:t>
            </w:r>
            <w:r>
              <w:rPr>
                <w:rFonts w:ascii="Arial" w:cs="Arial" w:eastAsia="Arial" w:hAnsi="Arial"/>
                <w:sz w:val="12"/>
                <w:szCs w:val="12"/>
                <w:color w:val="3E3935"/>
              </w:rPr>
              <w:t>(4)</w:t>
            </w:r>
          </w:p>
        </w:tc>
        <w:tc>
          <w:tcPr>
            <w:tcW w:w="0" w:type="dxa"/>
            <w:vAlign w:val="bottom"/>
          </w:tcPr>
          <w:p>
            <w:pPr>
              <w:spacing w:after="0"/>
              <w:rPr>
                <w:sz w:val="1"/>
                <w:szCs w:val="1"/>
                <w:color w:val="auto"/>
              </w:rPr>
            </w:pPr>
          </w:p>
        </w:tc>
      </w:tr>
      <w:tr>
        <w:trPr>
          <w:trHeight w:val="301"/>
        </w:trPr>
        <w:tc>
          <w:tcPr>
            <w:tcW w:w="2180" w:type="dxa"/>
            <w:vAlign w:val="bottom"/>
          </w:tcPr>
          <w:p>
            <w:pPr>
              <w:ind w:left="80"/>
              <w:spacing w:after="0"/>
              <w:rPr>
                <w:sz w:val="20"/>
                <w:szCs w:val="20"/>
                <w:color w:val="auto"/>
              </w:rPr>
            </w:pPr>
            <w:r>
              <w:rPr>
                <w:rFonts w:ascii="Arial" w:cs="Arial" w:eastAsia="Arial" w:hAnsi="Arial"/>
                <w:sz w:val="20"/>
                <w:szCs w:val="20"/>
                <w:color w:val="3E3935"/>
              </w:rPr>
              <w:t>Total</w:t>
            </w:r>
          </w:p>
        </w:tc>
        <w:tc>
          <w:tcPr>
            <w:tcW w:w="2800" w:type="dxa"/>
            <w:vAlign w:val="bottom"/>
          </w:tcPr>
          <w:p>
            <w:pPr>
              <w:jc w:val="right"/>
              <w:ind w:right="347"/>
              <w:spacing w:after="0"/>
              <w:rPr>
                <w:sz w:val="20"/>
                <w:szCs w:val="20"/>
                <w:color w:val="auto"/>
              </w:rPr>
            </w:pPr>
            <w:r>
              <w:rPr>
                <w:rFonts w:ascii="Arial" w:cs="Arial" w:eastAsia="Arial" w:hAnsi="Arial"/>
                <w:sz w:val="20"/>
                <w:szCs w:val="20"/>
                <w:color w:val="3E3935"/>
              </w:rPr>
              <w:t>34,117,956</w:t>
            </w:r>
          </w:p>
        </w:tc>
        <w:tc>
          <w:tcPr>
            <w:tcW w:w="3240" w:type="dxa"/>
            <w:vAlign w:val="bottom"/>
          </w:tcPr>
          <w:p>
            <w:pPr>
              <w:jc w:val="right"/>
              <w:ind w:right="246"/>
              <w:spacing w:after="0"/>
              <w:rPr>
                <w:sz w:val="20"/>
                <w:szCs w:val="20"/>
                <w:color w:val="auto"/>
              </w:rPr>
            </w:pPr>
            <w:r>
              <w:rPr>
                <w:rFonts w:ascii="Arial" w:cs="Arial" w:eastAsia="Arial" w:hAnsi="Arial"/>
                <w:sz w:val="20"/>
                <w:szCs w:val="20"/>
                <w:color w:val="3E3935"/>
              </w:rPr>
              <w:t>$39.46</w:t>
            </w:r>
          </w:p>
        </w:tc>
        <w:tc>
          <w:tcPr>
            <w:tcW w:w="2800" w:type="dxa"/>
            <w:vAlign w:val="bottom"/>
          </w:tcPr>
          <w:p>
            <w:pPr>
              <w:jc w:val="right"/>
              <w:ind w:right="151"/>
              <w:spacing w:after="0"/>
              <w:rPr>
                <w:sz w:val="20"/>
                <w:szCs w:val="20"/>
                <w:color w:val="auto"/>
              </w:rPr>
            </w:pPr>
            <w:r>
              <w:rPr>
                <w:rFonts w:ascii="Arial" w:cs="Arial" w:eastAsia="Arial" w:hAnsi="Arial"/>
                <w:sz w:val="20"/>
                <w:szCs w:val="20"/>
                <w:color w:val="3E3935"/>
              </w:rPr>
              <w:t>37,273,501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36830</wp:posOffset>
            </wp:positionV>
            <wp:extent cx="6995160" cy="825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15" w:lineRule="exact"/>
        <w:rPr>
          <w:sz w:val="20"/>
          <w:szCs w:val="20"/>
          <w:color w:val="auto"/>
        </w:rPr>
      </w:pPr>
    </w:p>
    <w:p>
      <w:pPr>
        <w:ind w:left="540" w:hanging="424"/>
        <w:spacing w:after="0"/>
        <w:tabs>
          <w:tab w:leader="none" w:pos="540" w:val="left"/>
        </w:tabs>
        <w:numPr>
          <w:ilvl w:val="0"/>
          <w:numId w:val="139"/>
        </w:numPr>
        <w:rPr>
          <w:rFonts w:ascii="Arial" w:cs="Arial" w:eastAsia="Arial" w:hAnsi="Arial"/>
          <w:sz w:val="18"/>
          <w:szCs w:val="18"/>
          <w:i w:val="1"/>
          <w:iCs w:val="1"/>
          <w:color w:val="3E3935"/>
        </w:rPr>
      </w:pPr>
      <w:r>
        <w:rPr>
          <w:rFonts w:ascii="Arial" w:cs="Arial" w:eastAsia="Arial" w:hAnsi="Arial"/>
          <w:sz w:val="18"/>
          <w:szCs w:val="18"/>
          <w:i w:val="1"/>
          <w:iCs w:val="1"/>
          <w:color w:val="3E3935"/>
        </w:rPr>
        <w:t>The number includes the following:</w:t>
      </w:r>
    </w:p>
    <w:p>
      <w:pPr>
        <w:spacing w:after="0" w:line="11" w:lineRule="exact"/>
        <w:rPr>
          <w:rFonts w:ascii="Arial" w:cs="Arial" w:eastAsia="Arial" w:hAnsi="Arial"/>
          <w:sz w:val="18"/>
          <w:szCs w:val="18"/>
          <w:i w:val="1"/>
          <w:iCs w:val="1"/>
          <w:color w:val="3E3935"/>
        </w:rPr>
      </w:pPr>
    </w:p>
    <w:p>
      <w:pPr>
        <w:ind w:left="1080" w:hanging="532"/>
        <w:spacing w:after="0" w:line="234" w:lineRule="auto"/>
        <w:tabs>
          <w:tab w:leader="none" w:pos="1080" w:val="left"/>
        </w:tabs>
        <w:numPr>
          <w:ilvl w:val="1"/>
          <w:numId w:val="139"/>
        </w:numPr>
        <w:rPr>
          <w:rFonts w:ascii="Arial" w:cs="Arial" w:eastAsia="Arial" w:hAnsi="Arial"/>
          <w:sz w:val="18"/>
          <w:szCs w:val="18"/>
          <w:i w:val="1"/>
          <w:iCs w:val="1"/>
          <w:color w:val="3E3935"/>
        </w:rPr>
      </w:pPr>
      <w:r>
        <w:rPr>
          <w:rFonts w:ascii="Arial" w:cs="Arial" w:eastAsia="Arial" w:hAnsi="Arial"/>
          <w:sz w:val="18"/>
          <w:szCs w:val="18"/>
          <w:i w:val="1"/>
          <w:iCs w:val="1"/>
          <w:color w:val="3E3935"/>
        </w:rPr>
        <w:t>18,692,742 shares represent options.</w:t>
      </w:r>
    </w:p>
    <w:p>
      <w:pPr>
        <w:ind w:left="1080" w:right="640" w:hanging="532"/>
        <w:spacing w:after="0" w:line="234" w:lineRule="auto"/>
        <w:tabs>
          <w:tab w:leader="none" w:pos="1080" w:val="left"/>
        </w:tabs>
        <w:numPr>
          <w:ilvl w:val="1"/>
          <w:numId w:val="139"/>
        </w:numPr>
        <w:rPr>
          <w:rFonts w:ascii="Arial" w:cs="Arial" w:eastAsia="Arial" w:hAnsi="Arial"/>
          <w:sz w:val="18"/>
          <w:szCs w:val="18"/>
          <w:i w:val="1"/>
          <w:iCs w:val="1"/>
          <w:color w:val="3E3935"/>
        </w:rPr>
      </w:pPr>
      <w:r>
        <w:rPr>
          <w:rFonts w:ascii="Arial" w:cs="Arial" w:eastAsia="Arial" w:hAnsi="Arial"/>
          <w:sz w:val="18"/>
          <w:szCs w:val="18"/>
          <w:i w:val="1"/>
          <w:iCs w:val="1"/>
          <w:color w:val="3E3935"/>
        </w:rPr>
        <w:t>13,363,347 shares represent PSU awards assuming performance is achieved at target. For performance above target, awards may be settled in common stock, cash, or a combination of both.</w:t>
      </w:r>
    </w:p>
    <w:p>
      <w:pPr>
        <w:spacing w:after="0" w:line="1" w:lineRule="exact"/>
        <w:rPr>
          <w:rFonts w:ascii="Arial" w:cs="Arial" w:eastAsia="Arial" w:hAnsi="Arial"/>
          <w:sz w:val="18"/>
          <w:szCs w:val="18"/>
          <w:i w:val="1"/>
          <w:iCs w:val="1"/>
          <w:color w:val="3E3935"/>
        </w:rPr>
      </w:pPr>
    </w:p>
    <w:p>
      <w:pPr>
        <w:ind w:left="1080" w:hanging="532"/>
        <w:spacing w:after="0"/>
        <w:tabs>
          <w:tab w:leader="none" w:pos="1080" w:val="left"/>
        </w:tabs>
        <w:numPr>
          <w:ilvl w:val="1"/>
          <w:numId w:val="139"/>
        </w:numPr>
        <w:rPr>
          <w:rFonts w:ascii="Arial" w:cs="Arial" w:eastAsia="Arial" w:hAnsi="Arial"/>
          <w:sz w:val="18"/>
          <w:szCs w:val="18"/>
          <w:i w:val="1"/>
          <w:iCs w:val="1"/>
          <w:color w:val="3E3935"/>
        </w:rPr>
      </w:pPr>
      <w:r>
        <w:rPr>
          <w:rFonts w:ascii="Arial" w:cs="Arial" w:eastAsia="Arial" w:hAnsi="Arial"/>
          <w:sz w:val="18"/>
          <w:szCs w:val="18"/>
          <w:i w:val="1"/>
          <w:iCs w:val="1"/>
          <w:color w:val="3E3935"/>
        </w:rPr>
        <w:t>2,061,867 shares represent RSUs.</w:t>
      </w:r>
    </w:p>
    <w:p>
      <w:pPr>
        <w:spacing w:after="0" w:line="60" w:lineRule="exact"/>
        <w:rPr>
          <w:rFonts w:ascii="Arial" w:cs="Arial" w:eastAsia="Arial" w:hAnsi="Arial"/>
          <w:sz w:val="18"/>
          <w:szCs w:val="18"/>
          <w:i w:val="1"/>
          <w:iCs w:val="1"/>
          <w:color w:val="3E3935"/>
        </w:rPr>
      </w:pPr>
    </w:p>
    <w:p>
      <w:pPr>
        <w:ind w:left="540" w:hanging="424"/>
        <w:spacing w:after="0"/>
        <w:tabs>
          <w:tab w:leader="none" w:pos="540" w:val="left"/>
        </w:tabs>
        <w:numPr>
          <w:ilvl w:val="0"/>
          <w:numId w:val="139"/>
        </w:numPr>
        <w:rPr>
          <w:rFonts w:ascii="Arial" w:cs="Arial" w:eastAsia="Arial" w:hAnsi="Arial"/>
          <w:sz w:val="18"/>
          <w:szCs w:val="18"/>
          <w:i w:val="1"/>
          <w:iCs w:val="1"/>
          <w:color w:val="3E3935"/>
        </w:rPr>
      </w:pPr>
      <w:r>
        <w:rPr>
          <w:rFonts w:ascii="Arial" w:cs="Arial" w:eastAsia="Arial" w:hAnsi="Arial"/>
          <w:sz w:val="18"/>
          <w:szCs w:val="18"/>
          <w:i w:val="1"/>
          <w:iCs w:val="1"/>
          <w:color w:val="3E3935"/>
        </w:rPr>
        <w:t>2016 Equity Incentive Plan — refer to Note 21 in our 2016 Form 10-K.</w:t>
      </w:r>
    </w:p>
    <w:p>
      <w:pPr>
        <w:spacing w:after="0" w:line="76" w:lineRule="exact"/>
        <w:rPr>
          <w:rFonts w:ascii="Arial" w:cs="Arial" w:eastAsia="Arial" w:hAnsi="Arial"/>
          <w:sz w:val="18"/>
          <w:szCs w:val="18"/>
          <w:i w:val="1"/>
          <w:iCs w:val="1"/>
          <w:color w:val="3E3935"/>
        </w:rPr>
      </w:pPr>
    </w:p>
    <w:p>
      <w:pPr>
        <w:ind w:left="540" w:hanging="424"/>
        <w:spacing w:after="0"/>
        <w:tabs>
          <w:tab w:leader="none" w:pos="540" w:val="left"/>
        </w:tabs>
        <w:numPr>
          <w:ilvl w:val="0"/>
          <w:numId w:val="139"/>
        </w:numPr>
        <w:rPr>
          <w:rFonts w:ascii="Arial" w:cs="Arial" w:eastAsia="Arial" w:hAnsi="Arial"/>
          <w:sz w:val="18"/>
          <w:szCs w:val="18"/>
          <w:i w:val="1"/>
          <w:iCs w:val="1"/>
          <w:color w:val="3E3935"/>
        </w:rPr>
      </w:pPr>
      <w:r>
        <w:rPr>
          <w:rFonts w:ascii="Arial" w:cs="Arial" w:eastAsia="Arial" w:hAnsi="Arial"/>
          <w:sz w:val="18"/>
          <w:szCs w:val="18"/>
          <w:i w:val="1"/>
          <w:iCs w:val="1"/>
          <w:color w:val="3E3935"/>
        </w:rPr>
        <w:t>Excludes 2,885,331 shares which will remain unused under our 2014 Long-Term Incentive Plan.</w:t>
      </w:r>
    </w:p>
    <w:p>
      <w:pPr>
        <w:spacing w:after="0" w:line="76" w:lineRule="exact"/>
        <w:rPr>
          <w:rFonts w:ascii="Arial" w:cs="Arial" w:eastAsia="Arial" w:hAnsi="Arial"/>
          <w:sz w:val="18"/>
          <w:szCs w:val="18"/>
          <w:i w:val="1"/>
          <w:iCs w:val="1"/>
          <w:color w:val="3E3935"/>
        </w:rPr>
      </w:pPr>
    </w:p>
    <w:p>
      <w:pPr>
        <w:ind w:left="540" w:hanging="424"/>
        <w:spacing w:after="0"/>
        <w:tabs>
          <w:tab w:leader="none" w:pos="540" w:val="left"/>
        </w:tabs>
        <w:numPr>
          <w:ilvl w:val="0"/>
          <w:numId w:val="139"/>
        </w:numPr>
        <w:rPr>
          <w:rFonts w:ascii="Arial" w:cs="Arial" w:eastAsia="Arial" w:hAnsi="Arial"/>
          <w:sz w:val="18"/>
          <w:szCs w:val="18"/>
          <w:i w:val="1"/>
          <w:iCs w:val="1"/>
          <w:color w:val="3E3935"/>
        </w:rPr>
      </w:pPr>
      <w:r>
        <w:rPr>
          <w:rFonts w:ascii="Arial" w:cs="Arial" w:eastAsia="Arial" w:hAnsi="Arial"/>
          <w:sz w:val="18"/>
          <w:szCs w:val="18"/>
          <w:i w:val="1"/>
          <w:iCs w:val="1"/>
          <w:color w:val="3E3935"/>
        </w:rPr>
        <w:t>Excludes 15,187 shares which will remain unused under our 2016 Equity Incentive Plan.</w:t>
      </w:r>
    </w:p>
    <w:p>
      <w:pPr>
        <w:spacing w:after="0" w:line="139" w:lineRule="exact"/>
        <w:rPr>
          <w:sz w:val="20"/>
          <w:szCs w:val="20"/>
          <w:color w:val="auto"/>
        </w:rPr>
      </w:pPr>
    </w:p>
    <w:p>
      <w:pPr>
        <w:ind w:left="120" w:right="20"/>
        <w:spacing w:after="0" w:line="257" w:lineRule="auto"/>
        <w:rPr>
          <w:sz w:val="20"/>
          <w:szCs w:val="20"/>
          <w:color w:val="auto"/>
        </w:rPr>
      </w:pPr>
      <w:r>
        <w:rPr>
          <w:rFonts w:ascii="Arial" w:cs="Arial" w:eastAsia="Arial" w:hAnsi="Arial"/>
          <w:sz w:val="20"/>
          <w:szCs w:val="20"/>
          <w:color w:val="3E3935"/>
        </w:rPr>
        <w:t>The following table provides information on share usage for awards granted and performance awards vested/earned during fiscal year 2022 under the Company’s equity compensation plans.</w:t>
      </w:r>
    </w:p>
    <w:p>
      <w:pPr>
        <w:spacing w:after="0" w:line="184" w:lineRule="exact"/>
        <w:rPr>
          <w:sz w:val="20"/>
          <w:szCs w:val="20"/>
          <w:color w:val="auto"/>
        </w:rPr>
      </w:pPr>
    </w:p>
    <w:tbl>
      <w:tblPr>
        <w:tblLayout w:type="fixed"/>
        <w:tblInd w:w="120" w:type="dxa"/>
        <w:tblCellMar>
          <w:top w:w="0" w:type="dxa"/>
          <w:left w:w="0" w:type="dxa"/>
          <w:bottom w:w="0" w:type="dxa"/>
          <w:right w:w="0" w:type="dxa"/>
        </w:tblCellMar>
      </w:tblPr>
      <w:tr>
        <w:trPr>
          <w:trHeight w:val="219"/>
        </w:trPr>
        <w:tc>
          <w:tcPr>
            <w:tcW w:w="5220" w:type="dxa"/>
            <w:vAlign w:val="bottom"/>
            <w:tcBorders>
              <w:top w:val="single" w:sz="8" w:color="00C1DE"/>
            </w:tcBorders>
          </w:tcPr>
          <w:p>
            <w:pPr>
              <w:spacing w:after="0"/>
              <w:rPr>
                <w:sz w:val="19"/>
                <w:szCs w:val="19"/>
                <w:color w:val="auto"/>
              </w:rPr>
            </w:pPr>
          </w:p>
        </w:tc>
        <w:tc>
          <w:tcPr>
            <w:tcW w:w="3320" w:type="dxa"/>
            <w:vAlign w:val="bottom"/>
            <w:tcBorders>
              <w:top w:val="single" w:sz="8" w:color="00C1DE"/>
            </w:tcBorders>
            <w:vMerge w:val="restart"/>
          </w:tcPr>
          <w:p>
            <w:pPr>
              <w:jc w:val="right"/>
              <w:ind w:right="241"/>
              <w:spacing w:after="0"/>
              <w:rPr>
                <w:sz w:val="20"/>
                <w:szCs w:val="20"/>
                <w:color w:val="auto"/>
              </w:rPr>
            </w:pPr>
            <w:r>
              <w:rPr>
                <w:rFonts w:ascii="Arial" w:cs="Arial" w:eastAsia="Arial" w:hAnsi="Arial"/>
                <w:sz w:val="20"/>
                <w:szCs w:val="20"/>
                <w:b w:val="1"/>
                <w:bCs w:val="1"/>
                <w:color w:val="00C1DE"/>
              </w:rPr>
              <w:t>Granted</w:t>
            </w:r>
          </w:p>
        </w:tc>
        <w:tc>
          <w:tcPr>
            <w:tcW w:w="2480" w:type="dxa"/>
            <w:vAlign w:val="bottom"/>
            <w:tcBorders>
              <w:top w:val="single" w:sz="8" w:color="00C1DE"/>
            </w:tcBorders>
          </w:tcPr>
          <w:p>
            <w:pPr>
              <w:jc w:val="right"/>
              <w:ind w:right="85"/>
              <w:spacing w:after="0" w:line="219" w:lineRule="exact"/>
              <w:rPr>
                <w:sz w:val="20"/>
                <w:szCs w:val="20"/>
                <w:color w:val="auto"/>
              </w:rPr>
            </w:pPr>
            <w:r>
              <w:rPr>
                <w:rFonts w:ascii="Arial" w:cs="Arial" w:eastAsia="Arial" w:hAnsi="Arial"/>
                <w:sz w:val="20"/>
                <w:szCs w:val="20"/>
                <w:b w:val="1"/>
                <w:bCs w:val="1"/>
                <w:color w:val="00C1DE"/>
              </w:rPr>
              <w:t>Performance Awards</w:t>
            </w:r>
          </w:p>
        </w:tc>
        <w:tc>
          <w:tcPr>
            <w:tcW w:w="0" w:type="dxa"/>
            <w:vAlign w:val="bottom"/>
          </w:tcPr>
          <w:p>
            <w:pPr>
              <w:spacing w:after="0"/>
              <w:rPr>
                <w:sz w:val="1"/>
                <w:szCs w:val="1"/>
                <w:color w:val="auto"/>
              </w:rPr>
            </w:pPr>
          </w:p>
        </w:tc>
      </w:tr>
      <w:tr>
        <w:trPr>
          <w:trHeight w:val="273"/>
        </w:trPr>
        <w:tc>
          <w:tcPr>
            <w:tcW w:w="5220" w:type="dxa"/>
            <w:vAlign w:val="bottom"/>
          </w:tcPr>
          <w:p>
            <w:pPr>
              <w:spacing w:after="0"/>
              <w:rPr>
                <w:sz w:val="23"/>
                <w:szCs w:val="23"/>
                <w:color w:val="auto"/>
              </w:rPr>
            </w:pPr>
          </w:p>
        </w:tc>
        <w:tc>
          <w:tcPr>
            <w:tcW w:w="3320" w:type="dxa"/>
            <w:vAlign w:val="bottom"/>
            <w:vMerge w:val="continue"/>
          </w:tcPr>
          <w:p>
            <w:pPr>
              <w:spacing w:after="0"/>
              <w:rPr>
                <w:sz w:val="23"/>
                <w:szCs w:val="23"/>
                <w:color w:val="auto"/>
              </w:rPr>
            </w:pPr>
          </w:p>
        </w:tc>
        <w:tc>
          <w:tcPr>
            <w:tcW w:w="2480" w:type="dxa"/>
            <w:vAlign w:val="bottom"/>
          </w:tcPr>
          <w:p>
            <w:pPr>
              <w:jc w:val="right"/>
              <w:ind w:right="85"/>
              <w:spacing w:after="0"/>
              <w:rPr>
                <w:sz w:val="20"/>
                <w:szCs w:val="20"/>
                <w:color w:val="auto"/>
              </w:rPr>
            </w:pPr>
            <w:r>
              <w:rPr>
                <w:rFonts w:ascii="Arial" w:cs="Arial" w:eastAsia="Arial" w:hAnsi="Arial"/>
                <w:sz w:val="20"/>
                <w:szCs w:val="20"/>
                <w:b w:val="1"/>
                <w:bCs w:val="1"/>
                <w:color w:val="00C1DE"/>
              </w:rPr>
              <w:t>Vested/Earned</w:t>
            </w:r>
          </w:p>
        </w:tc>
        <w:tc>
          <w:tcPr>
            <w:tcW w:w="0" w:type="dxa"/>
            <w:vAlign w:val="bottom"/>
          </w:tcPr>
          <w:p>
            <w:pPr>
              <w:spacing w:after="0"/>
              <w:rPr>
                <w:sz w:val="1"/>
                <w:szCs w:val="1"/>
                <w:color w:val="auto"/>
              </w:rPr>
            </w:pPr>
          </w:p>
        </w:tc>
      </w:tr>
      <w:tr>
        <w:trPr>
          <w:trHeight w:val="47"/>
        </w:trPr>
        <w:tc>
          <w:tcPr>
            <w:tcW w:w="5220" w:type="dxa"/>
            <w:vAlign w:val="bottom"/>
            <w:tcBorders>
              <w:bottom w:val="single" w:sz="8" w:color="00C1DE"/>
            </w:tcBorders>
          </w:tcPr>
          <w:p>
            <w:pPr>
              <w:spacing w:after="0"/>
              <w:rPr>
                <w:sz w:val="4"/>
                <w:szCs w:val="4"/>
                <w:color w:val="auto"/>
              </w:rPr>
            </w:pPr>
          </w:p>
        </w:tc>
        <w:tc>
          <w:tcPr>
            <w:tcW w:w="3320" w:type="dxa"/>
            <w:vAlign w:val="bottom"/>
            <w:tcBorders>
              <w:bottom w:val="single" w:sz="8" w:color="00C1DE"/>
            </w:tcBorders>
          </w:tcPr>
          <w:p>
            <w:pPr>
              <w:spacing w:after="0"/>
              <w:rPr>
                <w:sz w:val="4"/>
                <w:szCs w:val="4"/>
                <w:color w:val="auto"/>
              </w:rPr>
            </w:pPr>
          </w:p>
        </w:tc>
        <w:tc>
          <w:tcPr>
            <w:tcW w:w="2480" w:type="dxa"/>
            <w:vAlign w:val="bottom"/>
            <w:tcBorders>
              <w:bottom w:val="single" w:sz="8" w:color="00C1DE"/>
            </w:tcBorders>
          </w:tcPr>
          <w:p>
            <w:pPr>
              <w:spacing w:after="0"/>
              <w:rPr>
                <w:sz w:val="4"/>
                <w:szCs w:val="4"/>
                <w:color w:val="auto"/>
              </w:rPr>
            </w:pPr>
          </w:p>
        </w:tc>
        <w:tc>
          <w:tcPr>
            <w:tcW w:w="0" w:type="dxa"/>
            <w:vAlign w:val="bottom"/>
          </w:tcPr>
          <w:p>
            <w:pPr>
              <w:spacing w:after="0"/>
              <w:rPr>
                <w:sz w:val="1"/>
                <w:szCs w:val="1"/>
                <w:color w:val="auto"/>
              </w:rPr>
            </w:pPr>
          </w:p>
        </w:tc>
      </w:tr>
      <w:tr>
        <w:trPr>
          <w:trHeight w:val="301"/>
        </w:trPr>
        <w:tc>
          <w:tcPr>
            <w:tcW w:w="5220" w:type="dxa"/>
            <w:vAlign w:val="bottom"/>
          </w:tcPr>
          <w:p>
            <w:pPr>
              <w:ind w:left="80"/>
              <w:spacing w:after="0"/>
              <w:rPr>
                <w:sz w:val="20"/>
                <w:szCs w:val="20"/>
                <w:color w:val="auto"/>
              </w:rPr>
            </w:pPr>
            <w:r>
              <w:rPr>
                <w:rFonts w:ascii="Arial" w:cs="Arial" w:eastAsia="Arial" w:hAnsi="Arial"/>
                <w:sz w:val="20"/>
                <w:szCs w:val="20"/>
                <w:color w:val="3E3935"/>
              </w:rPr>
              <w:t>RSUs</w:t>
            </w:r>
          </w:p>
        </w:tc>
        <w:tc>
          <w:tcPr>
            <w:tcW w:w="3320" w:type="dxa"/>
            <w:vAlign w:val="bottom"/>
          </w:tcPr>
          <w:p>
            <w:pPr>
              <w:jc w:val="right"/>
              <w:ind w:right="241"/>
              <w:spacing w:after="0"/>
              <w:rPr>
                <w:sz w:val="20"/>
                <w:szCs w:val="20"/>
                <w:color w:val="auto"/>
              </w:rPr>
            </w:pPr>
            <w:r>
              <w:rPr>
                <w:rFonts w:ascii="Arial" w:cs="Arial" w:eastAsia="Arial" w:hAnsi="Arial"/>
                <w:sz w:val="20"/>
                <w:szCs w:val="20"/>
                <w:color w:val="3E3935"/>
              </w:rPr>
              <w:t>1,400,000</w:t>
            </w:r>
          </w:p>
        </w:tc>
        <w:tc>
          <w:tcPr>
            <w:tcW w:w="2480" w:type="dxa"/>
            <w:vAlign w:val="bottom"/>
          </w:tcPr>
          <w:p>
            <w:pPr>
              <w:jc w:val="right"/>
              <w:ind w:right="85"/>
              <w:spacing w:after="0"/>
              <w:rPr>
                <w:sz w:val="20"/>
                <w:szCs w:val="20"/>
                <w:color w:val="auto"/>
              </w:rPr>
            </w:pPr>
            <w:r>
              <w:rPr>
                <w:rFonts w:ascii="Arial" w:cs="Arial" w:eastAsia="Arial" w:hAnsi="Arial"/>
                <w:sz w:val="20"/>
                <w:szCs w:val="20"/>
                <w:color w:val="3E3935"/>
              </w:rPr>
              <w:t>—</w:t>
            </w:r>
          </w:p>
        </w:tc>
        <w:tc>
          <w:tcPr>
            <w:tcW w:w="0" w:type="dxa"/>
            <w:vAlign w:val="bottom"/>
          </w:tcPr>
          <w:p>
            <w:pPr>
              <w:spacing w:after="0"/>
              <w:rPr>
                <w:sz w:val="1"/>
                <w:szCs w:val="1"/>
                <w:color w:val="auto"/>
              </w:rPr>
            </w:pPr>
          </w:p>
        </w:tc>
      </w:tr>
      <w:tr>
        <w:trPr>
          <w:trHeight w:val="58"/>
        </w:trPr>
        <w:tc>
          <w:tcPr>
            <w:tcW w:w="5220" w:type="dxa"/>
            <w:vAlign w:val="bottom"/>
            <w:tcBorders>
              <w:bottom w:val="single" w:sz="8" w:color="3E3935"/>
            </w:tcBorders>
          </w:tcPr>
          <w:p>
            <w:pPr>
              <w:spacing w:after="0"/>
              <w:rPr>
                <w:sz w:val="5"/>
                <w:szCs w:val="5"/>
                <w:color w:val="auto"/>
              </w:rPr>
            </w:pPr>
          </w:p>
        </w:tc>
        <w:tc>
          <w:tcPr>
            <w:tcW w:w="3320" w:type="dxa"/>
            <w:vAlign w:val="bottom"/>
            <w:tcBorders>
              <w:bottom w:val="single" w:sz="8" w:color="3E3935"/>
            </w:tcBorders>
          </w:tcPr>
          <w:p>
            <w:pPr>
              <w:spacing w:after="0"/>
              <w:rPr>
                <w:sz w:val="5"/>
                <w:szCs w:val="5"/>
                <w:color w:val="auto"/>
              </w:rPr>
            </w:pPr>
          </w:p>
        </w:tc>
        <w:tc>
          <w:tcPr>
            <w:tcW w:w="2480" w:type="dxa"/>
            <w:vAlign w:val="bottom"/>
            <w:tcBorders>
              <w:bottom w:val="single" w:sz="8" w:color="3E3935"/>
            </w:tcBorders>
          </w:tcPr>
          <w:p>
            <w:pPr>
              <w:spacing w:after="0"/>
              <w:rPr>
                <w:sz w:val="5"/>
                <w:szCs w:val="5"/>
                <w:color w:val="auto"/>
              </w:rPr>
            </w:pPr>
          </w:p>
        </w:tc>
        <w:tc>
          <w:tcPr>
            <w:tcW w:w="0" w:type="dxa"/>
            <w:vAlign w:val="bottom"/>
          </w:tcPr>
          <w:p>
            <w:pPr>
              <w:spacing w:after="0"/>
              <w:rPr>
                <w:sz w:val="1"/>
                <w:szCs w:val="1"/>
                <w:color w:val="auto"/>
              </w:rPr>
            </w:pPr>
          </w:p>
        </w:tc>
      </w:tr>
      <w:tr>
        <w:trPr>
          <w:trHeight w:val="300"/>
        </w:trPr>
        <w:tc>
          <w:tcPr>
            <w:tcW w:w="5220" w:type="dxa"/>
            <w:vAlign w:val="bottom"/>
          </w:tcPr>
          <w:p>
            <w:pPr>
              <w:ind w:left="80"/>
              <w:spacing w:after="0"/>
              <w:rPr>
                <w:sz w:val="20"/>
                <w:szCs w:val="20"/>
                <w:color w:val="auto"/>
              </w:rPr>
            </w:pPr>
            <w:r>
              <w:rPr>
                <w:rFonts w:ascii="Arial" w:cs="Arial" w:eastAsia="Arial" w:hAnsi="Arial"/>
                <w:sz w:val="20"/>
                <w:szCs w:val="20"/>
                <w:color w:val="3E3935"/>
              </w:rPr>
              <w:t>PSUs</w:t>
            </w:r>
          </w:p>
        </w:tc>
        <w:tc>
          <w:tcPr>
            <w:tcW w:w="3320" w:type="dxa"/>
            <w:vAlign w:val="bottom"/>
          </w:tcPr>
          <w:p>
            <w:pPr>
              <w:jc w:val="right"/>
              <w:ind w:right="241"/>
              <w:spacing w:after="0"/>
              <w:rPr>
                <w:sz w:val="20"/>
                <w:szCs w:val="20"/>
                <w:color w:val="auto"/>
              </w:rPr>
            </w:pPr>
            <w:r>
              <w:rPr>
                <w:rFonts w:ascii="Arial" w:cs="Arial" w:eastAsia="Arial" w:hAnsi="Arial"/>
                <w:sz w:val="20"/>
                <w:szCs w:val="20"/>
                <w:color w:val="3E3935"/>
              </w:rPr>
              <w:t>5,800,000</w:t>
            </w:r>
          </w:p>
        </w:tc>
        <w:tc>
          <w:tcPr>
            <w:tcW w:w="2480" w:type="dxa"/>
            <w:vAlign w:val="bottom"/>
          </w:tcPr>
          <w:p>
            <w:pPr>
              <w:jc w:val="right"/>
              <w:ind w:right="85"/>
              <w:spacing w:after="0"/>
              <w:rPr>
                <w:sz w:val="20"/>
                <w:szCs w:val="20"/>
                <w:color w:val="auto"/>
              </w:rPr>
            </w:pPr>
            <w:r>
              <w:rPr>
                <w:rFonts w:ascii="Arial" w:cs="Arial" w:eastAsia="Arial" w:hAnsi="Arial"/>
                <w:sz w:val="20"/>
                <w:szCs w:val="20"/>
                <w:color w:val="3E3935"/>
              </w:rPr>
              <w:t>6,900,000</w:t>
            </w:r>
          </w:p>
        </w:tc>
        <w:tc>
          <w:tcPr>
            <w:tcW w:w="0" w:type="dxa"/>
            <w:vAlign w:val="bottom"/>
          </w:tcPr>
          <w:p>
            <w:pPr>
              <w:spacing w:after="0"/>
              <w:rPr>
                <w:sz w:val="1"/>
                <w:szCs w:val="1"/>
                <w:color w:val="auto"/>
              </w:rPr>
            </w:pPr>
          </w:p>
        </w:tc>
      </w:tr>
      <w:tr>
        <w:trPr>
          <w:trHeight w:val="58"/>
        </w:trPr>
        <w:tc>
          <w:tcPr>
            <w:tcW w:w="5220" w:type="dxa"/>
            <w:vAlign w:val="bottom"/>
            <w:tcBorders>
              <w:bottom w:val="single" w:sz="8" w:color="3E3935"/>
            </w:tcBorders>
          </w:tcPr>
          <w:p>
            <w:pPr>
              <w:spacing w:after="0"/>
              <w:rPr>
                <w:sz w:val="5"/>
                <w:szCs w:val="5"/>
                <w:color w:val="auto"/>
              </w:rPr>
            </w:pPr>
          </w:p>
        </w:tc>
        <w:tc>
          <w:tcPr>
            <w:tcW w:w="3320" w:type="dxa"/>
            <w:vAlign w:val="bottom"/>
            <w:tcBorders>
              <w:bottom w:val="single" w:sz="8" w:color="3E3935"/>
            </w:tcBorders>
          </w:tcPr>
          <w:p>
            <w:pPr>
              <w:spacing w:after="0"/>
              <w:rPr>
                <w:sz w:val="5"/>
                <w:szCs w:val="5"/>
                <w:color w:val="auto"/>
              </w:rPr>
            </w:pPr>
          </w:p>
        </w:tc>
        <w:tc>
          <w:tcPr>
            <w:tcW w:w="2480" w:type="dxa"/>
            <w:vAlign w:val="bottom"/>
            <w:tcBorders>
              <w:bottom w:val="single" w:sz="8" w:color="3E3935"/>
            </w:tcBorders>
          </w:tcPr>
          <w:p>
            <w:pPr>
              <w:spacing w:after="0"/>
              <w:rPr>
                <w:sz w:val="5"/>
                <w:szCs w:val="5"/>
                <w:color w:val="auto"/>
              </w:rPr>
            </w:pPr>
          </w:p>
        </w:tc>
        <w:tc>
          <w:tcPr>
            <w:tcW w:w="0" w:type="dxa"/>
            <w:vAlign w:val="bottom"/>
          </w:tcPr>
          <w:p>
            <w:pPr>
              <w:spacing w:after="0"/>
              <w:rPr>
                <w:sz w:val="1"/>
                <w:szCs w:val="1"/>
                <w:color w:val="auto"/>
              </w:rPr>
            </w:pPr>
          </w:p>
        </w:tc>
      </w:tr>
      <w:tr>
        <w:trPr>
          <w:trHeight w:val="300"/>
        </w:trPr>
        <w:tc>
          <w:tcPr>
            <w:tcW w:w="5220" w:type="dxa"/>
            <w:vAlign w:val="bottom"/>
          </w:tcPr>
          <w:p>
            <w:pPr>
              <w:ind w:left="80"/>
              <w:spacing w:after="0"/>
              <w:rPr>
                <w:sz w:val="20"/>
                <w:szCs w:val="20"/>
                <w:color w:val="auto"/>
              </w:rPr>
            </w:pPr>
            <w:r>
              <w:rPr>
                <w:rFonts w:ascii="Arial" w:cs="Arial" w:eastAsia="Arial" w:hAnsi="Arial"/>
                <w:sz w:val="20"/>
                <w:szCs w:val="20"/>
                <w:color w:val="3E3935"/>
              </w:rPr>
              <w:t>Time-Based Stock Options</w:t>
            </w:r>
          </w:p>
        </w:tc>
        <w:tc>
          <w:tcPr>
            <w:tcW w:w="3320" w:type="dxa"/>
            <w:vAlign w:val="bottom"/>
          </w:tcPr>
          <w:p>
            <w:pPr>
              <w:jc w:val="right"/>
              <w:ind w:right="241"/>
              <w:spacing w:after="0"/>
              <w:rPr>
                <w:sz w:val="20"/>
                <w:szCs w:val="20"/>
                <w:color w:val="auto"/>
              </w:rPr>
            </w:pPr>
            <w:r>
              <w:rPr>
                <w:rFonts w:ascii="Arial" w:cs="Arial" w:eastAsia="Arial" w:hAnsi="Arial"/>
                <w:sz w:val="20"/>
                <w:szCs w:val="20"/>
                <w:color w:val="3E3935"/>
              </w:rPr>
              <w:t>3,100,000</w:t>
            </w:r>
          </w:p>
        </w:tc>
        <w:tc>
          <w:tcPr>
            <w:tcW w:w="2480" w:type="dxa"/>
            <w:vAlign w:val="bottom"/>
          </w:tcPr>
          <w:p>
            <w:pPr>
              <w:jc w:val="right"/>
              <w:ind w:right="85"/>
              <w:spacing w:after="0"/>
              <w:rPr>
                <w:sz w:val="20"/>
                <w:szCs w:val="20"/>
                <w:color w:val="auto"/>
              </w:rPr>
            </w:pPr>
            <w:r>
              <w:rPr>
                <w:rFonts w:ascii="Arial" w:cs="Arial" w:eastAsia="Arial" w:hAnsi="Arial"/>
                <w:sz w:val="20"/>
                <w:szCs w:val="20"/>
                <w:color w:val="3E3935"/>
              </w:rPr>
              <w:t>—</w:t>
            </w:r>
          </w:p>
        </w:tc>
        <w:tc>
          <w:tcPr>
            <w:tcW w:w="0" w:type="dxa"/>
            <w:vAlign w:val="bottom"/>
          </w:tcPr>
          <w:p>
            <w:pPr>
              <w:spacing w:after="0"/>
              <w:rPr>
                <w:sz w:val="1"/>
                <w:szCs w:val="1"/>
                <w:color w:val="auto"/>
              </w:rPr>
            </w:pPr>
          </w:p>
        </w:tc>
      </w:tr>
      <w:tr>
        <w:trPr>
          <w:trHeight w:val="58"/>
        </w:trPr>
        <w:tc>
          <w:tcPr>
            <w:tcW w:w="5220" w:type="dxa"/>
            <w:vAlign w:val="bottom"/>
            <w:tcBorders>
              <w:bottom w:val="single" w:sz="8" w:color="3E3935"/>
            </w:tcBorders>
          </w:tcPr>
          <w:p>
            <w:pPr>
              <w:spacing w:after="0"/>
              <w:rPr>
                <w:sz w:val="5"/>
                <w:szCs w:val="5"/>
                <w:color w:val="auto"/>
              </w:rPr>
            </w:pPr>
          </w:p>
        </w:tc>
        <w:tc>
          <w:tcPr>
            <w:tcW w:w="3320" w:type="dxa"/>
            <w:vAlign w:val="bottom"/>
            <w:tcBorders>
              <w:bottom w:val="single" w:sz="8" w:color="3E3935"/>
            </w:tcBorders>
          </w:tcPr>
          <w:p>
            <w:pPr>
              <w:spacing w:after="0"/>
              <w:rPr>
                <w:sz w:val="5"/>
                <w:szCs w:val="5"/>
                <w:color w:val="auto"/>
              </w:rPr>
            </w:pPr>
          </w:p>
        </w:tc>
        <w:tc>
          <w:tcPr>
            <w:tcW w:w="2480" w:type="dxa"/>
            <w:vAlign w:val="bottom"/>
            <w:tcBorders>
              <w:bottom w:val="single" w:sz="8" w:color="3E3935"/>
            </w:tcBorders>
          </w:tcPr>
          <w:p>
            <w:pPr>
              <w:spacing w:after="0"/>
              <w:rPr>
                <w:sz w:val="5"/>
                <w:szCs w:val="5"/>
                <w:color w:val="auto"/>
              </w:rPr>
            </w:pPr>
          </w:p>
        </w:tc>
        <w:tc>
          <w:tcPr>
            <w:tcW w:w="0" w:type="dxa"/>
            <w:vAlign w:val="bottom"/>
          </w:tcPr>
          <w:p>
            <w:pPr>
              <w:spacing w:after="0"/>
              <w:rPr>
                <w:sz w:val="1"/>
                <w:szCs w:val="1"/>
                <w:color w:val="auto"/>
              </w:rPr>
            </w:pPr>
          </w:p>
        </w:tc>
      </w:tr>
      <w:tr>
        <w:trPr>
          <w:trHeight w:val="300"/>
        </w:trPr>
        <w:tc>
          <w:tcPr>
            <w:tcW w:w="5220" w:type="dxa"/>
            <w:vAlign w:val="bottom"/>
          </w:tcPr>
          <w:p>
            <w:pPr>
              <w:ind w:left="80"/>
              <w:spacing w:after="0"/>
              <w:rPr>
                <w:sz w:val="20"/>
                <w:szCs w:val="20"/>
                <w:color w:val="auto"/>
              </w:rPr>
            </w:pPr>
            <w:r>
              <w:rPr>
                <w:rFonts w:ascii="Arial" w:cs="Arial" w:eastAsia="Arial" w:hAnsi="Arial"/>
                <w:sz w:val="20"/>
                <w:szCs w:val="20"/>
                <w:color w:val="3E3935"/>
              </w:rPr>
              <w:t>Performance-Based Stock Options</w:t>
            </w:r>
          </w:p>
        </w:tc>
        <w:tc>
          <w:tcPr>
            <w:tcW w:w="3320" w:type="dxa"/>
            <w:vAlign w:val="bottom"/>
          </w:tcPr>
          <w:p>
            <w:pPr>
              <w:jc w:val="right"/>
              <w:ind w:right="241"/>
              <w:spacing w:after="0"/>
              <w:rPr>
                <w:sz w:val="20"/>
                <w:szCs w:val="20"/>
                <w:color w:val="auto"/>
              </w:rPr>
            </w:pPr>
            <w:r>
              <w:rPr>
                <w:rFonts w:ascii="Arial" w:cs="Arial" w:eastAsia="Arial" w:hAnsi="Arial"/>
                <w:sz w:val="20"/>
                <w:szCs w:val="20"/>
                <w:color w:val="3E3935"/>
              </w:rPr>
              <w:t>—</w:t>
            </w:r>
          </w:p>
        </w:tc>
        <w:tc>
          <w:tcPr>
            <w:tcW w:w="2480" w:type="dxa"/>
            <w:vAlign w:val="bottom"/>
          </w:tcPr>
          <w:p>
            <w:pPr>
              <w:jc w:val="right"/>
              <w:ind w:right="85"/>
              <w:spacing w:after="0"/>
              <w:rPr>
                <w:sz w:val="20"/>
                <w:szCs w:val="20"/>
                <w:color w:val="auto"/>
              </w:rPr>
            </w:pPr>
            <w:r>
              <w:rPr>
                <w:rFonts w:ascii="Arial" w:cs="Arial" w:eastAsia="Arial" w:hAnsi="Arial"/>
                <w:sz w:val="20"/>
                <w:szCs w:val="20"/>
                <w:color w:val="3E3935"/>
              </w:rPr>
              <w:t>—</w:t>
            </w:r>
          </w:p>
        </w:tc>
        <w:tc>
          <w:tcPr>
            <w:tcW w:w="0" w:type="dxa"/>
            <w:vAlign w:val="bottom"/>
          </w:tcPr>
          <w:p>
            <w:pPr>
              <w:spacing w:after="0"/>
              <w:rPr>
                <w:sz w:val="1"/>
                <w:szCs w:val="1"/>
                <w:color w:val="auto"/>
              </w:rPr>
            </w:pPr>
          </w:p>
        </w:tc>
      </w:tr>
      <w:tr>
        <w:trPr>
          <w:trHeight w:val="58"/>
        </w:trPr>
        <w:tc>
          <w:tcPr>
            <w:tcW w:w="5220" w:type="dxa"/>
            <w:vAlign w:val="bottom"/>
            <w:tcBorders>
              <w:bottom w:val="single" w:sz="8" w:color="0071CE"/>
            </w:tcBorders>
          </w:tcPr>
          <w:p>
            <w:pPr>
              <w:spacing w:after="0"/>
              <w:rPr>
                <w:sz w:val="5"/>
                <w:szCs w:val="5"/>
                <w:color w:val="auto"/>
              </w:rPr>
            </w:pPr>
          </w:p>
        </w:tc>
        <w:tc>
          <w:tcPr>
            <w:tcW w:w="3320" w:type="dxa"/>
            <w:vAlign w:val="bottom"/>
            <w:tcBorders>
              <w:bottom w:val="single" w:sz="8" w:color="0071CE"/>
            </w:tcBorders>
          </w:tcPr>
          <w:p>
            <w:pPr>
              <w:spacing w:after="0"/>
              <w:rPr>
                <w:sz w:val="5"/>
                <w:szCs w:val="5"/>
                <w:color w:val="auto"/>
              </w:rPr>
            </w:pPr>
          </w:p>
        </w:tc>
        <w:tc>
          <w:tcPr>
            <w:tcW w:w="2480" w:type="dxa"/>
            <w:vAlign w:val="bottom"/>
            <w:tcBorders>
              <w:bottom w:val="single" w:sz="8" w:color="0071CE"/>
            </w:tcBorders>
          </w:tcPr>
          <w:p>
            <w:pPr>
              <w:spacing w:after="0"/>
              <w:rPr>
                <w:sz w:val="5"/>
                <w:szCs w:val="5"/>
                <w:color w:val="auto"/>
              </w:rPr>
            </w:pPr>
          </w:p>
        </w:tc>
        <w:tc>
          <w:tcPr>
            <w:tcW w:w="0" w:type="dxa"/>
            <w:vAlign w:val="bottom"/>
          </w:tcPr>
          <w:p>
            <w:pPr>
              <w:spacing w:after="0"/>
              <w:rPr>
                <w:sz w:val="1"/>
                <w:szCs w:val="1"/>
                <w:color w:val="auto"/>
              </w:rPr>
            </w:pPr>
          </w:p>
        </w:tc>
      </w:tr>
      <w:tr>
        <w:trPr>
          <w:trHeight w:val="323"/>
        </w:trPr>
        <w:tc>
          <w:tcPr>
            <w:tcW w:w="522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2480" w:type="dxa"/>
            <w:vAlign w:val="bottom"/>
          </w:tcPr>
          <w:p>
            <w:pPr>
              <w:jc w:val="right"/>
              <w:ind w:right="225"/>
              <w:spacing w:after="0"/>
              <w:rPr>
                <w:sz w:val="20"/>
                <w:szCs w:val="20"/>
                <w:color w:val="auto"/>
              </w:rPr>
            </w:pPr>
            <w:r>
              <w:rPr>
                <w:rFonts w:ascii="Arial" w:cs="Arial" w:eastAsia="Arial" w:hAnsi="Arial"/>
                <w:sz w:val="14"/>
                <w:szCs w:val="14"/>
                <w:color w:val="0071CE"/>
              </w:rPr>
              <w:t>87</w:t>
            </w:r>
          </w:p>
        </w:tc>
        <w:tc>
          <w:tcPr>
            <w:tcW w:w="0" w:type="dxa"/>
            <w:vAlign w:val="bottom"/>
          </w:tcPr>
          <w:p>
            <w:pPr>
              <w:spacing w:after="0"/>
              <w:rPr>
                <w:sz w:val="1"/>
                <w:szCs w:val="1"/>
                <w:color w:val="auto"/>
              </w:rPr>
            </w:pPr>
          </w:p>
        </w:tc>
      </w:tr>
    </w:tbl>
    <w:p>
      <w:pPr>
        <w:sectPr>
          <w:pgSz w:w="11900" w:h="16838" w:orient="portrait"/>
          <w:cols w:equalWidth="0" w:num="1">
            <w:col w:w="11140"/>
          </w:cols>
          <w:pgMar w:left="320" w:top="482" w:right="43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11" w:lineRule="exact"/>
        <w:rPr>
          <w:sz w:val="20"/>
          <w:szCs w:val="20"/>
          <w:color w:val="auto"/>
        </w:rPr>
      </w:pPr>
    </w:p>
    <w:p>
      <w:pPr>
        <w:ind w:left="2380" w:right="1060" w:hanging="2267"/>
        <w:spacing w:after="0" w:line="263" w:lineRule="auto"/>
        <w:tabs>
          <w:tab w:leader="none" w:pos="2360" w:val="left"/>
        </w:tabs>
        <w:rPr>
          <w:sz w:val="20"/>
          <w:szCs w:val="20"/>
          <w:color w:val="auto"/>
        </w:rPr>
      </w:pPr>
      <w:r>
        <w:rPr>
          <w:rFonts w:ascii="Arial" w:cs="Arial" w:eastAsia="Arial" w:hAnsi="Arial"/>
          <w:sz w:val="32"/>
          <w:szCs w:val="32"/>
          <w:b w:val="1"/>
          <w:bCs w:val="1"/>
          <w:color w:val="3E3935"/>
        </w:rPr>
        <w:t>ITEM NO. 4:</w:t>
      </w:r>
      <w:r>
        <w:rPr>
          <w:rFonts w:ascii="Arial" w:cs="Arial" w:eastAsia="Arial" w:hAnsi="Arial"/>
          <w:sz w:val="32"/>
          <w:szCs w:val="32"/>
          <w:b w:val="1"/>
          <w:bCs w:val="1"/>
          <w:color w:val="00C1DE"/>
        </w:rPr>
        <w:tab/>
        <w:t>PROPOSAL TO APPROVE AMENDMENT NO. 1 TO THE COMPANY’S 2020 LONG-TERM INCENTIVE PLAN TO INCREASE THE NUMBER OF SHARES AVAILABLE FOR ISSUANCE THEREUNDER</w:t>
      </w:r>
    </w:p>
    <w:p>
      <w:pPr>
        <w:spacing w:after="0" w:line="205" w:lineRule="exact"/>
        <w:rPr>
          <w:sz w:val="20"/>
          <w:szCs w:val="20"/>
          <w:color w:val="auto"/>
        </w:rPr>
      </w:pPr>
    </w:p>
    <w:p>
      <w:pPr>
        <w:jc w:val="both"/>
        <w:ind w:left="120" w:right="20"/>
        <w:spacing w:after="0" w:line="233" w:lineRule="auto"/>
        <w:rPr>
          <w:sz w:val="20"/>
          <w:szCs w:val="20"/>
          <w:color w:val="auto"/>
        </w:rPr>
      </w:pPr>
      <w:r>
        <w:rPr>
          <w:rFonts w:ascii="Arial" w:cs="Arial" w:eastAsia="Arial" w:hAnsi="Arial"/>
          <w:sz w:val="20"/>
          <w:szCs w:val="20"/>
          <w:color w:val="3E3935"/>
        </w:rPr>
        <w:t>The Board recommends shareholders vote FOR the approval of Amendment No. 1 to the 2020 Long-Term Incentive Plan (the “2020 LTIP”) which increases by 27 million the number of shares available for issuance thereunder, thereby allowing for the continuation of equity awards to support our performance-based compensation programs. Long-term, equity-based compensation is a critical component of our executive compensation structure that allows the Company to continue to attract, motivate, and retain the top-tier talent necessary to deliver long-term results to our shareholders amidst significant transformation for the industry and the Company.</w:t>
      </w:r>
    </w:p>
    <w:p>
      <w:pPr>
        <w:spacing w:after="0" w:line="105" w:lineRule="exact"/>
        <w:rPr>
          <w:sz w:val="20"/>
          <w:szCs w:val="20"/>
          <w:color w:val="auto"/>
        </w:rPr>
      </w:pPr>
    </w:p>
    <w:p>
      <w:pPr>
        <w:jc w:val="both"/>
        <w:ind w:left="120"/>
        <w:spacing w:after="0" w:line="231" w:lineRule="auto"/>
        <w:rPr>
          <w:sz w:val="20"/>
          <w:szCs w:val="20"/>
          <w:color w:val="auto"/>
        </w:rPr>
      </w:pPr>
      <w:r>
        <w:rPr>
          <w:rFonts w:ascii="Arial" w:cs="Arial" w:eastAsia="Arial" w:hAnsi="Arial"/>
          <w:sz w:val="20"/>
          <w:szCs w:val="20"/>
          <w:color w:val="3E3935"/>
        </w:rPr>
        <w:t>In June 2020, the 2020 LTIP and a request for 50 million shares were approved by 96.5% of our shareholders who voted on the matter. As of March 31, 2023, approximately 20 million shares remain available for issuance under the 2020 LTIP. Under Amendment No. 1 to the 2020 LTIP, we are seeking approval for an additional 27 million shares of our common stock so the Company can continue to provide equity-based compensation as approved by the Compensation Committee. In determining the number of shares requested, the Company took several factors into consideration, such as market trends, feedback from investors, the compensation levels we anticipate in the future, the types of awards that may be granted under the 2020 LTIP, the potential dilution, and the number of shares currently remaining under the 2020 LTIP. As of the record date, the closing price of our common stock on the NYSE was $33.55 per share.</w:t>
      </w:r>
    </w:p>
    <w:p>
      <w:pPr>
        <w:spacing w:after="0" w:line="106" w:lineRule="exact"/>
        <w:rPr>
          <w:sz w:val="20"/>
          <w:szCs w:val="20"/>
          <w:color w:val="auto"/>
        </w:rPr>
      </w:pPr>
    </w:p>
    <w:p>
      <w:pPr>
        <w:jc w:val="both"/>
        <w:ind w:left="120"/>
        <w:spacing w:after="0" w:line="230" w:lineRule="auto"/>
        <w:rPr>
          <w:sz w:val="20"/>
          <w:szCs w:val="20"/>
          <w:color w:val="auto"/>
        </w:rPr>
      </w:pPr>
      <w:r>
        <w:rPr>
          <w:rFonts w:ascii="Arial" w:cs="Arial" w:eastAsia="Arial" w:hAnsi="Arial"/>
          <w:sz w:val="20"/>
          <w:szCs w:val="20"/>
          <w:color w:val="3E3935"/>
        </w:rPr>
        <w:t>Upon approval, Amendment No. 1 to the 2020 LTIP, which is attached as Appendix B, will become effective on June 21, 2023, thereby increasing the overall number of shares available for issuance under the 2020 LTIP by 27 million, increasing the number of shares available for issuance pursuant to incentive stock option awards under the 2020 LTIP by that same 27 million, and extending the expiration date of the 2020 LTIP by approximately three years to June 21, 2033. We expect the requested shares under Amendment No. 1, plus the remaining shares that are available for issuance under the 2020 LTIP, to be sufficient for a period of two to three years, with an anticipated annual burn rate of approximately 1%. We plan to seek shareholder approval of our equity plans on a regular basis to confirm continued shareholder support of their terms. We intend to file with the SEC a registration statement on Form S-8 covering the additional requested shares issuable under the 2020 LTIP.</w:t>
      </w:r>
    </w:p>
    <w:p>
      <w:pPr>
        <w:spacing w:after="0" w:line="95" w:lineRule="exact"/>
        <w:rPr>
          <w:sz w:val="20"/>
          <w:szCs w:val="20"/>
          <w:color w:val="auto"/>
        </w:rPr>
      </w:pPr>
    </w:p>
    <w:p>
      <w:pPr>
        <w:jc w:val="both"/>
        <w:ind w:left="120" w:right="20"/>
        <w:spacing w:after="0" w:line="234" w:lineRule="auto"/>
        <w:rPr>
          <w:sz w:val="20"/>
          <w:szCs w:val="20"/>
          <w:color w:val="auto"/>
        </w:rPr>
      </w:pPr>
      <w:r>
        <w:rPr>
          <w:rFonts w:ascii="Arial" w:cs="Arial" w:eastAsia="Arial" w:hAnsi="Arial"/>
          <w:sz w:val="20"/>
          <w:szCs w:val="20"/>
          <w:color w:val="3E3935"/>
        </w:rPr>
        <w:t>If our shareholders do not approve Amendment No. 1, the 2020 LTIP will remain in effect in accordance with its terms, subject to its original expiration date. However, without approval of Amendment No. 1 by our shareholders, there eventually will be insufficient shares available under the 2020 LTIP to grant new awards. In this event, the Compensation Committee will be required to revise its compensation philosophy and formulate cash-based programs to attract, motivate, and retain top-tier talent.</w:t>
      </w:r>
    </w:p>
    <w:p>
      <w:pPr>
        <w:spacing w:after="0" w:line="271" w:lineRule="exact"/>
        <w:rPr>
          <w:sz w:val="20"/>
          <w:szCs w:val="20"/>
          <w:color w:val="auto"/>
        </w:rPr>
      </w:pPr>
    </w:p>
    <w:p>
      <w:pPr>
        <w:ind w:left="660" w:hanging="481"/>
        <w:spacing w:after="0"/>
        <w:tabs>
          <w:tab w:leader="none" w:pos="660" w:val="left"/>
        </w:tabs>
        <w:numPr>
          <w:ilvl w:val="0"/>
          <w:numId w:val="140"/>
        </w:numPr>
        <w:rPr>
          <w:rFonts w:ascii="Times New Roman" w:cs="Times New Roman" w:eastAsia="Times New Roman" w:hAnsi="Times New Roman"/>
          <w:sz w:val="31"/>
          <w:szCs w:val="31"/>
          <w:color w:val="0071CE"/>
          <w:vertAlign w:val="superscript"/>
        </w:rPr>
      </w:pPr>
      <w:r>
        <w:rPr>
          <w:rFonts w:ascii="Arial" w:cs="Arial" w:eastAsia="Arial" w:hAnsi="Arial"/>
          <w:sz w:val="25"/>
          <w:szCs w:val="25"/>
          <w:color w:val="3E3935"/>
        </w:rPr>
        <w:t>Key Facts and Features of the 2020 LTIP</w:t>
      </w:r>
    </w:p>
    <w:p>
      <w:pPr>
        <w:spacing w:after="0" w:line="114" w:lineRule="exact"/>
        <w:rPr>
          <w:sz w:val="20"/>
          <w:szCs w:val="20"/>
          <w:color w:val="auto"/>
        </w:rPr>
      </w:pPr>
    </w:p>
    <w:p>
      <w:pPr>
        <w:ind w:left="120"/>
        <w:spacing w:after="0" w:line="257" w:lineRule="auto"/>
        <w:rPr>
          <w:sz w:val="20"/>
          <w:szCs w:val="20"/>
          <w:color w:val="auto"/>
        </w:rPr>
      </w:pPr>
      <w:r>
        <w:rPr>
          <w:rFonts w:ascii="Arial" w:cs="Arial" w:eastAsia="Arial" w:hAnsi="Arial"/>
          <w:sz w:val="20"/>
          <w:szCs w:val="20"/>
          <w:color w:val="3E3935"/>
        </w:rPr>
        <w:t>The 2020 LTIP allows the Compensation Committee to continue to approve equity awards to support our performance-based compensation programs and align the long-term interests of our executives and shareholders.</w:t>
      </w:r>
    </w:p>
    <w:p>
      <w:pPr>
        <w:spacing w:after="0" w:line="61" w:lineRule="exact"/>
        <w:rPr>
          <w:sz w:val="20"/>
          <w:szCs w:val="20"/>
          <w:color w:val="auto"/>
        </w:rPr>
      </w:pPr>
    </w:p>
    <w:p>
      <w:pPr>
        <w:jc w:val="both"/>
        <w:ind w:left="340" w:right="20" w:hanging="224"/>
        <w:spacing w:after="0" w:line="241" w:lineRule="auto"/>
        <w:tabs>
          <w:tab w:leader="none" w:pos="340" w:val="left"/>
        </w:tabs>
        <w:numPr>
          <w:ilvl w:val="0"/>
          <w:numId w:val="141"/>
        </w:numPr>
        <w:rPr>
          <w:rFonts w:ascii="Arial" w:cs="Arial" w:eastAsia="Arial" w:hAnsi="Arial"/>
          <w:sz w:val="18"/>
          <w:szCs w:val="18"/>
          <w:color w:val="00C1DE"/>
        </w:rPr>
      </w:pPr>
      <w:r>
        <w:rPr>
          <w:rFonts w:ascii="Arial" w:cs="Arial" w:eastAsia="Arial" w:hAnsi="Arial"/>
          <w:sz w:val="20"/>
          <w:szCs w:val="20"/>
          <w:color w:val="3E3935"/>
        </w:rPr>
        <w:t>We are seeking shareholder approval of Amendment No. 1, which authorizes an additional 27 million shares for issuance under the 2020 LTIP, representing 1.9% of the outstanding shares of our common stock as of the record date, which may be granted in the form of stock options, SARs, restricted stock, RSUs, performance awards, or other stock-based awards.</w:t>
      </w:r>
    </w:p>
    <w:p>
      <w:pPr>
        <w:spacing w:after="0" w:line="116" w:lineRule="exact"/>
        <w:rPr>
          <w:sz w:val="20"/>
          <w:szCs w:val="20"/>
          <w:color w:val="auto"/>
        </w:rPr>
      </w:pPr>
    </w:p>
    <w:p>
      <w:pPr>
        <w:ind w:left="120"/>
        <w:spacing w:after="0"/>
        <w:rPr>
          <w:sz w:val="20"/>
          <w:szCs w:val="20"/>
          <w:color w:val="auto"/>
        </w:rPr>
      </w:pPr>
      <w:r>
        <w:rPr>
          <w:rFonts w:ascii="Arial" w:cs="Arial" w:eastAsia="Arial" w:hAnsi="Arial"/>
          <w:sz w:val="14"/>
          <w:szCs w:val="14"/>
          <w:color w:val="0071CE"/>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wp:posOffset>
            </wp:positionH>
            <wp:positionV relativeFrom="paragraph">
              <wp:posOffset>-95885</wp:posOffset>
            </wp:positionV>
            <wp:extent cx="5983605" cy="10287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5983605" cy="102870"/>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6" w:lineRule="exact"/>
        <w:rPr>
          <w:sz w:val="20"/>
          <w:szCs w:val="20"/>
          <w:color w:val="auto"/>
        </w:rPr>
      </w:pPr>
    </w:p>
    <w:p>
      <w:pPr>
        <w:ind w:left="340" w:right="20" w:hanging="224"/>
        <w:spacing w:after="0" w:line="281" w:lineRule="auto"/>
        <w:tabs>
          <w:tab w:leader="none" w:pos="340" w:val="left"/>
        </w:tabs>
        <w:numPr>
          <w:ilvl w:val="0"/>
          <w:numId w:val="142"/>
        </w:numPr>
        <w:rPr>
          <w:rFonts w:ascii="Arial" w:cs="Arial" w:eastAsia="Arial" w:hAnsi="Arial"/>
          <w:sz w:val="17"/>
          <w:szCs w:val="17"/>
          <w:color w:val="00C1DE"/>
        </w:rPr>
      </w:pPr>
      <w:r>
        <w:rPr>
          <w:rFonts w:ascii="Arial" w:cs="Arial" w:eastAsia="Arial" w:hAnsi="Arial"/>
          <w:sz w:val="19"/>
          <w:szCs w:val="19"/>
          <w:color w:val="3E3935"/>
        </w:rPr>
        <w:t>We expect the requested shares under Amendment No. 1, plus the remaining shares that are available for issuance under the 2020 LTIP, to be sufficient for a period of two to three years, with an anticipated annual burn rate of approximately 1%.</w:t>
      </w:r>
    </w:p>
    <w:p>
      <w:pPr>
        <w:spacing w:after="0" w:line="1" w:lineRule="exact"/>
        <w:rPr>
          <w:rFonts w:ascii="Arial" w:cs="Arial" w:eastAsia="Arial" w:hAnsi="Arial"/>
          <w:sz w:val="17"/>
          <w:szCs w:val="17"/>
          <w:color w:val="00C1DE"/>
        </w:rPr>
      </w:pPr>
    </w:p>
    <w:p>
      <w:pPr>
        <w:jc w:val="both"/>
        <w:ind w:left="340" w:right="20" w:hanging="224"/>
        <w:spacing w:after="0" w:line="241" w:lineRule="auto"/>
        <w:tabs>
          <w:tab w:leader="none" w:pos="340" w:val="left"/>
        </w:tabs>
        <w:numPr>
          <w:ilvl w:val="0"/>
          <w:numId w:val="142"/>
        </w:numPr>
        <w:rPr>
          <w:rFonts w:ascii="Arial" w:cs="Arial" w:eastAsia="Arial" w:hAnsi="Arial"/>
          <w:sz w:val="18"/>
          <w:szCs w:val="18"/>
          <w:color w:val="00C1DE"/>
        </w:rPr>
      </w:pPr>
      <w:r>
        <w:rPr>
          <w:rFonts w:ascii="Arial" w:cs="Arial" w:eastAsia="Arial" w:hAnsi="Arial"/>
          <w:sz w:val="20"/>
          <w:szCs w:val="20"/>
          <w:color w:val="3E3935"/>
        </w:rPr>
        <w:t>All employees (approximately 167,000 as of December 31, 2022) are eligible to receive awards under the 2020 LTIP, and we intend to grant equity to approximately 1,700 employees (which includes our 9 executive officers) representing approximately 1% of our global workforce.</w:t>
      </w:r>
    </w:p>
    <w:p>
      <w:pPr>
        <w:spacing w:after="0" w:line="36" w:lineRule="exact"/>
        <w:rPr>
          <w:rFonts w:ascii="Arial" w:cs="Arial" w:eastAsia="Arial" w:hAnsi="Arial"/>
          <w:sz w:val="18"/>
          <w:szCs w:val="18"/>
          <w:color w:val="00C1DE"/>
        </w:rPr>
      </w:pPr>
    </w:p>
    <w:p>
      <w:pPr>
        <w:jc w:val="both"/>
        <w:ind w:left="340" w:hanging="224"/>
        <w:spacing w:after="0" w:line="233" w:lineRule="auto"/>
        <w:tabs>
          <w:tab w:leader="none" w:pos="340" w:val="left"/>
        </w:tabs>
        <w:numPr>
          <w:ilvl w:val="0"/>
          <w:numId w:val="142"/>
        </w:numPr>
        <w:rPr>
          <w:rFonts w:ascii="Arial" w:cs="Arial" w:eastAsia="Arial" w:hAnsi="Arial"/>
          <w:sz w:val="18"/>
          <w:szCs w:val="18"/>
          <w:color w:val="00C1DE"/>
        </w:rPr>
      </w:pPr>
      <w:r>
        <w:rPr>
          <w:rFonts w:ascii="Arial" w:cs="Arial" w:eastAsia="Arial" w:hAnsi="Arial"/>
          <w:sz w:val="20"/>
          <w:szCs w:val="20"/>
          <w:color w:val="3E3935"/>
        </w:rPr>
        <w:t>Twelve non-employee directors are eligible to receive awards under the 2020 LTIP, subject to an annual limit of $750,000 per director for awards granted plus cash fees paid for service as a member of the Board. We have not granted any awards to our non-employee directors in the past, and no such awards are contemplated under the non-employee director compensation program at this time. However, we have the flexibility to update the program as appropriate. The 2020 LTIP also allows awards to be granted to certain Company consultants and advisors, although none have received awards in the past, nor do we currently intend to make such awards in the future.</w:t>
      </w:r>
    </w:p>
    <w:p>
      <w:pPr>
        <w:spacing w:after="0" w:line="105" w:lineRule="exact"/>
        <w:rPr>
          <w:sz w:val="20"/>
          <w:szCs w:val="20"/>
          <w:color w:val="auto"/>
        </w:rPr>
      </w:pPr>
    </w:p>
    <w:p>
      <w:pPr>
        <w:ind w:left="120" w:right="20"/>
        <w:spacing w:after="0" w:line="257" w:lineRule="auto"/>
        <w:rPr>
          <w:sz w:val="20"/>
          <w:szCs w:val="20"/>
          <w:color w:val="auto"/>
        </w:rPr>
      </w:pPr>
      <w:r>
        <w:rPr>
          <w:rFonts w:ascii="Arial" w:cs="Arial" w:eastAsia="Arial" w:hAnsi="Arial"/>
          <w:sz w:val="20"/>
          <w:szCs w:val="20"/>
          <w:color w:val="3E3935"/>
        </w:rPr>
        <w:t>The 2020 LTIP contains key features that protect shareholders’ interests and align to our compensation principles and practices discussed in the Compensation Discussion and Analysis:</w:t>
      </w:r>
    </w:p>
    <w:p>
      <w:pPr>
        <w:spacing w:after="0" w:line="59" w:lineRule="exact"/>
        <w:rPr>
          <w:sz w:val="20"/>
          <w:szCs w:val="20"/>
          <w:color w:val="auto"/>
        </w:rPr>
      </w:pPr>
    </w:p>
    <w:p>
      <w:pPr>
        <w:jc w:val="both"/>
        <w:ind w:left="340" w:hanging="224"/>
        <w:spacing w:after="0" w:line="242" w:lineRule="auto"/>
        <w:tabs>
          <w:tab w:leader="none" w:pos="340" w:val="left"/>
        </w:tabs>
        <w:numPr>
          <w:ilvl w:val="0"/>
          <w:numId w:val="143"/>
        </w:numPr>
        <w:rPr>
          <w:rFonts w:ascii="Arial" w:cs="Arial" w:eastAsia="Arial" w:hAnsi="Arial"/>
          <w:sz w:val="18"/>
          <w:szCs w:val="18"/>
          <w:color w:val="00C1DE"/>
        </w:rPr>
      </w:pPr>
      <w:r>
        <w:rPr>
          <w:rFonts w:ascii="Arial" w:cs="Arial" w:eastAsia="Arial" w:hAnsi="Arial"/>
          <w:sz w:val="20"/>
          <w:szCs w:val="20"/>
          <w:b w:val="1"/>
          <w:bCs w:val="1"/>
          <w:color w:val="3E3935"/>
        </w:rPr>
        <w:t xml:space="preserve">Minimum Vesting Periods </w:t>
      </w:r>
      <w:r>
        <w:rPr>
          <w:rFonts w:ascii="Arial" w:cs="Arial" w:eastAsia="Arial" w:hAnsi="Arial"/>
          <w:sz w:val="20"/>
          <w:szCs w:val="20"/>
          <w:color w:val="3E3935"/>
        </w:rPr>
        <w:t>– Generally, no stock options or SARs will vest prior to the first anniversary of the vesting</w:t>
      </w:r>
      <w:r>
        <w:rPr>
          <w:rFonts w:ascii="Arial" w:cs="Arial" w:eastAsia="Arial" w:hAnsi="Arial"/>
          <w:sz w:val="20"/>
          <w:szCs w:val="20"/>
          <w:b w:val="1"/>
          <w:bCs w:val="1"/>
          <w:color w:val="3E3935"/>
        </w:rPr>
        <w:t xml:space="preserve"> </w:t>
      </w:r>
      <w:r>
        <w:rPr>
          <w:rFonts w:ascii="Arial" w:cs="Arial" w:eastAsia="Arial" w:hAnsi="Arial"/>
          <w:sz w:val="20"/>
          <w:szCs w:val="20"/>
          <w:color w:val="3E3935"/>
        </w:rPr>
        <w:t>commencement date. Restricted stock, RSUs, and performance awards will generally vest over a period of not less than three years from the vesting commencement date.</w:t>
      </w:r>
    </w:p>
    <w:p>
      <w:pPr>
        <w:spacing w:after="0" w:line="33" w:lineRule="exact"/>
        <w:rPr>
          <w:rFonts w:ascii="Arial" w:cs="Arial" w:eastAsia="Arial" w:hAnsi="Arial"/>
          <w:sz w:val="18"/>
          <w:szCs w:val="18"/>
          <w:color w:val="00C1DE"/>
        </w:rPr>
      </w:pPr>
    </w:p>
    <w:p>
      <w:pPr>
        <w:jc w:val="both"/>
        <w:ind w:left="340" w:hanging="224"/>
        <w:spacing w:after="0" w:line="242" w:lineRule="auto"/>
        <w:tabs>
          <w:tab w:leader="none" w:pos="340" w:val="left"/>
        </w:tabs>
        <w:numPr>
          <w:ilvl w:val="0"/>
          <w:numId w:val="143"/>
        </w:numPr>
        <w:rPr>
          <w:rFonts w:ascii="Arial" w:cs="Arial" w:eastAsia="Arial" w:hAnsi="Arial"/>
          <w:sz w:val="18"/>
          <w:szCs w:val="18"/>
          <w:color w:val="00C1DE"/>
        </w:rPr>
      </w:pPr>
      <w:r>
        <w:rPr>
          <w:rFonts w:ascii="Arial" w:cs="Arial" w:eastAsia="Arial" w:hAnsi="Arial"/>
          <w:sz w:val="20"/>
          <w:szCs w:val="20"/>
          <w:b w:val="1"/>
          <w:bCs w:val="1"/>
          <w:color w:val="3E3935"/>
        </w:rPr>
        <w:t xml:space="preserve">Double-Trigger Change in Control </w:t>
      </w:r>
      <w:r>
        <w:rPr>
          <w:rFonts w:ascii="Arial" w:cs="Arial" w:eastAsia="Arial" w:hAnsi="Arial"/>
          <w:sz w:val="20"/>
          <w:szCs w:val="20"/>
          <w:color w:val="3E3935"/>
        </w:rPr>
        <w:t>– Awards that are continued or converted into similar awards of the successor</w:t>
      </w:r>
      <w:r>
        <w:rPr>
          <w:rFonts w:ascii="Arial" w:cs="Arial" w:eastAsia="Arial" w:hAnsi="Arial"/>
          <w:sz w:val="20"/>
          <w:szCs w:val="20"/>
          <w:b w:val="1"/>
          <w:bCs w:val="1"/>
          <w:color w:val="3E3935"/>
        </w:rPr>
        <w:t xml:space="preserve"> </w:t>
      </w:r>
      <w:r>
        <w:rPr>
          <w:rFonts w:ascii="Arial" w:cs="Arial" w:eastAsia="Arial" w:hAnsi="Arial"/>
          <w:sz w:val="20"/>
          <w:szCs w:val="20"/>
          <w:color w:val="3E3935"/>
        </w:rPr>
        <w:t>company will not accelerate vesting based solely on a change in control, and gross-ups are not provided to cover personal income taxes or excise taxes.</w:t>
      </w:r>
    </w:p>
    <w:p>
      <w:pPr>
        <w:spacing w:after="0" w:line="33" w:lineRule="exact"/>
        <w:rPr>
          <w:rFonts w:ascii="Arial" w:cs="Arial" w:eastAsia="Arial" w:hAnsi="Arial"/>
          <w:sz w:val="18"/>
          <w:szCs w:val="18"/>
          <w:color w:val="00C1DE"/>
        </w:rPr>
      </w:pPr>
    </w:p>
    <w:p>
      <w:pPr>
        <w:jc w:val="both"/>
        <w:ind w:left="340" w:right="20" w:hanging="224"/>
        <w:spacing w:after="0" w:line="242" w:lineRule="auto"/>
        <w:tabs>
          <w:tab w:leader="none" w:pos="340" w:val="left"/>
        </w:tabs>
        <w:numPr>
          <w:ilvl w:val="0"/>
          <w:numId w:val="143"/>
        </w:numPr>
        <w:rPr>
          <w:rFonts w:ascii="Arial" w:cs="Arial" w:eastAsia="Arial" w:hAnsi="Arial"/>
          <w:sz w:val="18"/>
          <w:szCs w:val="18"/>
          <w:color w:val="00C1DE"/>
        </w:rPr>
      </w:pPr>
      <w:r>
        <w:rPr>
          <w:rFonts w:ascii="Arial" w:cs="Arial" w:eastAsia="Arial" w:hAnsi="Arial"/>
          <w:sz w:val="20"/>
          <w:szCs w:val="20"/>
          <w:b w:val="1"/>
          <w:bCs w:val="1"/>
          <w:color w:val="3E3935"/>
        </w:rPr>
        <w:t xml:space="preserve">No Payment of Dividend Equivalents until Awards are Earned </w:t>
      </w:r>
      <w:r>
        <w:rPr>
          <w:rFonts w:ascii="Arial" w:cs="Arial" w:eastAsia="Arial" w:hAnsi="Arial"/>
          <w:sz w:val="20"/>
          <w:szCs w:val="20"/>
          <w:color w:val="3E3935"/>
        </w:rPr>
        <w:t>– Restricted stock, RSUs, performance awards, and</w:t>
      </w:r>
      <w:r>
        <w:rPr>
          <w:rFonts w:ascii="Arial" w:cs="Arial" w:eastAsia="Arial" w:hAnsi="Arial"/>
          <w:sz w:val="20"/>
          <w:szCs w:val="20"/>
          <w:b w:val="1"/>
          <w:bCs w:val="1"/>
          <w:color w:val="3E3935"/>
        </w:rPr>
        <w:t xml:space="preserve"> </w:t>
      </w:r>
      <w:r>
        <w:rPr>
          <w:rFonts w:ascii="Arial" w:cs="Arial" w:eastAsia="Arial" w:hAnsi="Arial"/>
          <w:sz w:val="20"/>
          <w:szCs w:val="20"/>
          <w:color w:val="3E3935"/>
        </w:rPr>
        <w:t>other stock-based awards will only receive dividend equivalent payments once awards are earned and settled. Stock options and SARs are generally not eligible for dividend equivalents.</w:t>
      </w:r>
    </w:p>
    <w:p>
      <w:pPr>
        <w:spacing w:after="0" w:line="33" w:lineRule="exact"/>
        <w:rPr>
          <w:rFonts w:ascii="Arial" w:cs="Arial" w:eastAsia="Arial" w:hAnsi="Arial"/>
          <w:sz w:val="18"/>
          <w:szCs w:val="18"/>
          <w:color w:val="00C1DE"/>
        </w:rPr>
      </w:pPr>
    </w:p>
    <w:p>
      <w:pPr>
        <w:ind w:left="340" w:right="20" w:hanging="224"/>
        <w:spacing w:after="0" w:line="259" w:lineRule="auto"/>
        <w:tabs>
          <w:tab w:leader="none" w:pos="340" w:val="left"/>
        </w:tabs>
        <w:numPr>
          <w:ilvl w:val="0"/>
          <w:numId w:val="143"/>
        </w:numPr>
        <w:rPr>
          <w:rFonts w:ascii="Arial" w:cs="Arial" w:eastAsia="Arial" w:hAnsi="Arial"/>
          <w:sz w:val="18"/>
          <w:szCs w:val="18"/>
          <w:color w:val="00C1DE"/>
        </w:rPr>
      </w:pPr>
      <w:r>
        <w:rPr>
          <w:rFonts w:ascii="Arial" w:cs="Arial" w:eastAsia="Arial" w:hAnsi="Arial"/>
          <w:sz w:val="20"/>
          <w:szCs w:val="20"/>
          <w:b w:val="1"/>
          <w:bCs w:val="1"/>
          <w:color w:val="3E3935"/>
        </w:rPr>
        <w:t xml:space="preserve">No “Evergreen” Provisions </w:t>
      </w:r>
      <w:r>
        <w:rPr>
          <w:rFonts w:ascii="Arial" w:cs="Arial" w:eastAsia="Arial" w:hAnsi="Arial"/>
          <w:sz w:val="20"/>
          <w:szCs w:val="20"/>
          <w:color w:val="3E3935"/>
        </w:rPr>
        <w:t>– The 2020 LTIP does not allow for automatic increases in the number of shares available</w:t>
      </w:r>
      <w:r>
        <w:rPr>
          <w:rFonts w:ascii="Arial" w:cs="Arial" w:eastAsia="Arial" w:hAnsi="Arial"/>
          <w:sz w:val="20"/>
          <w:szCs w:val="20"/>
          <w:b w:val="1"/>
          <w:bCs w:val="1"/>
          <w:color w:val="3E3935"/>
        </w:rPr>
        <w:t xml:space="preserve"> </w:t>
      </w:r>
      <w:r>
        <w:rPr>
          <w:rFonts w:ascii="Arial" w:cs="Arial" w:eastAsia="Arial" w:hAnsi="Arial"/>
          <w:sz w:val="20"/>
          <w:szCs w:val="20"/>
          <w:color w:val="3E3935"/>
        </w:rPr>
        <w:t>under the plan.</w:t>
      </w:r>
    </w:p>
    <w:p>
      <w:pPr>
        <w:spacing w:after="0" w:line="16" w:lineRule="exact"/>
        <w:rPr>
          <w:rFonts w:ascii="Arial" w:cs="Arial" w:eastAsia="Arial" w:hAnsi="Arial"/>
          <w:sz w:val="18"/>
          <w:szCs w:val="18"/>
          <w:color w:val="00C1DE"/>
        </w:rPr>
      </w:pPr>
    </w:p>
    <w:p>
      <w:pPr>
        <w:jc w:val="both"/>
        <w:ind w:left="340" w:hanging="224"/>
        <w:spacing w:after="0" w:line="237" w:lineRule="auto"/>
        <w:tabs>
          <w:tab w:leader="none" w:pos="340" w:val="left"/>
        </w:tabs>
        <w:numPr>
          <w:ilvl w:val="0"/>
          <w:numId w:val="143"/>
        </w:numPr>
        <w:rPr>
          <w:rFonts w:ascii="Arial" w:cs="Arial" w:eastAsia="Arial" w:hAnsi="Arial"/>
          <w:sz w:val="18"/>
          <w:szCs w:val="18"/>
          <w:color w:val="00C1DE"/>
        </w:rPr>
      </w:pPr>
      <w:r>
        <w:rPr>
          <w:rFonts w:ascii="Arial" w:cs="Arial" w:eastAsia="Arial" w:hAnsi="Arial"/>
          <w:sz w:val="20"/>
          <w:szCs w:val="20"/>
          <w:b w:val="1"/>
          <w:bCs w:val="1"/>
          <w:color w:val="3E3935"/>
        </w:rPr>
        <w:t xml:space="preserve">No Repricing of Stock Options or SARs </w:t>
      </w:r>
      <w:r>
        <w:rPr>
          <w:rFonts w:ascii="Arial" w:cs="Arial" w:eastAsia="Arial" w:hAnsi="Arial"/>
          <w:sz w:val="20"/>
          <w:szCs w:val="20"/>
          <w:color w:val="3E3935"/>
        </w:rPr>
        <w:t>– The repricing of stock options or SARs, or any other action that has the effect</w:t>
      </w:r>
      <w:r>
        <w:rPr>
          <w:rFonts w:ascii="Arial" w:cs="Arial" w:eastAsia="Arial" w:hAnsi="Arial"/>
          <w:sz w:val="20"/>
          <w:szCs w:val="20"/>
          <w:b w:val="1"/>
          <w:bCs w:val="1"/>
          <w:color w:val="3E3935"/>
        </w:rPr>
        <w:t xml:space="preserve"> </w:t>
      </w:r>
      <w:r>
        <w:rPr>
          <w:rFonts w:ascii="Arial" w:cs="Arial" w:eastAsia="Arial" w:hAnsi="Arial"/>
          <w:sz w:val="20"/>
          <w:szCs w:val="20"/>
          <w:color w:val="3E3935"/>
        </w:rPr>
        <w:t>of reducing the exercise price of stock options or SARs, including voluntary surrender and re-grant, or the exchange of underwater stock options or SARs for cash or any other security, is prohibited without shareholder approval (other than adjustments in connection with a corporate transaction or restructuring).</w:t>
      </w:r>
    </w:p>
    <w:p>
      <w:pPr>
        <w:spacing w:after="0" w:line="36" w:lineRule="exact"/>
        <w:rPr>
          <w:rFonts w:ascii="Arial" w:cs="Arial" w:eastAsia="Arial" w:hAnsi="Arial"/>
          <w:sz w:val="18"/>
          <w:szCs w:val="18"/>
          <w:color w:val="00C1DE"/>
        </w:rPr>
      </w:pPr>
    </w:p>
    <w:p>
      <w:pPr>
        <w:ind w:left="340" w:right="20" w:hanging="224"/>
        <w:spacing w:after="0" w:line="259" w:lineRule="auto"/>
        <w:tabs>
          <w:tab w:leader="none" w:pos="340" w:val="left"/>
        </w:tabs>
        <w:numPr>
          <w:ilvl w:val="0"/>
          <w:numId w:val="143"/>
        </w:numPr>
        <w:rPr>
          <w:rFonts w:ascii="Arial" w:cs="Arial" w:eastAsia="Arial" w:hAnsi="Arial"/>
          <w:sz w:val="18"/>
          <w:szCs w:val="18"/>
          <w:color w:val="00C1DE"/>
        </w:rPr>
      </w:pPr>
      <w:r>
        <w:rPr>
          <w:rFonts w:ascii="Arial" w:cs="Arial" w:eastAsia="Arial" w:hAnsi="Arial"/>
          <w:sz w:val="20"/>
          <w:szCs w:val="20"/>
          <w:b w:val="1"/>
          <w:bCs w:val="1"/>
          <w:color w:val="3E3935"/>
        </w:rPr>
        <w:t xml:space="preserve">No Discounted Stock Options or SARs </w:t>
      </w:r>
      <w:r>
        <w:rPr>
          <w:rFonts w:ascii="Arial" w:cs="Arial" w:eastAsia="Arial" w:hAnsi="Arial"/>
          <w:sz w:val="20"/>
          <w:szCs w:val="20"/>
          <w:color w:val="3E3935"/>
        </w:rPr>
        <w:t>– The 2020 LTIP prohibits granting stock options or SARs with an exercise price</w:t>
      </w:r>
      <w:r>
        <w:rPr>
          <w:rFonts w:ascii="Arial" w:cs="Arial" w:eastAsia="Arial" w:hAnsi="Arial"/>
          <w:sz w:val="20"/>
          <w:szCs w:val="20"/>
          <w:b w:val="1"/>
          <w:bCs w:val="1"/>
          <w:color w:val="3E3935"/>
        </w:rPr>
        <w:t xml:space="preserve"> </w:t>
      </w:r>
      <w:r>
        <w:rPr>
          <w:rFonts w:ascii="Arial" w:cs="Arial" w:eastAsia="Arial" w:hAnsi="Arial"/>
          <w:sz w:val="20"/>
          <w:szCs w:val="20"/>
          <w:color w:val="3E3935"/>
        </w:rPr>
        <w:t>less than the fair market value of GM common stock on the date of grant.</w:t>
      </w:r>
    </w:p>
    <w:p>
      <w:pPr>
        <w:spacing w:after="0" w:line="16" w:lineRule="exact"/>
        <w:rPr>
          <w:rFonts w:ascii="Arial" w:cs="Arial" w:eastAsia="Arial" w:hAnsi="Arial"/>
          <w:sz w:val="18"/>
          <w:szCs w:val="18"/>
          <w:color w:val="00C1DE"/>
        </w:rPr>
      </w:pPr>
    </w:p>
    <w:p>
      <w:pPr>
        <w:jc w:val="both"/>
        <w:ind w:left="340" w:hanging="224"/>
        <w:spacing w:after="0" w:line="242" w:lineRule="auto"/>
        <w:tabs>
          <w:tab w:leader="none" w:pos="340" w:val="left"/>
        </w:tabs>
        <w:numPr>
          <w:ilvl w:val="0"/>
          <w:numId w:val="143"/>
        </w:numPr>
        <w:rPr>
          <w:rFonts w:ascii="Arial" w:cs="Arial" w:eastAsia="Arial" w:hAnsi="Arial"/>
          <w:sz w:val="18"/>
          <w:szCs w:val="18"/>
          <w:color w:val="00C1DE"/>
        </w:rPr>
      </w:pPr>
      <w:r>
        <w:rPr>
          <w:rFonts w:ascii="Arial" w:cs="Arial" w:eastAsia="Arial" w:hAnsi="Arial"/>
          <w:sz w:val="20"/>
          <w:szCs w:val="20"/>
          <w:b w:val="1"/>
          <w:bCs w:val="1"/>
          <w:color w:val="3E3935"/>
        </w:rPr>
        <w:t xml:space="preserve">No Recycling of Shares </w:t>
      </w:r>
      <w:r>
        <w:rPr>
          <w:rFonts w:ascii="Arial" w:cs="Arial" w:eastAsia="Arial" w:hAnsi="Arial"/>
          <w:sz w:val="20"/>
          <w:szCs w:val="20"/>
          <w:color w:val="3E3935"/>
        </w:rPr>
        <w:t>– Shares surrendered or withheld in payment for any grant, purchase, exercise price of an award</w:t>
      </w:r>
      <w:r>
        <w:rPr>
          <w:rFonts w:ascii="Arial" w:cs="Arial" w:eastAsia="Arial" w:hAnsi="Arial"/>
          <w:sz w:val="20"/>
          <w:szCs w:val="20"/>
          <w:b w:val="1"/>
          <w:bCs w:val="1"/>
          <w:color w:val="3E3935"/>
        </w:rPr>
        <w:t xml:space="preserve"> </w:t>
      </w:r>
      <w:r>
        <w:rPr>
          <w:rFonts w:ascii="Arial" w:cs="Arial" w:eastAsia="Arial" w:hAnsi="Arial"/>
          <w:sz w:val="20"/>
          <w:szCs w:val="20"/>
          <w:color w:val="3E3935"/>
        </w:rPr>
        <w:t>or taxes related to an award, and shares repurchased in the open market using stock option proceeds will not again become available for grant.</w:t>
      </w:r>
    </w:p>
    <w:p>
      <w:pPr>
        <w:spacing w:after="0" w:line="33" w:lineRule="exact"/>
        <w:rPr>
          <w:rFonts w:ascii="Arial" w:cs="Arial" w:eastAsia="Arial" w:hAnsi="Arial"/>
          <w:sz w:val="18"/>
          <w:szCs w:val="18"/>
          <w:color w:val="00C1DE"/>
        </w:rPr>
      </w:pPr>
    </w:p>
    <w:p>
      <w:pPr>
        <w:ind w:left="340" w:right="20" w:hanging="224"/>
        <w:spacing w:after="0" w:line="259" w:lineRule="auto"/>
        <w:tabs>
          <w:tab w:leader="none" w:pos="340" w:val="left"/>
        </w:tabs>
        <w:numPr>
          <w:ilvl w:val="0"/>
          <w:numId w:val="143"/>
        </w:numPr>
        <w:rPr>
          <w:rFonts w:ascii="Arial" w:cs="Arial" w:eastAsia="Arial" w:hAnsi="Arial"/>
          <w:sz w:val="18"/>
          <w:szCs w:val="18"/>
          <w:color w:val="00C1DE"/>
        </w:rPr>
      </w:pPr>
      <w:r>
        <w:rPr>
          <w:rFonts w:ascii="Arial" w:cs="Arial" w:eastAsia="Arial" w:hAnsi="Arial"/>
          <w:sz w:val="20"/>
          <w:szCs w:val="20"/>
          <w:b w:val="1"/>
          <w:bCs w:val="1"/>
          <w:color w:val="3E3935"/>
        </w:rPr>
        <w:t xml:space="preserve">Clawback/Recoupment </w:t>
      </w:r>
      <w:r>
        <w:rPr>
          <w:rFonts w:ascii="Arial" w:cs="Arial" w:eastAsia="Arial" w:hAnsi="Arial"/>
          <w:sz w:val="20"/>
          <w:szCs w:val="20"/>
          <w:color w:val="3E3935"/>
        </w:rPr>
        <w:t>– Any awards granted under the 2020 LTIP are subject to the Company’s clawback and</w:t>
      </w:r>
      <w:r>
        <w:rPr>
          <w:rFonts w:ascii="Arial" w:cs="Arial" w:eastAsia="Arial" w:hAnsi="Arial"/>
          <w:sz w:val="20"/>
          <w:szCs w:val="20"/>
          <w:b w:val="1"/>
          <w:bCs w:val="1"/>
          <w:color w:val="3E3935"/>
        </w:rPr>
        <w:t xml:space="preserve"> </w:t>
      </w:r>
      <w:r>
        <w:rPr>
          <w:rFonts w:ascii="Arial" w:cs="Arial" w:eastAsia="Arial" w:hAnsi="Arial"/>
          <w:sz w:val="20"/>
          <w:szCs w:val="20"/>
          <w:color w:val="3E3935"/>
        </w:rPr>
        <w:t>cancellation policies.</w:t>
      </w:r>
    </w:p>
    <w:p>
      <w:pPr>
        <w:spacing w:after="0" w:line="99" w:lineRule="exact"/>
        <w:rPr>
          <w:sz w:val="20"/>
          <w:szCs w:val="20"/>
          <w:color w:val="auto"/>
        </w:rPr>
      </w:pPr>
    </w:p>
    <w:p>
      <w:pPr>
        <w:ind w:left="10660"/>
        <w:spacing w:after="0"/>
        <w:rPr>
          <w:sz w:val="20"/>
          <w:szCs w:val="20"/>
          <w:color w:val="auto"/>
        </w:rPr>
      </w:pPr>
      <w:r>
        <w:rPr>
          <w:rFonts w:ascii="Arial" w:cs="Arial" w:eastAsia="Arial" w:hAnsi="Arial"/>
          <w:sz w:val="14"/>
          <w:szCs w:val="14"/>
          <w:color w:val="0071CE"/>
        </w:rPr>
        <w:t>89</w:t>
      </w:r>
    </w:p>
    <w:p>
      <w:pPr>
        <w:sectPr>
          <w:pgSz w:w="11900" w:h="16838" w:orient="portrait"/>
          <w:cols w:equalWidth="0" w:num="1">
            <w:col w:w="11140"/>
          </w:cols>
          <w:pgMar w:left="320" w:top="482" w:right="43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281" w:lineRule="exact"/>
        <w:rPr>
          <w:sz w:val="20"/>
          <w:szCs w:val="20"/>
          <w:color w:val="auto"/>
        </w:rPr>
      </w:pPr>
    </w:p>
    <w:p>
      <w:pPr>
        <w:ind w:left="660" w:hanging="481"/>
        <w:spacing w:after="0"/>
        <w:tabs>
          <w:tab w:leader="none" w:pos="660" w:val="left"/>
        </w:tabs>
        <w:numPr>
          <w:ilvl w:val="0"/>
          <w:numId w:val="144"/>
        </w:numPr>
        <w:rPr>
          <w:rFonts w:ascii="Times New Roman" w:cs="Times New Roman" w:eastAsia="Times New Roman" w:hAnsi="Times New Roman"/>
          <w:sz w:val="31"/>
          <w:szCs w:val="31"/>
          <w:color w:val="0071CE"/>
          <w:vertAlign w:val="superscript"/>
        </w:rPr>
      </w:pPr>
      <w:r>
        <w:rPr>
          <w:rFonts w:ascii="Arial" w:cs="Arial" w:eastAsia="Arial" w:hAnsi="Arial"/>
          <w:sz w:val="25"/>
          <w:szCs w:val="25"/>
          <w:color w:val="3E3935"/>
        </w:rPr>
        <w:t>Potential Equity Dilution and Historical Annual Share Usage</w:t>
      </w:r>
    </w:p>
    <w:p>
      <w:pPr>
        <w:spacing w:after="0" w:line="114" w:lineRule="exact"/>
        <w:rPr>
          <w:sz w:val="20"/>
          <w:szCs w:val="20"/>
          <w:color w:val="auto"/>
        </w:rPr>
      </w:pPr>
    </w:p>
    <w:p>
      <w:pPr>
        <w:jc w:val="both"/>
        <w:ind w:left="120" w:right="20"/>
        <w:spacing w:after="0" w:line="241" w:lineRule="auto"/>
        <w:rPr>
          <w:sz w:val="20"/>
          <w:szCs w:val="20"/>
          <w:color w:val="auto"/>
        </w:rPr>
      </w:pPr>
      <w:r>
        <w:rPr>
          <w:rFonts w:ascii="Arial" w:cs="Arial" w:eastAsia="Arial" w:hAnsi="Arial"/>
          <w:sz w:val="20"/>
          <w:szCs w:val="20"/>
          <w:color w:val="3E3935"/>
        </w:rPr>
        <w:t>While equity-based awards are an important part of our performance-based compensation programs, we are mindful of our responsibility to our shareholders to exercise judgment in granting these awards. The table below provides a summary of outstanding awards and shares available as of December 31, 2022, and March 31, 2023.</w:t>
      </w:r>
    </w:p>
    <w:p>
      <w:pPr>
        <w:spacing w:after="0" w:line="200" w:lineRule="exact"/>
        <w:rPr>
          <w:sz w:val="20"/>
          <w:szCs w:val="20"/>
          <w:color w:val="auto"/>
        </w:rPr>
      </w:pPr>
    </w:p>
    <w:tbl>
      <w:tblPr>
        <w:tblLayout w:type="fixed"/>
        <w:tblInd w:w="120" w:type="dxa"/>
        <w:tblCellMar>
          <w:top w:w="0" w:type="dxa"/>
          <w:left w:w="0" w:type="dxa"/>
          <w:bottom w:w="0" w:type="dxa"/>
          <w:right w:w="0" w:type="dxa"/>
        </w:tblCellMar>
      </w:tblPr>
      <w:tr>
        <w:trPr>
          <w:trHeight w:val="211"/>
        </w:trPr>
        <w:tc>
          <w:tcPr>
            <w:tcW w:w="6340" w:type="dxa"/>
            <w:vAlign w:val="bottom"/>
            <w:tcBorders>
              <w:top w:val="single" w:sz="8" w:color="00C1DE"/>
            </w:tcBorders>
          </w:tcPr>
          <w:p>
            <w:pPr>
              <w:spacing w:after="0"/>
              <w:rPr>
                <w:sz w:val="18"/>
                <w:szCs w:val="18"/>
                <w:color w:val="auto"/>
              </w:rPr>
            </w:pPr>
          </w:p>
        </w:tc>
        <w:tc>
          <w:tcPr>
            <w:tcW w:w="2440" w:type="dxa"/>
            <w:vAlign w:val="bottom"/>
            <w:tcBorders>
              <w:top w:val="single" w:sz="8" w:color="00C1DE"/>
            </w:tcBorders>
          </w:tcPr>
          <w:p>
            <w:pPr>
              <w:jc w:val="right"/>
              <w:ind w:right="203"/>
              <w:spacing w:after="0"/>
              <w:rPr>
                <w:sz w:val="20"/>
                <w:szCs w:val="20"/>
                <w:color w:val="auto"/>
              </w:rPr>
            </w:pPr>
            <w:r>
              <w:rPr>
                <w:rFonts w:ascii="Arial" w:cs="Arial" w:eastAsia="Arial" w:hAnsi="Arial"/>
                <w:sz w:val="18"/>
                <w:szCs w:val="18"/>
                <w:b w:val="1"/>
                <w:bCs w:val="1"/>
                <w:color w:val="00C1DE"/>
              </w:rPr>
              <w:t>As of</w:t>
            </w:r>
          </w:p>
        </w:tc>
        <w:tc>
          <w:tcPr>
            <w:tcW w:w="2240" w:type="dxa"/>
            <w:vAlign w:val="bottom"/>
            <w:tcBorders>
              <w:top w:val="single" w:sz="8" w:color="00C1DE"/>
            </w:tcBorders>
          </w:tcPr>
          <w:p>
            <w:pPr>
              <w:jc w:val="right"/>
              <w:ind w:right="743"/>
              <w:spacing w:after="0"/>
              <w:rPr>
                <w:sz w:val="20"/>
                <w:szCs w:val="20"/>
                <w:color w:val="auto"/>
              </w:rPr>
            </w:pPr>
            <w:r>
              <w:rPr>
                <w:rFonts w:ascii="Arial" w:cs="Arial" w:eastAsia="Arial" w:hAnsi="Arial"/>
                <w:sz w:val="18"/>
                <w:szCs w:val="18"/>
                <w:b w:val="1"/>
                <w:bCs w:val="1"/>
                <w:color w:val="00C1DE"/>
              </w:rPr>
              <w:t>As of</w:t>
            </w:r>
          </w:p>
        </w:tc>
      </w:tr>
      <w:tr>
        <w:trPr>
          <w:trHeight w:val="247"/>
        </w:trPr>
        <w:tc>
          <w:tcPr>
            <w:tcW w:w="6340" w:type="dxa"/>
            <w:vAlign w:val="bottom"/>
          </w:tcPr>
          <w:p>
            <w:pPr>
              <w:spacing w:after="0"/>
              <w:rPr>
                <w:sz w:val="21"/>
                <w:szCs w:val="21"/>
                <w:color w:val="auto"/>
              </w:rPr>
            </w:pPr>
          </w:p>
        </w:tc>
        <w:tc>
          <w:tcPr>
            <w:tcW w:w="2440" w:type="dxa"/>
            <w:vAlign w:val="bottom"/>
          </w:tcPr>
          <w:p>
            <w:pPr>
              <w:jc w:val="right"/>
              <w:ind w:right="203"/>
              <w:spacing w:after="0"/>
              <w:rPr>
                <w:sz w:val="20"/>
                <w:szCs w:val="20"/>
                <w:color w:val="auto"/>
              </w:rPr>
            </w:pPr>
            <w:r>
              <w:rPr>
                <w:rFonts w:ascii="Arial" w:cs="Arial" w:eastAsia="Arial" w:hAnsi="Arial"/>
                <w:sz w:val="18"/>
                <w:szCs w:val="18"/>
                <w:b w:val="1"/>
                <w:bCs w:val="1"/>
                <w:color w:val="00C1DE"/>
              </w:rPr>
              <w:t>December 31, 2022</w:t>
            </w:r>
          </w:p>
        </w:tc>
        <w:tc>
          <w:tcPr>
            <w:tcW w:w="2240" w:type="dxa"/>
            <w:vAlign w:val="bottom"/>
          </w:tcPr>
          <w:p>
            <w:pPr>
              <w:jc w:val="right"/>
              <w:ind w:right="743"/>
              <w:spacing w:after="0"/>
              <w:rPr>
                <w:sz w:val="20"/>
                <w:szCs w:val="20"/>
                <w:color w:val="auto"/>
              </w:rPr>
            </w:pPr>
            <w:r>
              <w:rPr>
                <w:rFonts w:ascii="Arial" w:cs="Arial" w:eastAsia="Arial" w:hAnsi="Arial"/>
                <w:sz w:val="18"/>
                <w:szCs w:val="18"/>
                <w:b w:val="1"/>
                <w:bCs w:val="1"/>
                <w:color w:val="00C1DE"/>
              </w:rPr>
              <w:t>March 31, 2023</w:t>
            </w:r>
          </w:p>
        </w:tc>
      </w:tr>
      <w:tr>
        <w:trPr>
          <w:trHeight w:val="56"/>
        </w:trPr>
        <w:tc>
          <w:tcPr>
            <w:tcW w:w="6340" w:type="dxa"/>
            <w:vAlign w:val="bottom"/>
            <w:tcBorders>
              <w:bottom w:val="single" w:sz="8" w:color="00C1DE"/>
            </w:tcBorders>
          </w:tcPr>
          <w:p>
            <w:pPr>
              <w:spacing w:after="0"/>
              <w:rPr>
                <w:sz w:val="4"/>
                <w:szCs w:val="4"/>
                <w:color w:val="auto"/>
              </w:rPr>
            </w:pPr>
          </w:p>
        </w:tc>
        <w:tc>
          <w:tcPr>
            <w:tcW w:w="2440" w:type="dxa"/>
            <w:vAlign w:val="bottom"/>
            <w:tcBorders>
              <w:bottom w:val="single" w:sz="8" w:color="00C1DE"/>
            </w:tcBorders>
          </w:tcPr>
          <w:p>
            <w:pPr>
              <w:spacing w:after="0"/>
              <w:rPr>
                <w:sz w:val="4"/>
                <w:szCs w:val="4"/>
                <w:color w:val="auto"/>
              </w:rPr>
            </w:pPr>
          </w:p>
        </w:tc>
        <w:tc>
          <w:tcPr>
            <w:tcW w:w="2240" w:type="dxa"/>
            <w:vAlign w:val="bottom"/>
            <w:tcBorders>
              <w:bottom w:val="single" w:sz="8" w:color="00C1DE"/>
            </w:tcBorders>
          </w:tcPr>
          <w:p>
            <w:pPr>
              <w:spacing w:after="0"/>
              <w:rPr>
                <w:sz w:val="4"/>
                <w:szCs w:val="4"/>
                <w:color w:val="auto"/>
              </w:rPr>
            </w:pPr>
          </w:p>
        </w:tc>
      </w:tr>
      <w:tr>
        <w:trPr>
          <w:trHeight w:val="301"/>
        </w:trPr>
        <w:tc>
          <w:tcPr>
            <w:tcW w:w="6340" w:type="dxa"/>
            <w:vAlign w:val="bottom"/>
          </w:tcPr>
          <w:p>
            <w:pPr>
              <w:ind w:left="80"/>
              <w:spacing w:after="0"/>
              <w:rPr>
                <w:sz w:val="20"/>
                <w:szCs w:val="20"/>
                <w:color w:val="auto"/>
              </w:rPr>
            </w:pPr>
            <w:r>
              <w:rPr>
                <w:rFonts w:ascii="Arial" w:cs="Arial" w:eastAsia="Arial" w:hAnsi="Arial"/>
                <w:sz w:val="20"/>
                <w:szCs w:val="20"/>
                <w:color w:val="3E3935"/>
              </w:rPr>
              <w:t>Stock Options Outstanding under the Plans</w:t>
            </w:r>
          </w:p>
        </w:tc>
        <w:tc>
          <w:tcPr>
            <w:tcW w:w="2440" w:type="dxa"/>
            <w:vAlign w:val="bottom"/>
          </w:tcPr>
          <w:p>
            <w:pPr>
              <w:jc w:val="right"/>
              <w:ind w:right="203"/>
              <w:spacing w:after="0"/>
              <w:rPr>
                <w:sz w:val="20"/>
                <w:szCs w:val="20"/>
                <w:color w:val="auto"/>
              </w:rPr>
            </w:pPr>
            <w:r>
              <w:rPr>
                <w:rFonts w:ascii="Arial" w:cs="Arial" w:eastAsia="Arial" w:hAnsi="Arial"/>
                <w:sz w:val="20"/>
                <w:szCs w:val="20"/>
                <w:color w:val="3E3935"/>
              </w:rPr>
              <w:t>18,700,000</w:t>
            </w:r>
          </w:p>
        </w:tc>
        <w:tc>
          <w:tcPr>
            <w:tcW w:w="2240" w:type="dxa"/>
            <w:vAlign w:val="bottom"/>
          </w:tcPr>
          <w:p>
            <w:pPr>
              <w:jc w:val="right"/>
              <w:ind w:right="743"/>
              <w:spacing w:after="0"/>
              <w:rPr>
                <w:sz w:val="20"/>
                <w:szCs w:val="20"/>
                <w:color w:val="auto"/>
              </w:rPr>
            </w:pPr>
            <w:r>
              <w:rPr>
                <w:rFonts w:ascii="Arial" w:cs="Arial" w:eastAsia="Arial" w:hAnsi="Arial"/>
                <w:sz w:val="20"/>
                <w:szCs w:val="20"/>
                <w:color w:val="3E3935"/>
              </w:rPr>
              <w:t>22,900,000</w:t>
            </w:r>
          </w:p>
        </w:tc>
      </w:tr>
      <w:tr>
        <w:trPr>
          <w:trHeight w:val="58"/>
        </w:trPr>
        <w:tc>
          <w:tcPr>
            <w:tcW w:w="6340" w:type="dxa"/>
            <w:vAlign w:val="bottom"/>
            <w:tcBorders>
              <w:bottom w:val="single" w:sz="8" w:color="3E3935"/>
            </w:tcBorders>
          </w:tcPr>
          <w:p>
            <w:pPr>
              <w:spacing w:after="0"/>
              <w:rPr>
                <w:sz w:val="5"/>
                <w:szCs w:val="5"/>
                <w:color w:val="auto"/>
              </w:rPr>
            </w:pPr>
          </w:p>
        </w:tc>
        <w:tc>
          <w:tcPr>
            <w:tcW w:w="2440" w:type="dxa"/>
            <w:vAlign w:val="bottom"/>
            <w:tcBorders>
              <w:bottom w:val="single" w:sz="8" w:color="3E3935"/>
            </w:tcBorders>
          </w:tcPr>
          <w:p>
            <w:pPr>
              <w:spacing w:after="0"/>
              <w:rPr>
                <w:sz w:val="5"/>
                <w:szCs w:val="5"/>
                <w:color w:val="auto"/>
              </w:rPr>
            </w:pPr>
          </w:p>
        </w:tc>
        <w:tc>
          <w:tcPr>
            <w:tcW w:w="2240" w:type="dxa"/>
            <w:vAlign w:val="bottom"/>
            <w:tcBorders>
              <w:bottom w:val="single" w:sz="8" w:color="3E3935"/>
            </w:tcBorders>
          </w:tcPr>
          <w:p>
            <w:pPr>
              <w:spacing w:after="0"/>
              <w:rPr>
                <w:sz w:val="5"/>
                <w:szCs w:val="5"/>
                <w:color w:val="auto"/>
              </w:rPr>
            </w:pPr>
          </w:p>
        </w:tc>
      </w:tr>
      <w:tr>
        <w:trPr>
          <w:trHeight w:val="301"/>
        </w:trPr>
        <w:tc>
          <w:tcPr>
            <w:tcW w:w="6340" w:type="dxa"/>
            <w:vAlign w:val="bottom"/>
          </w:tcPr>
          <w:p>
            <w:pPr>
              <w:ind w:left="220"/>
              <w:spacing w:after="0"/>
              <w:rPr>
                <w:sz w:val="20"/>
                <w:szCs w:val="20"/>
                <w:color w:val="auto"/>
              </w:rPr>
            </w:pPr>
            <w:r>
              <w:rPr>
                <w:rFonts w:ascii="Arial" w:cs="Arial" w:eastAsia="Arial" w:hAnsi="Arial"/>
                <w:sz w:val="20"/>
                <w:szCs w:val="20"/>
                <w:i w:val="1"/>
                <w:iCs w:val="1"/>
                <w:color w:val="3E3935"/>
              </w:rPr>
              <w:t>Vested and Unexercised</w:t>
            </w:r>
          </w:p>
        </w:tc>
        <w:tc>
          <w:tcPr>
            <w:tcW w:w="2440" w:type="dxa"/>
            <w:vAlign w:val="bottom"/>
          </w:tcPr>
          <w:p>
            <w:pPr>
              <w:jc w:val="right"/>
              <w:ind w:right="203"/>
              <w:spacing w:after="0"/>
              <w:rPr>
                <w:sz w:val="20"/>
                <w:szCs w:val="20"/>
                <w:color w:val="auto"/>
              </w:rPr>
            </w:pPr>
            <w:r>
              <w:rPr>
                <w:rFonts w:ascii="Arial" w:cs="Arial" w:eastAsia="Arial" w:hAnsi="Arial"/>
                <w:sz w:val="20"/>
                <w:szCs w:val="20"/>
                <w:i w:val="1"/>
                <w:iCs w:val="1"/>
                <w:color w:val="3E3935"/>
              </w:rPr>
              <w:t>12,900,000</w:t>
            </w:r>
          </w:p>
        </w:tc>
        <w:tc>
          <w:tcPr>
            <w:tcW w:w="2240" w:type="dxa"/>
            <w:vAlign w:val="bottom"/>
          </w:tcPr>
          <w:p>
            <w:pPr>
              <w:jc w:val="right"/>
              <w:ind w:right="743"/>
              <w:spacing w:after="0"/>
              <w:rPr>
                <w:sz w:val="20"/>
                <w:szCs w:val="20"/>
                <w:color w:val="auto"/>
              </w:rPr>
            </w:pPr>
            <w:r>
              <w:rPr>
                <w:rFonts w:ascii="Arial" w:cs="Arial" w:eastAsia="Arial" w:hAnsi="Arial"/>
                <w:sz w:val="20"/>
                <w:szCs w:val="20"/>
                <w:i w:val="1"/>
                <w:iCs w:val="1"/>
                <w:color w:val="3E3935"/>
              </w:rPr>
              <w:t>16,000,000</w:t>
            </w:r>
          </w:p>
        </w:tc>
      </w:tr>
      <w:tr>
        <w:trPr>
          <w:trHeight w:val="57"/>
        </w:trPr>
        <w:tc>
          <w:tcPr>
            <w:tcW w:w="6340" w:type="dxa"/>
            <w:vAlign w:val="bottom"/>
            <w:tcBorders>
              <w:bottom w:val="single" w:sz="8" w:color="3E3935"/>
            </w:tcBorders>
          </w:tcPr>
          <w:p>
            <w:pPr>
              <w:spacing w:after="0"/>
              <w:rPr>
                <w:sz w:val="5"/>
                <w:szCs w:val="5"/>
                <w:color w:val="auto"/>
              </w:rPr>
            </w:pPr>
          </w:p>
        </w:tc>
        <w:tc>
          <w:tcPr>
            <w:tcW w:w="2440" w:type="dxa"/>
            <w:vAlign w:val="bottom"/>
            <w:tcBorders>
              <w:bottom w:val="single" w:sz="8" w:color="3E3935"/>
            </w:tcBorders>
          </w:tcPr>
          <w:p>
            <w:pPr>
              <w:spacing w:after="0"/>
              <w:rPr>
                <w:sz w:val="5"/>
                <w:szCs w:val="5"/>
                <w:color w:val="auto"/>
              </w:rPr>
            </w:pPr>
          </w:p>
        </w:tc>
        <w:tc>
          <w:tcPr>
            <w:tcW w:w="2240" w:type="dxa"/>
            <w:vAlign w:val="bottom"/>
            <w:tcBorders>
              <w:bottom w:val="single" w:sz="8" w:color="3E3935"/>
            </w:tcBorders>
          </w:tcPr>
          <w:p>
            <w:pPr>
              <w:spacing w:after="0"/>
              <w:rPr>
                <w:sz w:val="5"/>
                <w:szCs w:val="5"/>
                <w:color w:val="auto"/>
              </w:rPr>
            </w:pPr>
          </w:p>
        </w:tc>
      </w:tr>
      <w:tr>
        <w:trPr>
          <w:trHeight w:val="301"/>
        </w:trPr>
        <w:tc>
          <w:tcPr>
            <w:tcW w:w="6340" w:type="dxa"/>
            <w:vAlign w:val="bottom"/>
          </w:tcPr>
          <w:p>
            <w:pPr>
              <w:ind w:left="220"/>
              <w:spacing w:after="0"/>
              <w:rPr>
                <w:sz w:val="20"/>
                <w:szCs w:val="20"/>
                <w:color w:val="auto"/>
              </w:rPr>
            </w:pPr>
            <w:r>
              <w:rPr>
                <w:rFonts w:ascii="Arial" w:cs="Arial" w:eastAsia="Arial" w:hAnsi="Arial"/>
                <w:sz w:val="20"/>
                <w:szCs w:val="20"/>
                <w:i w:val="1"/>
                <w:iCs w:val="1"/>
                <w:color w:val="3E3935"/>
              </w:rPr>
              <w:t>Unvested</w:t>
            </w:r>
          </w:p>
        </w:tc>
        <w:tc>
          <w:tcPr>
            <w:tcW w:w="2440" w:type="dxa"/>
            <w:vAlign w:val="bottom"/>
          </w:tcPr>
          <w:p>
            <w:pPr>
              <w:jc w:val="right"/>
              <w:ind w:right="203"/>
              <w:spacing w:after="0"/>
              <w:rPr>
                <w:sz w:val="20"/>
                <w:szCs w:val="20"/>
                <w:color w:val="auto"/>
              </w:rPr>
            </w:pPr>
            <w:r>
              <w:rPr>
                <w:rFonts w:ascii="Arial" w:cs="Arial" w:eastAsia="Arial" w:hAnsi="Arial"/>
                <w:sz w:val="20"/>
                <w:szCs w:val="20"/>
                <w:i w:val="1"/>
                <w:iCs w:val="1"/>
                <w:color w:val="3E3935"/>
              </w:rPr>
              <w:t>5,800,000</w:t>
            </w:r>
          </w:p>
        </w:tc>
        <w:tc>
          <w:tcPr>
            <w:tcW w:w="2240" w:type="dxa"/>
            <w:vAlign w:val="bottom"/>
          </w:tcPr>
          <w:p>
            <w:pPr>
              <w:jc w:val="right"/>
              <w:ind w:right="743"/>
              <w:spacing w:after="0"/>
              <w:rPr>
                <w:sz w:val="20"/>
                <w:szCs w:val="20"/>
                <w:color w:val="auto"/>
              </w:rPr>
            </w:pPr>
            <w:r>
              <w:rPr>
                <w:rFonts w:ascii="Arial" w:cs="Arial" w:eastAsia="Arial" w:hAnsi="Arial"/>
                <w:sz w:val="20"/>
                <w:szCs w:val="20"/>
                <w:i w:val="1"/>
                <w:iCs w:val="1"/>
                <w:color w:val="3E3935"/>
              </w:rPr>
              <w:t>6,900,000</w:t>
            </w:r>
          </w:p>
        </w:tc>
      </w:tr>
      <w:tr>
        <w:trPr>
          <w:trHeight w:val="58"/>
        </w:trPr>
        <w:tc>
          <w:tcPr>
            <w:tcW w:w="6340" w:type="dxa"/>
            <w:vAlign w:val="bottom"/>
            <w:tcBorders>
              <w:bottom w:val="single" w:sz="8" w:color="3E3935"/>
            </w:tcBorders>
          </w:tcPr>
          <w:p>
            <w:pPr>
              <w:spacing w:after="0"/>
              <w:rPr>
                <w:sz w:val="5"/>
                <w:szCs w:val="5"/>
                <w:color w:val="auto"/>
              </w:rPr>
            </w:pPr>
          </w:p>
        </w:tc>
        <w:tc>
          <w:tcPr>
            <w:tcW w:w="2440" w:type="dxa"/>
            <w:vAlign w:val="bottom"/>
            <w:tcBorders>
              <w:bottom w:val="single" w:sz="8" w:color="3E3935"/>
            </w:tcBorders>
          </w:tcPr>
          <w:p>
            <w:pPr>
              <w:spacing w:after="0"/>
              <w:rPr>
                <w:sz w:val="5"/>
                <w:szCs w:val="5"/>
                <w:color w:val="auto"/>
              </w:rPr>
            </w:pPr>
          </w:p>
        </w:tc>
        <w:tc>
          <w:tcPr>
            <w:tcW w:w="2240" w:type="dxa"/>
            <w:vAlign w:val="bottom"/>
            <w:tcBorders>
              <w:bottom w:val="single" w:sz="8" w:color="3E3935"/>
            </w:tcBorders>
          </w:tcPr>
          <w:p>
            <w:pPr>
              <w:spacing w:after="0"/>
              <w:rPr>
                <w:sz w:val="5"/>
                <w:szCs w:val="5"/>
                <w:color w:val="auto"/>
              </w:rPr>
            </w:pPr>
          </w:p>
        </w:tc>
      </w:tr>
      <w:tr>
        <w:trPr>
          <w:trHeight w:val="301"/>
        </w:trPr>
        <w:tc>
          <w:tcPr>
            <w:tcW w:w="6340" w:type="dxa"/>
            <w:vAlign w:val="bottom"/>
          </w:tcPr>
          <w:p>
            <w:pPr>
              <w:ind w:left="80"/>
              <w:spacing w:after="0"/>
              <w:rPr>
                <w:sz w:val="20"/>
                <w:szCs w:val="20"/>
                <w:color w:val="auto"/>
              </w:rPr>
            </w:pPr>
            <w:r>
              <w:rPr>
                <w:rFonts w:ascii="Arial" w:cs="Arial" w:eastAsia="Arial" w:hAnsi="Arial"/>
                <w:sz w:val="20"/>
                <w:szCs w:val="20"/>
                <w:color w:val="3E3935"/>
              </w:rPr>
              <w:t>Weighted Average Exercise Price of Stock Options Outstanding</w:t>
            </w:r>
          </w:p>
        </w:tc>
        <w:tc>
          <w:tcPr>
            <w:tcW w:w="2440" w:type="dxa"/>
            <w:vAlign w:val="bottom"/>
          </w:tcPr>
          <w:p>
            <w:pPr>
              <w:jc w:val="right"/>
              <w:ind w:right="203"/>
              <w:spacing w:after="0"/>
              <w:rPr>
                <w:sz w:val="20"/>
                <w:szCs w:val="20"/>
                <w:color w:val="auto"/>
              </w:rPr>
            </w:pPr>
            <w:r>
              <w:rPr>
                <w:rFonts w:ascii="Arial" w:cs="Arial" w:eastAsia="Arial" w:hAnsi="Arial"/>
                <w:sz w:val="20"/>
                <w:szCs w:val="20"/>
                <w:color w:val="3E3935"/>
              </w:rPr>
              <w:t>$39.46</w:t>
            </w:r>
          </w:p>
        </w:tc>
        <w:tc>
          <w:tcPr>
            <w:tcW w:w="2240" w:type="dxa"/>
            <w:vAlign w:val="bottom"/>
          </w:tcPr>
          <w:p>
            <w:pPr>
              <w:jc w:val="right"/>
              <w:ind w:right="743"/>
              <w:spacing w:after="0"/>
              <w:rPr>
                <w:sz w:val="20"/>
                <w:szCs w:val="20"/>
                <w:color w:val="auto"/>
              </w:rPr>
            </w:pPr>
            <w:r>
              <w:rPr>
                <w:rFonts w:ascii="Arial" w:cs="Arial" w:eastAsia="Arial" w:hAnsi="Arial"/>
                <w:sz w:val="20"/>
                <w:szCs w:val="20"/>
                <w:color w:val="3E3935"/>
              </w:rPr>
              <w:t>$39.88</w:t>
            </w:r>
          </w:p>
        </w:tc>
      </w:tr>
      <w:tr>
        <w:trPr>
          <w:trHeight w:val="57"/>
        </w:trPr>
        <w:tc>
          <w:tcPr>
            <w:tcW w:w="6340" w:type="dxa"/>
            <w:vAlign w:val="bottom"/>
            <w:tcBorders>
              <w:bottom w:val="single" w:sz="8" w:color="3E3935"/>
            </w:tcBorders>
          </w:tcPr>
          <w:p>
            <w:pPr>
              <w:spacing w:after="0"/>
              <w:rPr>
                <w:sz w:val="5"/>
                <w:szCs w:val="5"/>
                <w:color w:val="auto"/>
              </w:rPr>
            </w:pPr>
          </w:p>
        </w:tc>
        <w:tc>
          <w:tcPr>
            <w:tcW w:w="2440" w:type="dxa"/>
            <w:vAlign w:val="bottom"/>
            <w:tcBorders>
              <w:bottom w:val="single" w:sz="8" w:color="3E3935"/>
            </w:tcBorders>
          </w:tcPr>
          <w:p>
            <w:pPr>
              <w:spacing w:after="0"/>
              <w:rPr>
                <w:sz w:val="5"/>
                <w:szCs w:val="5"/>
                <w:color w:val="auto"/>
              </w:rPr>
            </w:pPr>
          </w:p>
        </w:tc>
        <w:tc>
          <w:tcPr>
            <w:tcW w:w="2240" w:type="dxa"/>
            <w:vAlign w:val="bottom"/>
            <w:tcBorders>
              <w:bottom w:val="single" w:sz="8" w:color="3E3935"/>
            </w:tcBorders>
          </w:tcPr>
          <w:p>
            <w:pPr>
              <w:spacing w:after="0"/>
              <w:rPr>
                <w:sz w:val="5"/>
                <w:szCs w:val="5"/>
                <w:color w:val="auto"/>
              </w:rPr>
            </w:pPr>
          </w:p>
        </w:tc>
      </w:tr>
      <w:tr>
        <w:trPr>
          <w:trHeight w:val="301"/>
        </w:trPr>
        <w:tc>
          <w:tcPr>
            <w:tcW w:w="6340" w:type="dxa"/>
            <w:vAlign w:val="bottom"/>
          </w:tcPr>
          <w:p>
            <w:pPr>
              <w:ind w:left="80"/>
              <w:spacing w:after="0"/>
              <w:rPr>
                <w:sz w:val="20"/>
                <w:szCs w:val="20"/>
                <w:color w:val="auto"/>
              </w:rPr>
            </w:pPr>
            <w:r>
              <w:rPr>
                <w:rFonts w:ascii="Arial" w:cs="Arial" w:eastAsia="Arial" w:hAnsi="Arial"/>
                <w:sz w:val="20"/>
                <w:szCs w:val="20"/>
                <w:color w:val="3E3935"/>
              </w:rPr>
              <w:t>Weighted Average Remaining Term of Stock Options Outstanding</w:t>
            </w:r>
          </w:p>
        </w:tc>
        <w:tc>
          <w:tcPr>
            <w:tcW w:w="2440" w:type="dxa"/>
            <w:vAlign w:val="bottom"/>
          </w:tcPr>
          <w:p>
            <w:pPr>
              <w:jc w:val="right"/>
              <w:ind w:right="203"/>
              <w:spacing w:after="0"/>
              <w:rPr>
                <w:sz w:val="20"/>
                <w:szCs w:val="20"/>
                <w:color w:val="auto"/>
              </w:rPr>
            </w:pPr>
            <w:r>
              <w:rPr>
                <w:rFonts w:ascii="Arial" w:cs="Arial" w:eastAsia="Arial" w:hAnsi="Arial"/>
                <w:sz w:val="20"/>
                <w:szCs w:val="20"/>
                <w:color w:val="3E3935"/>
              </w:rPr>
              <w:t>6.23</w:t>
            </w:r>
          </w:p>
        </w:tc>
        <w:tc>
          <w:tcPr>
            <w:tcW w:w="2240" w:type="dxa"/>
            <w:vAlign w:val="bottom"/>
          </w:tcPr>
          <w:p>
            <w:pPr>
              <w:jc w:val="right"/>
              <w:ind w:right="743"/>
              <w:spacing w:after="0"/>
              <w:rPr>
                <w:sz w:val="20"/>
                <w:szCs w:val="20"/>
                <w:color w:val="auto"/>
              </w:rPr>
            </w:pPr>
            <w:r>
              <w:rPr>
                <w:rFonts w:ascii="Arial" w:cs="Arial" w:eastAsia="Arial" w:hAnsi="Arial"/>
                <w:sz w:val="20"/>
                <w:szCs w:val="20"/>
                <w:color w:val="3E3935"/>
              </w:rPr>
              <w:t>6.83</w:t>
            </w:r>
          </w:p>
        </w:tc>
      </w:tr>
      <w:tr>
        <w:trPr>
          <w:trHeight w:val="58"/>
        </w:trPr>
        <w:tc>
          <w:tcPr>
            <w:tcW w:w="6340" w:type="dxa"/>
            <w:vAlign w:val="bottom"/>
            <w:tcBorders>
              <w:bottom w:val="single" w:sz="8" w:color="3E3935"/>
            </w:tcBorders>
          </w:tcPr>
          <w:p>
            <w:pPr>
              <w:spacing w:after="0"/>
              <w:rPr>
                <w:sz w:val="5"/>
                <w:szCs w:val="5"/>
                <w:color w:val="auto"/>
              </w:rPr>
            </w:pPr>
          </w:p>
        </w:tc>
        <w:tc>
          <w:tcPr>
            <w:tcW w:w="2440" w:type="dxa"/>
            <w:vAlign w:val="bottom"/>
            <w:tcBorders>
              <w:bottom w:val="single" w:sz="8" w:color="3E3935"/>
            </w:tcBorders>
          </w:tcPr>
          <w:p>
            <w:pPr>
              <w:spacing w:after="0"/>
              <w:rPr>
                <w:sz w:val="5"/>
                <w:szCs w:val="5"/>
                <w:color w:val="auto"/>
              </w:rPr>
            </w:pPr>
          </w:p>
        </w:tc>
        <w:tc>
          <w:tcPr>
            <w:tcW w:w="2240" w:type="dxa"/>
            <w:vAlign w:val="bottom"/>
            <w:tcBorders>
              <w:bottom w:val="single" w:sz="8" w:color="3E3935"/>
            </w:tcBorders>
          </w:tcPr>
          <w:p>
            <w:pPr>
              <w:spacing w:after="0"/>
              <w:rPr>
                <w:sz w:val="5"/>
                <w:szCs w:val="5"/>
                <w:color w:val="auto"/>
              </w:rPr>
            </w:pPr>
          </w:p>
        </w:tc>
      </w:tr>
      <w:tr>
        <w:trPr>
          <w:trHeight w:val="301"/>
        </w:trPr>
        <w:tc>
          <w:tcPr>
            <w:tcW w:w="6340" w:type="dxa"/>
            <w:vAlign w:val="bottom"/>
          </w:tcPr>
          <w:p>
            <w:pPr>
              <w:ind w:left="80"/>
              <w:spacing w:after="0"/>
              <w:rPr>
                <w:sz w:val="20"/>
                <w:szCs w:val="20"/>
                <w:color w:val="auto"/>
              </w:rPr>
            </w:pPr>
            <w:r>
              <w:rPr>
                <w:rFonts w:ascii="Arial" w:cs="Arial" w:eastAsia="Arial" w:hAnsi="Arial"/>
                <w:sz w:val="20"/>
                <w:szCs w:val="20"/>
                <w:color w:val="3E3935"/>
              </w:rPr>
              <w:t>Full Value Awards Outstanding under the Plans</w:t>
            </w:r>
          </w:p>
        </w:tc>
        <w:tc>
          <w:tcPr>
            <w:tcW w:w="2440" w:type="dxa"/>
            <w:vAlign w:val="bottom"/>
          </w:tcPr>
          <w:p>
            <w:pPr>
              <w:jc w:val="right"/>
              <w:ind w:right="203"/>
              <w:spacing w:after="0"/>
              <w:rPr>
                <w:sz w:val="20"/>
                <w:szCs w:val="20"/>
                <w:color w:val="auto"/>
              </w:rPr>
            </w:pPr>
            <w:r>
              <w:rPr>
                <w:rFonts w:ascii="Arial" w:cs="Arial" w:eastAsia="Arial" w:hAnsi="Arial"/>
                <w:sz w:val="20"/>
                <w:szCs w:val="20"/>
                <w:color w:val="3E3935"/>
              </w:rPr>
              <w:t>15,400,000</w:t>
            </w:r>
          </w:p>
        </w:tc>
        <w:tc>
          <w:tcPr>
            <w:tcW w:w="2240" w:type="dxa"/>
            <w:vAlign w:val="bottom"/>
          </w:tcPr>
          <w:p>
            <w:pPr>
              <w:jc w:val="right"/>
              <w:ind w:right="743"/>
              <w:spacing w:after="0"/>
              <w:rPr>
                <w:sz w:val="20"/>
                <w:szCs w:val="20"/>
                <w:color w:val="auto"/>
              </w:rPr>
            </w:pPr>
            <w:r>
              <w:rPr>
                <w:rFonts w:ascii="Arial" w:cs="Arial" w:eastAsia="Arial" w:hAnsi="Arial"/>
                <w:sz w:val="20"/>
                <w:szCs w:val="20"/>
                <w:color w:val="3E3935"/>
              </w:rPr>
              <w:t>18,300,000</w:t>
            </w:r>
          </w:p>
        </w:tc>
      </w:tr>
      <w:tr>
        <w:trPr>
          <w:trHeight w:val="58"/>
        </w:trPr>
        <w:tc>
          <w:tcPr>
            <w:tcW w:w="6340" w:type="dxa"/>
            <w:vAlign w:val="bottom"/>
            <w:tcBorders>
              <w:bottom w:val="single" w:sz="8" w:color="3E3935"/>
            </w:tcBorders>
          </w:tcPr>
          <w:p>
            <w:pPr>
              <w:spacing w:after="0"/>
              <w:rPr>
                <w:sz w:val="5"/>
                <w:szCs w:val="5"/>
                <w:color w:val="auto"/>
              </w:rPr>
            </w:pPr>
          </w:p>
        </w:tc>
        <w:tc>
          <w:tcPr>
            <w:tcW w:w="2440" w:type="dxa"/>
            <w:vAlign w:val="bottom"/>
            <w:tcBorders>
              <w:bottom w:val="single" w:sz="8" w:color="3E3935"/>
            </w:tcBorders>
          </w:tcPr>
          <w:p>
            <w:pPr>
              <w:spacing w:after="0"/>
              <w:rPr>
                <w:sz w:val="5"/>
                <w:szCs w:val="5"/>
                <w:color w:val="auto"/>
              </w:rPr>
            </w:pPr>
          </w:p>
        </w:tc>
        <w:tc>
          <w:tcPr>
            <w:tcW w:w="2240" w:type="dxa"/>
            <w:vAlign w:val="bottom"/>
            <w:tcBorders>
              <w:bottom w:val="single" w:sz="8" w:color="3E3935"/>
            </w:tcBorders>
          </w:tcPr>
          <w:p>
            <w:pPr>
              <w:spacing w:after="0"/>
              <w:rPr>
                <w:sz w:val="5"/>
                <w:szCs w:val="5"/>
                <w:color w:val="auto"/>
              </w:rPr>
            </w:pPr>
          </w:p>
        </w:tc>
      </w:tr>
      <w:tr>
        <w:trPr>
          <w:trHeight w:val="300"/>
        </w:trPr>
        <w:tc>
          <w:tcPr>
            <w:tcW w:w="6340" w:type="dxa"/>
            <w:vAlign w:val="bottom"/>
          </w:tcPr>
          <w:p>
            <w:pPr>
              <w:ind w:left="220"/>
              <w:spacing w:after="0"/>
              <w:rPr>
                <w:sz w:val="20"/>
                <w:szCs w:val="20"/>
                <w:color w:val="auto"/>
              </w:rPr>
            </w:pPr>
            <w:r>
              <w:rPr>
                <w:rFonts w:ascii="Arial" w:cs="Arial" w:eastAsia="Arial" w:hAnsi="Arial"/>
                <w:sz w:val="20"/>
                <w:szCs w:val="20"/>
                <w:i w:val="1"/>
                <w:iCs w:val="1"/>
                <w:color w:val="3E3935"/>
              </w:rPr>
              <w:t>Outstanding PSUs (at target)</w:t>
            </w:r>
          </w:p>
        </w:tc>
        <w:tc>
          <w:tcPr>
            <w:tcW w:w="2440" w:type="dxa"/>
            <w:vAlign w:val="bottom"/>
          </w:tcPr>
          <w:p>
            <w:pPr>
              <w:jc w:val="right"/>
              <w:ind w:right="203"/>
              <w:spacing w:after="0"/>
              <w:rPr>
                <w:sz w:val="20"/>
                <w:szCs w:val="20"/>
                <w:color w:val="auto"/>
              </w:rPr>
            </w:pPr>
            <w:r>
              <w:rPr>
                <w:rFonts w:ascii="Arial" w:cs="Arial" w:eastAsia="Arial" w:hAnsi="Arial"/>
                <w:sz w:val="20"/>
                <w:szCs w:val="20"/>
                <w:i w:val="1"/>
                <w:iCs w:val="1"/>
                <w:color w:val="3E3935"/>
              </w:rPr>
              <w:t>13,350,000</w:t>
            </w:r>
          </w:p>
        </w:tc>
        <w:tc>
          <w:tcPr>
            <w:tcW w:w="2240" w:type="dxa"/>
            <w:vAlign w:val="bottom"/>
          </w:tcPr>
          <w:p>
            <w:pPr>
              <w:jc w:val="right"/>
              <w:ind w:right="743"/>
              <w:spacing w:after="0"/>
              <w:rPr>
                <w:sz w:val="20"/>
                <w:szCs w:val="20"/>
                <w:color w:val="auto"/>
              </w:rPr>
            </w:pPr>
            <w:r>
              <w:rPr>
                <w:rFonts w:ascii="Arial" w:cs="Arial" w:eastAsia="Arial" w:hAnsi="Arial"/>
                <w:sz w:val="20"/>
                <w:szCs w:val="20"/>
                <w:i w:val="1"/>
                <w:iCs w:val="1"/>
                <w:color w:val="3E3935"/>
              </w:rPr>
              <w:t>15,700,000</w:t>
            </w:r>
          </w:p>
        </w:tc>
      </w:tr>
      <w:tr>
        <w:trPr>
          <w:trHeight w:val="58"/>
        </w:trPr>
        <w:tc>
          <w:tcPr>
            <w:tcW w:w="6340" w:type="dxa"/>
            <w:vAlign w:val="bottom"/>
            <w:tcBorders>
              <w:bottom w:val="single" w:sz="8" w:color="3E3935"/>
            </w:tcBorders>
          </w:tcPr>
          <w:p>
            <w:pPr>
              <w:spacing w:after="0"/>
              <w:rPr>
                <w:sz w:val="5"/>
                <w:szCs w:val="5"/>
                <w:color w:val="auto"/>
              </w:rPr>
            </w:pPr>
          </w:p>
        </w:tc>
        <w:tc>
          <w:tcPr>
            <w:tcW w:w="2440" w:type="dxa"/>
            <w:vAlign w:val="bottom"/>
            <w:tcBorders>
              <w:bottom w:val="single" w:sz="8" w:color="3E3935"/>
            </w:tcBorders>
          </w:tcPr>
          <w:p>
            <w:pPr>
              <w:spacing w:after="0"/>
              <w:rPr>
                <w:sz w:val="5"/>
                <w:szCs w:val="5"/>
                <w:color w:val="auto"/>
              </w:rPr>
            </w:pPr>
          </w:p>
        </w:tc>
        <w:tc>
          <w:tcPr>
            <w:tcW w:w="2240" w:type="dxa"/>
            <w:vAlign w:val="bottom"/>
            <w:tcBorders>
              <w:bottom w:val="single" w:sz="8" w:color="3E3935"/>
            </w:tcBorders>
          </w:tcPr>
          <w:p>
            <w:pPr>
              <w:spacing w:after="0"/>
              <w:rPr>
                <w:sz w:val="5"/>
                <w:szCs w:val="5"/>
                <w:color w:val="auto"/>
              </w:rPr>
            </w:pPr>
          </w:p>
        </w:tc>
      </w:tr>
      <w:tr>
        <w:trPr>
          <w:trHeight w:val="301"/>
        </w:trPr>
        <w:tc>
          <w:tcPr>
            <w:tcW w:w="6340" w:type="dxa"/>
            <w:vAlign w:val="bottom"/>
          </w:tcPr>
          <w:p>
            <w:pPr>
              <w:ind w:left="220"/>
              <w:spacing w:after="0"/>
              <w:rPr>
                <w:sz w:val="20"/>
                <w:szCs w:val="20"/>
                <w:color w:val="auto"/>
              </w:rPr>
            </w:pPr>
            <w:r>
              <w:rPr>
                <w:rFonts w:ascii="Arial" w:cs="Arial" w:eastAsia="Arial" w:hAnsi="Arial"/>
                <w:sz w:val="20"/>
                <w:szCs w:val="20"/>
                <w:i w:val="1"/>
                <w:iCs w:val="1"/>
                <w:color w:val="3E3935"/>
              </w:rPr>
              <w:t>Outstanding RSUs</w:t>
            </w:r>
          </w:p>
        </w:tc>
        <w:tc>
          <w:tcPr>
            <w:tcW w:w="2440" w:type="dxa"/>
            <w:vAlign w:val="bottom"/>
          </w:tcPr>
          <w:p>
            <w:pPr>
              <w:jc w:val="right"/>
              <w:ind w:right="203"/>
              <w:spacing w:after="0"/>
              <w:rPr>
                <w:sz w:val="20"/>
                <w:szCs w:val="20"/>
                <w:color w:val="auto"/>
              </w:rPr>
            </w:pPr>
            <w:r>
              <w:rPr>
                <w:rFonts w:ascii="Arial" w:cs="Arial" w:eastAsia="Arial" w:hAnsi="Arial"/>
                <w:sz w:val="20"/>
                <w:szCs w:val="20"/>
                <w:i w:val="1"/>
                <w:iCs w:val="1"/>
                <w:color w:val="3E3935"/>
              </w:rPr>
              <w:t>2,050,000</w:t>
            </w:r>
          </w:p>
        </w:tc>
        <w:tc>
          <w:tcPr>
            <w:tcW w:w="2240" w:type="dxa"/>
            <w:vAlign w:val="bottom"/>
          </w:tcPr>
          <w:p>
            <w:pPr>
              <w:jc w:val="right"/>
              <w:ind w:right="743"/>
              <w:spacing w:after="0"/>
              <w:rPr>
                <w:sz w:val="20"/>
                <w:szCs w:val="20"/>
                <w:color w:val="auto"/>
              </w:rPr>
            </w:pPr>
            <w:r>
              <w:rPr>
                <w:rFonts w:ascii="Arial" w:cs="Arial" w:eastAsia="Arial" w:hAnsi="Arial"/>
                <w:sz w:val="20"/>
                <w:szCs w:val="20"/>
                <w:i w:val="1"/>
                <w:iCs w:val="1"/>
                <w:color w:val="3E3935"/>
              </w:rPr>
              <w:t>2,600,000</w:t>
            </w:r>
          </w:p>
        </w:tc>
      </w:tr>
      <w:tr>
        <w:trPr>
          <w:trHeight w:val="58"/>
        </w:trPr>
        <w:tc>
          <w:tcPr>
            <w:tcW w:w="6340" w:type="dxa"/>
            <w:vAlign w:val="bottom"/>
            <w:tcBorders>
              <w:bottom w:val="single" w:sz="8" w:color="3E3935"/>
            </w:tcBorders>
          </w:tcPr>
          <w:p>
            <w:pPr>
              <w:spacing w:after="0"/>
              <w:rPr>
                <w:sz w:val="5"/>
                <w:szCs w:val="5"/>
                <w:color w:val="auto"/>
              </w:rPr>
            </w:pPr>
          </w:p>
        </w:tc>
        <w:tc>
          <w:tcPr>
            <w:tcW w:w="2440" w:type="dxa"/>
            <w:vAlign w:val="bottom"/>
            <w:tcBorders>
              <w:bottom w:val="single" w:sz="8" w:color="3E3935"/>
            </w:tcBorders>
          </w:tcPr>
          <w:p>
            <w:pPr>
              <w:spacing w:after="0"/>
              <w:rPr>
                <w:sz w:val="5"/>
                <w:szCs w:val="5"/>
                <w:color w:val="auto"/>
              </w:rPr>
            </w:pPr>
          </w:p>
        </w:tc>
        <w:tc>
          <w:tcPr>
            <w:tcW w:w="2240" w:type="dxa"/>
            <w:vAlign w:val="bottom"/>
            <w:tcBorders>
              <w:bottom w:val="single" w:sz="8" w:color="3E3935"/>
            </w:tcBorders>
          </w:tcPr>
          <w:p>
            <w:pPr>
              <w:spacing w:after="0"/>
              <w:rPr>
                <w:sz w:val="5"/>
                <w:szCs w:val="5"/>
                <w:color w:val="auto"/>
              </w:rPr>
            </w:pPr>
          </w:p>
        </w:tc>
      </w:tr>
      <w:tr>
        <w:trPr>
          <w:trHeight w:val="358"/>
        </w:trPr>
        <w:tc>
          <w:tcPr>
            <w:tcW w:w="6340" w:type="dxa"/>
            <w:vAlign w:val="bottom"/>
            <w:tcBorders>
              <w:bottom w:val="single" w:sz="8" w:color="3E3935"/>
            </w:tcBorders>
          </w:tcPr>
          <w:p>
            <w:pPr>
              <w:ind w:left="80"/>
              <w:spacing w:after="0"/>
              <w:rPr>
                <w:sz w:val="20"/>
                <w:szCs w:val="20"/>
                <w:color w:val="auto"/>
              </w:rPr>
            </w:pPr>
            <w:r>
              <w:rPr>
                <w:rFonts w:ascii="Arial" w:cs="Arial" w:eastAsia="Arial" w:hAnsi="Arial"/>
                <w:sz w:val="20"/>
                <w:szCs w:val="20"/>
                <w:color w:val="3E3935"/>
              </w:rPr>
              <w:t>Total Awards Outstanding under the Plans</w:t>
            </w:r>
            <w:r>
              <w:rPr>
                <w:rFonts w:ascii="Arial" w:cs="Arial" w:eastAsia="Arial" w:hAnsi="Arial"/>
                <w:sz w:val="24"/>
                <w:szCs w:val="24"/>
                <w:color w:val="3E3935"/>
                <w:vertAlign w:val="superscript"/>
              </w:rPr>
              <w:t>(1)</w:t>
            </w:r>
          </w:p>
        </w:tc>
        <w:tc>
          <w:tcPr>
            <w:tcW w:w="2440" w:type="dxa"/>
            <w:vAlign w:val="bottom"/>
            <w:tcBorders>
              <w:bottom w:val="single" w:sz="8" w:color="3E3935"/>
            </w:tcBorders>
          </w:tcPr>
          <w:p>
            <w:pPr>
              <w:jc w:val="right"/>
              <w:ind w:right="203"/>
              <w:spacing w:after="0"/>
              <w:rPr>
                <w:sz w:val="20"/>
                <w:szCs w:val="20"/>
                <w:color w:val="auto"/>
              </w:rPr>
            </w:pPr>
            <w:r>
              <w:rPr>
                <w:rFonts w:ascii="Arial" w:cs="Arial" w:eastAsia="Arial" w:hAnsi="Arial"/>
                <w:sz w:val="20"/>
                <w:szCs w:val="20"/>
                <w:color w:val="3E3935"/>
              </w:rPr>
              <w:t>34,100,000</w:t>
            </w:r>
          </w:p>
        </w:tc>
        <w:tc>
          <w:tcPr>
            <w:tcW w:w="2240" w:type="dxa"/>
            <w:vAlign w:val="bottom"/>
            <w:tcBorders>
              <w:bottom w:val="single" w:sz="8" w:color="3E3935"/>
            </w:tcBorders>
          </w:tcPr>
          <w:p>
            <w:pPr>
              <w:jc w:val="right"/>
              <w:ind w:right="583"/>
              <w:spacing w:after="0"/>
              <w:rPr>
                <w:sz w:val="20"/>
                <w:szCs w:val="20"/>
                <w:color w:val="auto"/>
              </w:rPr>
            </w:pPr>
            <w:r>
              <w:rPr>
                <w:rFonts w:ascii="Arial" w:cs="Arial" w:eastAsia="Arial" w:hAnsi="Arial"/>
                <w:sz w:val="20"/>
                <w:szCs w:val="20"/>
                <w:color w:val="3E3935"/>
              </w:rPr>
              <w:t>41,200,000</w:t>
            </w:r>
            <w:r>
              <w:rPr>
                <w:rFonts w:ascii="Arial" w:cs="Arial" w:eastAsia="Arial" w:hAnsi="Arial"/>
                <w:sz w:val="24"/>
                <w:szCs w:val="24"/>
                <w:color w:val="3E3935"/>
                <w:vertAlign w:val="superscript"/>
              </w:rPr>
              <w:t>(5)</w:t>
            </w:r>
          </w:p>
        </w:tc>
      </w:tr>
      <w:tr>
        <w:trPr>
          <w:trHeight w:val="374"/>
        </w:trPr>
        <w:tc>
          <w:tcPr>
            <w:tcW w:w="6340" w:type="dxa"/>
            <w:vAlign w:val="bottom"/>
          </w:tcPr>
          <w:p>
            <w:pPr>
              <w:ind w:left="80"/>
              <w:spacing w:after="0"/>
              <w:rPr>
                <w:sz w:val="20"/>
                <w:szCs w:val="20"/>
                <w:color w:val="auto"/>
              </w:rPr>
            </w:pPr>
            <w:r>
              <w:rPr>
                <w:rFonts w:ascii="Arial" w:cs="Arial" w:eastAsia="Arial" w:hAnsi="Arial"/>
                <w:sz w:val="20"/>
                <w:szCs w:val="20"/>
                <w:color w:val="3E3935"/>
              </w:rPr>
              <w:t>Shares Available under the Plans</w:t>
            </w:r>
            <w:r>
              <w:rPr>
                <w:rFonts w:ascii="Arial" w:cs="Arial" w:eastAsia="Arial" w:hAnsi="Arial"/>
                <w:sz w:val="24"/>
                <w:szCs w:val="24"/>
                <w:color w:val="3E3935"/>
                <w:vertAlign w:val="superscript"/>
              </w:rPr>
              <w:t>(2)</w:t>
            </w:r>
          </w:p>
        </w:tc>
        <w:tc>
          <w:tcPr>
            <w:tcW w:w="2440" w:type="dxa"/>
            <w:vAlign w:val="bottom"/>
          </w:tcPr>
          <w:p>
            <w:pPr>
              <w:jc w:val="right"/>
              <w:ind w:right="43"/>
              <w:spacing w:after="0"/>
              <w:rPr>
                <w:sz w:val="20"/>
                <w:szCs w:val="20"/>
                <w:color w:val="auto"/>
              </w:rPr>
            </w:pPr>
            <w:r>
              <w:rPr>
                <w:rFonts w:ascii="Arial" w:cs="Arial" w:eastAsia="Arial" w:hAnsi="Arial"/>
                <w:sz w:val="20"/>
                <w:szCs w:val="20"/>
                <w:color w:val="3E3935"/>
              </w:rPr>
              <w:t>37,273,501</w:t>
            </w:r>
            <w:r>
              <w:rPr>
                <w:rFonts w:ascii="Arial" w:cs="Arial" w:eastAsia="Arial" w:hAnsi="Arial"/>
                <w:sz w:val="24"/>
                <w:szCs w:val="24"/>
                <w:color w:val="3E3935"/>
                <w:vertAlign w:val="superscript"/>
              </w:rPr>
              <w:t>(3)</w:t>
            </w:r>
          </w:p>
        </w:tc>
        <w:tc>
          <w:tcPr>
            <w:tcW w:w="2240" w:type="dxa"/>
            <w:vAlign w:val="bottom"/>
          </w:tcPr>
          <w:p>
            <w:pPr>
              <w:jc w:val="right"/>
              <w:ind w:right="283"/>
              <w:spacing w:after="0"/>
              <w:rPr>
                <w:sz w:val="20"/>
                <w:szCs w:val="20"/>
                <w:color w:val="auto"/>
              </w:rPr>
            </w:pPr>
            <w:r>
              <w:rPr>
                <w:rFonts w:ascii="Arial" w:cs="Arial" w:eastAsia="Arial" w:hAnsi="Arial"/>
                <w:sz w:val="20"/>
                <w:szCs w:val="20"/>
                <w:color w:val="3E3935"/>
              </w:rPr>
              <w:t>20,593,541</w:t>
            </w:r>
            <w:r>
              <w:rPr>
                <w:rFonts w:ascii="Arial" w:cs="Arial" w:eastAsia="Arial" w:hAnsi="Arial"/>
                <w:sz w:val="24"/>
                <w:szCs w:val="24"/>
                <w:color w:val="3E3935"/>
                <w:vertAlign w:val="superscript"/>
              </w:rPr>
              <w:t>(3)(4)(5)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-9525</wp:posOffset>
            </wp:positionV>
            <wp:extent cx="6995160" cy="825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42" w:lineRule="exact"/>
        <w:rPr>
          <w:sz w:val="20"/>
          <w:szCs w:val="20"/>
          <w:color w:val="auto"/>
        </w:rPr>
      </w:pPr>
    </w:p>
    <w:p>
      <w:pPr>
        <w:jc w:val="both"/>
        <w:ind w:left="540" w:right="20" w:hanging="424"/>
        <w:spacing w:after="0" w:line="252" w:lineRule="auto"/>
        <w:tabs>
          <w:tab w:leader="none" w:pos="540" w:val="left"/>
        </w:tabs>
        <w:numPr>
          <w:ilvl w:val="0"/>
          <w:numId w:val="145"/>
        </w:numPr>
        <w:rPr>
          <w:rFonts w:ascii="Arial" w:cs="Arial" w:eastAsia="Arial" w:hAnsi="Arial"/>
          <w:sz w:val="18"/>
          <w:szCs w:val="18"/>
          <w:i w:val="1"/>
          <w:iCs w:val="1"/>
          <w:color w:val="3E3935"/>
        </w:rPr>
      </w:pPr>
      <w:r>
        <w:rPr>
          <w:rFonts w:ascii="Arial" w:cs="Arial" w:eastAsia="Arial" w:hAnsi="Arial"/>
          <w:sz w:val="18"/>
          <w:szCs w:val="18"/>
          <w:i w:val="1"/>
          <w:iCs w:val="1"/>
          <w:color w:val="3E3935"/>
        </w:rPr>
        <w:t>Includes awards outstanding under the 2020 LTIP and the Company’s predecessor plans (i.e., the 2014 Long-Term Incentive Plan and the 2017 Long-Term Incentive Plan; there are no awards outstanding under the 2016 Equity Incentive Plan). As of March 31, 2023, the awards outstanding under the Company’s predecessor plans are vested and unexercised stock options.</w:t>
      </w:r>
    </w:p>
    <w:p>
      <w:pPr>
        <w:spacing w:after="0" w:line="36" w:lineRule="exact"/>
        <w:rPr>
          <w:rFonts w:ascii="Arial" w:cs="Arial" w:eastAsia="Arial" w:hAnsi="Arial"/>
          <w:sz w:val="18"/>
          <w:szCs w:val="18"/>
          <w:i w:val="1"/>
          <w:iCs w:val="1"/>
          <w:color w:val="3E3935"/>
        </w:rPr>
      </w:pPr>
    </w:p>
    <w:p>
      <w:pPr>
        <w:jc w:val="both"/>
        <w:ind w:left="540" w:hanging="424"/>
        <w:spacing w:after="0" w:line="252" w:lineRule="auto"/>
        <w:tabs>
          <w:tab w:leader="none" w:pos="540" w:val="left"/>
        </w:tabs>
        <w:numPr>
          <w:ilvl w:val="0"/>
          <w:numId w:val="145"/>
        </w:numPr>
        <w:rPr>
          <w:rFonts w:ascii="Arial" w:cs="Arial" w:eastAsia="Arial" w:hAnsi="Arial"/>
          <w:sz w:val="18"/>
          <w:szCs w:val="18"/>
          <w:i w:val="1"/>
          <w:iCs w:val="1"/>
          <w:color w:val="3E3935"/>
        </w:rPr>
      </w:pPr>
      <w:r>
        <w:rPr>
          <w:rFonts w:ascii="Arial" w:cs="Arial" w:eastAsia="Arial" w:hAnsi="Arial"/>
          <w:sz w:val="18"/>
          <w:szCs w:val="18"/>
          <w:i w:val="1"/>
          <w:iCs w:val="1"/>
          <w:color w:val="3E3935"/>
        </w:rPr>
        <w:t>New awards are granted under the 2020 LTIP, effective June 17, 2020, when the plan was approved by our shareholders. To the extent shares remained available for issuance under the Company’s predecessor plans, such shares were only used to settle outstanding awards that were granted under such plans prior to June 17, 2020.</w:t>
      </w:r>
    </w:p>
    <w:p>
      <w:pPr>
        <w:spacing w:after="0" w:line="36" w:lineRule="exact"/>
        <w:rPr>
          <w:rFonts w:ascii="Arial" w:cs="Arial" w:eastAsia="Arial" w:hAnsi="Arial"/>
          <w:sz w:val="18"/>
          <w:szCs w:val="18"/>
          <w:i w:val="1"/>
          <w:iCs w:val="1"/>
          <w:color w:val="3E3935"/>
        </w:rPr>
      </w:pPr>
    </w:p>
    <w:p>
      <w:pPr>
        <w:ind w:left="540" w:right="20" w:hanging="424"/>
        <w:spacing w:after="0" w:line="269" w:lineRule="auto"/>
        <w:tabs>
          <w:tab w:leader="none" w:pos="540" w:val="left"/>
        </w:tabs>
        <w:numPr>
          <w:ilvl w:val="0"/>
          <w:numId w:val="145"/>
        </w:numPr>
        <w:rPr>
          <w:rFonts w:ascii="Arial" w:cs="Arial" w:eastAsia="Arial" w:hAnsi="Arial"/>
          <w:sz w:val="18"/>
          <w:szCs w:val="18"/>
          <w:i w:val="1"/>
          <w:iCs w:val="1"/>
          <w:color w:val="3E3935"/>
        </w:rPr>
      </w:pPr>
      <w:r>
        <w:rPr>
          <w:rFonts w:ascii="Arial" w:cs="Arial" w:eastAsia="Arial" w:hAnsi="Arial"/>
          <w:sz w:val="18"/>
          <w:szCs w:val="18"/>
          <w:i w:val="1"/>
          <w:iCs w:val="1"/>
          <w:color w:val="3E3935"/>
        </w:rPr>
        <w:t>Excludes 2,885,331 shares which will remain unused under our 2014 Long-Term Incentive Plan and excludes 15,187 shares which will remain unused under our 2016 Equity Incentive Plan.</w:t>
      </w:r>
    </w:p>
    <w:p>
      <w:pPr>
        <w:spacing w:after="0" w:line="22" w:lineRule="exact"/>
        <w:rPr>
          <w:rFonts w:ascii="Arial" w:cs="Arial" w:eastAsia="Arial" w:hAnsi="Arial"/>
          <w:sz w:val="18"/>
          <w:szCs w:val="18"/>
          <w:i w:val="1"/>
          <w:iCs w:val="1"/>
          <w:color w:val="3E3935"/>
        </w:rPr>
      </w:pPr>
    </w:p>
    <w:p>
      <w:pPr>
        <w:ind w:left="540" w:hanging="424"/>
        <w:spacing w:after="0"/>
        <w:tabs>
          <w:tab w:leader="none" w:pos="540" w:val="left"/>
        </w:tabs>
        <w:numPr>
          <w:ilvl w:val="0"/>
          <w:numId w:val="145"/>
        </w:numPr>
        <w:rPr>
          <w:rFonts w:ascii="Arial" w:cs="Arial" w:eastAsia="Arial" w:hAnsi="Arial"/>
          <w:sz w:val="18"/>
          <w:szCs w:val="18"/>
          <w:i w:val="1"/>
          <w:iCs w:val="1"/>
          <w:color w:val="3E3935"/>
        </w:rPr>
      </w:pPr>
      <w:r>
        <w:rPr>
          <w:rFonts w:ascii="Arial" w:cs="Arial" w:eastAsia="Arial" w:hAnsi="Arial"/>
          <w:sz w:val="18"/>
          <w:szCs w:val="18"/>
          <w:i w:val="1"/>
          <w:iCs w:val="1"/>
          <w:color w:val="3E3935"/>
        </w:rPr>
        <w:t>Excludes 2,621,441 shares which will remain unused under our 2017 Long-Term Incentive Plan.</w:t>
      </w:r>
    </w:p>
    <w:p>
      <w:pPr>
        <w:spacing w:after="0" w:line="76" w:lineRule="exact"/>
        <w:rPr>
          <w:rFonts w:ascii="Arial" w:cs="Arial" w:eastAsia="Arial" w:hAnsi="Arial"/>
          <w:sz w:val="18"/>
          <w:szCs w:val="18"/>
          <w:i w:val="1"/>
          <w:iCs w:val="1"/>
          <w:color w:val="3E3935"/>
        </w:rPr>
      </w:pPr>
    </w:p>
    <w:p>
      <w:pPr>
        <w:jc w:val="both"/>
        <w:ind w:left="540" w:hanging="424"/>
        <w:spacing w:after="0" w:line="252" w:lineRule="auto"/>
        <w:tabs>
          <w:tab w:leader="none" w:pos="540" w:val="left"/>
        </w:tabs>
        <w:numPr>
          <w:ilvl w:val="0"/>
          <w:numId w:val="145"/>
        </w:numPr>
        <w:rPr>
          <w:rFonts w:ascii="Arial" w:cs="Arial" w:eastAsia="Arial" w:hAnsi="Arial"/>
          <w:sz w:val="18"/>
          <w:szCs w:val="18"/>
          <w:i w:val="1"/>
          <w:iCs w:val="1"/>
          <w:color w:val="3E3935"/>
        </w:rPr>
      </w:pPr>
      <w:r>
        <w:rPr>
          <w:rFonts w:ascii="Arial" w:cs="Arial" w:eastAsia="Arial" w:hAnsi="Arial"/>
          <w:sz w:val="18"/>
          <w:szCs w:val="18"/>
          <w:i w:val="1"/>
          <w:iCs w:val="1"/>
          <w:color w:val="3E3935"/>
        </w:rPr>
        <w:t>In March 2023, the Company announced a voluntary separation program for certain salaried employees, primarily located in the United States. The program is expected to result in forfeitures of outstanding awards, which will impact the number of shares available for issuance under the plans.</w:t>
      </w:r>
    </w:p>
    <w:p>
      <w:pPr>
        <w:spacing w:after="0" w:line="381" w:lineRule="exact"/>
        <w:rPr>
          <w:sz w:val="20"/>
          <w:szCs w:val="20"/>
          <w:color w:val="auto"/>
        </w:rPr>
      </w:pPr>
    </w:p>
    <w:tbl>
      <w:tblPr>
        <w:tblLayout w:type="fixed"/>
        <w:tblInd w:w="1440" w:type="dxa"/>
        <w:tblCellMar>
          <w:top w:w="0" w:type="dxa"/>
          <w:left w:w="0" w:type="dxa"/>
          <w:bottom w:w="0" w:type="dxa"/>
          <w:right w:w="0" w:type="dxa"/>
        </w:tblCellMar>
      </w:tblPr>
      <w:tr>
        <w:trPr>
          <w:trHeight w:val="273"/>
        </w:trPr>
        <w:tc>
          <w:tcPr>
            <w:tcW w:w="6360" w:type="dxa"/>
            <w:vAlign w:val="bottom"/>
          </w:tcPr>
          <w:p>
            <w:pPr>
              <w:spacing w:after="0"/>
              <w:rPr>
                <w:sz w:val="20"/>
                <w:szCs w:val="20"/>
                <w:color w:val="auto"/>
              </w:rPr>
            </w:pPr>
            <w:r>
              <w:rPr>
                <w:rFonts w:ascii="Arial" w:cs="Arial" w:eastAsia="Arial" w:hAnsi="Arial"/>
                <w:sz w:val="20"/>
                <w:szCs w:val="20"/>
                <w:b w:val="1"/>
                <w:bCs w:val="1"/>
                <w:color w:val="0071CE"/>
              </w:rPr>
              <w:t>Shares Requested under Amendment No. 1 to the 2020 LTIP:</w:t>
            </w:r>
          </w:p>
        </w:tc>
        <w:tc>
          <w:tcPr>
            <w:tcW w:w="1920" w:type="dxa"/>
            <w:vAlign w:val="bottom"/>
          </w:tcPr>
          <w:p>
            <w:pPr>
              <w:jc w:val="right"/>
              <w:spacing w:after="0"/>
              <w:rPr>
                <w:sz w:val="20"/>
                <w:szCs w:val="20"/>
                <w:color w:val="auto"/>
              </w:rPr>
            </w:pPr>
            <w:r>
              <w:rPr>
                <w:rFonts w:ascii="Arial" w:cs="Arial" w:eastAsia="Arial" w:hAnsi="Arial"/>
                <w:sz w:val="20"/>
                <w:szCs w:val="20"/>
                <w:color w:val="3E3935"/>
              </w:rPr>
              <w:t>27,000,000</w:t>
            </w:r>
          </w:p>
        </w:tc>
      </w:tr>
      <w:tr>
        <w:trPr>
          <w:trHeight w:val="324"/>
        </w:trPr>
        <w:tc>
          <w:tcPr>
            <w:tcW w:w="6360" w:type="dxa"/>
            <w:vAlign w:val="bottom"/>
          </w:tcPr>
          <w:p>
            <w:pPr>
              <w:spacing w:after="0"/>
              <w:rPr>
                <w:sz w:val="20"/>
                <w:szCs w:val="20"/>
                <w:color w:val="auto"/>
              </w:rPr>
            </w:pPr>
            <w:r>
              <w:rPr>
                <w:rFonts w:ascii="Arial" w:cs="Arial" w:eastAsia="Arial" w:hAnsi="Arial"/>
                <w:sz w:val="20"/>
                <w:szCs w:val="20"/>
                <w:b w:val="1"/>
                <w:bCs w:val="1"/>
                <w:color w:val="0071CE"/>
              </w:rPr>
              <w:t>GM Common Stock Outstanding as of the Record Date:</w:t>
            </w:r>
          </w:p>
        </w:tc>
        <w:tc>
          <w:tcPr>
            <w:tcW w:w="1920" w:type="dxa"/>
            <w:vAlign w:val="bottom"/>
          </w:tcPr>
          <w:p>
            <w:pPr>
              <w:jc w:val="right"/>
              <w:spacing w:after="0"/>
              <w:rPr>
                <w:sz w:val="20"/>
                <w:szCs w:val="20"/>
                <w:color w:val="auto"/>
              </w:rPr>
            </w:pPr>
            <w:r>
              <w:rPr>
                <w:rFonts w:ascii="Arial" w:cs="Arial" w:eastAsia="Arial" w:hAnsi="Arial"/>
                <w:sz w:val="20"/>
                <w:szCs w:val="20"/>
                <w:color w:val="3E3935"/>
              </w:rPr>
              <w:t>1,390,123,499</w:t>
            </w:r>
          </w:p>
        </w:tc>
      </w:tr>
    </w:tbl>
    <w:p>
      <w:pPr>
        <w:spacing w:after="0" w:line="159" w:lineRule="exact"/>
        <w:rPr>
          <w:sz w:val="20"/>
          <w:szCs w:val="20"/>
          <w:color w:val="auto"/>
        </w:rPr>
      </w:pPr>
    </w:p>
    <w:p>
      <w:pPr>
        <w:jc w:val="both"/>
        <w:ind w:left="120" w:right="20"/>
        <w:spacing w:after="0" w:line="247" w:lineRule="auto"/>
        <w:rPr>
          <w:sz w:val="20"/>
          <w:szCs w:val="20"/>
          <w:color w:val="auto"/>
        </w:rPr>
      </w:pPr>
      <w:r>
        <w:rPr>
          <w:rFonts w:ascii="Arial" w:cs="Arial" w:eastAsia="Arial" w:hAnsi="Arial"/>
          <w:sz w:val="19"/>
          <w:szCs w:val="19"/>
          <w:b w:val="1"/>
          <w:bCs w:val="1"/>
          <w:color w:val="0071CE"/>
        </w:rPr>
        <w:t xml:space="preserve">Overhang </w:t>
      </w:r>
      <w:r>
        <w:rPr>
          <w:rFonts w:ascii="Arial" w:cs="Arial" w:eastAsia="Arial" w:hAnsi="Arial"/>
          <w:sz w:val="19"/>
          <w:szCs w:val="19"/>
          <w:color w:val="3E3935"/>
        </w:rPr>
        <w:t>— As of March 31, 2023, there were approximately 20.6 million shares authorized and available for issuance</w:t>
      </w:r>
      <w:r>
        <w:rPr>
          <w:rFonts w:ascii="Arial" w:cs="Arial" w:eastAsia="Arial" w:hAnsi="Arial"/>
          <w:sz w:val="19"/>
          <w:szCs w:val="19"/>
          <w:b w:val="1"/>
          <w:bCs w:val="1"/>
          <w:color w:val="0071CE"/>
        </w:rPr>
        <w:t xml:space="preserve"> </w:t>
      </w:r>
      <w:r>
        <w:rPr>
          <w:rFonts w:ascii="Arial" w:cs="Arial" w:eastAsia="Arial" w:hAnsi="Arial"/>
          <w:sz w:val="19"/>
          <w:szCs w:val="19"/>
          <w:color w:val="3E3935"/>
        </w:rPr>
        <w:t>under the 2020 LTIP and 41.2 million shares subject to awards outstanding under all the Company’s existing equity incentive plans, representing 4.5% of the common stock outstanding as of the record date on a fully diluted basis (the “Overhang Percentage”). The 27 million shares requested under Amendment No. 1 to the 2020 LTIP would increase the Overhang Percentage to approximately 6.4%. We believe this represents a reasonable amount of potential equity dilution that will allow us to continue granting equity awards, which is an important component of our executive compensation structure.</w:t>
      </w:r>
    </w:p>
    <w:p>
      <w:pPr>
        <w:spacing w:after="0" w:line="258" w:lineRule="exact"/>
        <w:rPr>
          <w:sz w:val="20"/>
          <w:szCs w:val="20"/>
          <w:color w:val="auto"/>
        </w:rPr>
      </w:pPr>
    </w:p>
    <w:p>
      <w:pPr>
        <w:ind w:left="120"/>
        <w:spacing w:after="0"/>
        <w:rPr>
          <w:sz w:val="20"/>
          <w:szCs w:val="20"/>
          <w:color w:val="auto"/>
        </w:rPr>
      </w:pPr>
      <w:r>
        <w:rPr>
          <w:rFonts w:ascii="Arial" w:cs="Arial" w:eastAsia="Arial" w:hAnsi="Arial"/>
          <w:sz w:val="14"/>
          <w:szCs w:val="14"/>
          <w:color w:val="0071CE"/>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wp:posOffset>
            </wp:positionH>
            <wp:positionV relativeFrom="paragraph">
              <wp:posOffset>-95885</wp:posOffset>
            </wp:positionV>
            <wp:extent cx="5983605" cy="10287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5983605" cy="102870"/>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4" w:lineRule="exact"/>
        <w:rPr>
          <w:sz w:val="20"/>
          <w:szCs w:val="20"/>
          <w:color w:val="auto"/>
        </w:rPr>
      </w:pPr>
    </w:p>
    <w:p>
      <w:pPr>
        <w:jc w:val="both"/>
        <w:ind w:left="120"/>
        <w:spacing w:after="0" w:line="242" w:lineRule="auto"/>
        <w:rPr>
          <w:sz w:val="20"/>
          <w:szCs w:val="20"/>
          <w:color w:val="auto"/>
        </w:rPr>
      </w:pPr>
      <w:r>
        <w:rPr>
          <w:rFonts w:ascii="Arial" w:cs="Arial" w:eastAsia="Arial" w:hAnsi="Arial"/>
          <w:sz w:val="20"/>
          <w:szCs w:val="20"/>
          <w:b w:val="1"/>
          <w:bCs w:val="1"/>
          <w:color w:val="0071CE"/>
        </w:rPr>
        <w:t xml:space="preserve">Share Usage </w:t>
      </w:r>
      <w:r>
        <w:rPr>
          <w:rFonts w:ascii="Arial" w:cs="Arial" w:eastAsia="Arial" w:hAnsi="Arial"/>
          <w:sz w:val="20"/>
          <w:szCs w:val="20"/>
          <w:color w:val="3E3935"/>
        </w:rPr>
        <w:t>— The annual share usage under the Company’s equity incentive plans for the last three fiscal years is</w:t>
      </w:r>
      <w:r>
        <w:rPr>
          <w:rFonts w:ascii="Arial" w:cs="Arial" w:eastAsia="Arial" w:hAnsi="Arial"/>
          <w:sz w:val="20"/>
          <w:szCs w:val="20"/>
          <w:b w:val="1"/>
          <w:bCs w:val="1"/>
          <w:color w:val="0071CE"/>
        </w:rPr>
        <w:t xml:space="preserve"> </w:t>
      </w:r>
      <w:r>
        <w:rPr>
          <w:rFonts w:ascii="Arial" w:cs="Arial" w:eastAsia="Arial" w:hAnsi="Arial"/>
          <w:sz w:val="20"/>
          <w:szCs w:val="20"/>
          <w:color w:val="3E3935"/>
        </w:rPr>
        <w:t>presented below. The features of these plans are discussed further in Note 22 to the Consolidated Financial Statements, “Stock Incentive Plans” in our 2022 Form 10-K.</w:t>
      </w:r>
    </w:p>
    <w:p>
      <w:pPr>
        <w:spacing w:after="0" w:line="199" w:lineRule="exact"/>
        <w:rPr>
          <w:sz w:val="20"/>
          <w:szCs w:val="20"/>
          <w:color w:val="auto"/>
        </w:rPr>
      </w:pPr>
    </w:p>
    <w:tbl>
      <w:tblPr>
        <w:tblLayout w:type="fixed"/>
        <w:tblInd w:w="120" w:type="dxa"/>
        <w:tblCellMar>
          <w:top w:w="0" w:type="dxa"/>
          <w:left w:w="0" w:type="dxa"/>
          <w:bottom w:w="0" w:type="dxa"/>
          <w:right w:w="0" w:type="dxa"/>
        </w:tblCellMar>
      </w:tblPr>
      <w:tr>
        <w:trPr>
          <w:trHeight w:val="211"/>
        </w:trPr>
        <w:tc>
          <w:tcPr>
            <w:tcW w:w="5660" w:type="dxa"/>
            <w:vAlign w:val="bottom"/>
            <w:tcBorders>
              <w:top w:val="single" w:sz="8" w:color="00C1DE"/>
            </w:tcBorders>
          </w:tcPr>
          <w:p>
            <w:pPr>
              <w:spacing w:after="0"/>
              <w:rPr>
                <w:sz w:val="18"/>
                <w:szCs w:val="18"/>
                <w:color w:val="auto"/>
              </w:rPr>
            </w:pPr>
          </w:p>
        </w:tc>
        <w:tc>
          <w:tcPr>
            <w:tcW w:w="2200" w:type="dxa"/>
            <w:vAlign w:val="bottom"/>
            <w:tcBorders>
              <w:top w:val="single" w:sz="8" w:color="00C1DE"/>
            </w:tcBorders>
          </w:tcPr>
          <w:p>
            <w:pPr>
              <w:spacing w:after="0"/>
              <w:rPr>
                <w:sz w:val="18"/>
                <w:szCs w:val="18"/>
                <w:color w:val="auto"/>
              </w:rPr>
            </w:pPr>
          </w:p>
        </w:tc>
        <w:tc>
          <w:tcPr>
            <w:tcW w:w="1140" w:type="dxa"/>
            <w:vAlign w:val="bottom"/>
            <w:tcBorders>
              <w:top w:val="single" w:sz="8" w:color="00C1DE"/>
            </w:tcBorders>
          </w:tcPr>
          <w:p>
            <w:pPr>
              <w:spacing w:after="0"/>
              <w:rPr>
                <w:sz w:val="18"/>
                <w:szCs w:val="18"/>
                <w:color w:val="auto"/>
              </w:rPr>
            </w:pPr>
          </w:p>
        </w:tc>
        <w:tc>
          <w:tcPr>
            <w:tcW w:w="1120" w:type="dxa"/>
            <w:vAlign w:val="bottom"/>
            <w:tcBorders>
              <w:top w:val="single" w:sz="8" w:color="00C1DE"/>
            </w:tcBorders>
          </w:tcPr>
          <w:p>
            <w:pPr>
              <w:spacing w:after="0"/>
              <w:rPr>
                <w:sz w:val="18"/>
                <w:szCs w:val="18"/>
                <w:color w:val="auto"/>
              </w:rPr>
            </w:pPr>
          </w:p>
        </w:tc>
        <w:tc>
          <w:tcPr>
            <w:tcW w:w="900" w:type="dxa"/>
            <w:vAlign w:val="bottom"/>
            <w:tcBorders>
              <w:top w:val="single" w:sz="8" w:color="00C1DE"/>
            </w:tcBorders>
          </w:tcPr>
          <w:p>
            <w:pPr>
              <w:jc w:val="right"/>
              <w:ind w:right="39"/>
              <w:spacing w:after="0"/>
              <w:rPr>
                <w:sz w:val="20"/>
                <w:szCs w:val="20"/>
                <w:color w:val="auto"/>
              </w:rPr>
            </w:pPr>
            <w:r>
              <w:rPr>
                <w:rFonts w:ascii="Arial" w:cs="Arial" w:eastAsia="Arial" w:hAnsi="Arial"/>
                <w:sz w:val="18"/>
                <w:szCs w:val="18"/>
                <w:b w:val="1"/>
                <w:bCs w:val="1"/>
                <w:color w:val="00C1DE"/>
              </w:rPr>
              <w:t>3-Year</w:t>
            </w:r>
          </w:p>
        </w:tc>
      </w:tr>
      <w:tr>
        <w:trPr>
          <w:trHeight w:val="247"/>
        </w:trPr>
        <w:tc>
          <w:tcPr>
            <w:tcW w:w="5660" w:type="dxa"/>
            <w:vAlign w:val="bottom"/>
          </w:tcPr>
          <w:p>
            <w:pPr>
              <w:spacing w:after="0"/>
              <w:rPr>
                <w:sz w:val="21"/>
                <w:szCs w:val="21"/>
                <w:color w:val="auto"/>
              </w:rPr>
            </w:pPr>
          </w:p>
        </w:tc>
        <w:tc>
          <w:tcPr>
            <w:tcW w:w="2200" w:type="dxa"/>
            <w:vAlign w:val="bottom"/>
          </w:tcPr>
          <w:p>
            <w:pPr>
              <w:jc w:val="right"/>
              <w:ind w:right="26"/>
              <w:spacing w:after="0"/>
              <w:rPr>
                <w:sz w:val="20"/>
                <w:szCs w:val="20"/>
                <w:color w:val="auto"/>
              </w:rPr>
            </w:pPr>
            <w:r>
              <w:rPr>
                <w:rFonts w:ascii="Arial" w:cs="Arial" w:eastAsia="Arial" w:hAnsi="Arial"/>
                <w:sz w:val="18"/>
                <w:szCs w:val="18"/>
                <w:b w:val="1"/>
                <w:bCs w:val="1"/>
                <w:color w:val="00C1DE"/>
              </w:rPr>
              <w:t>2022</w:t>
            </w:r>
          </w:p>
        </w:tc>
        <w:tc>
          <w:tcPr>
            <w:tcW w:w="1140" w:type="dxa"/>
            <w:vAlign w:val="bottom"/>
          </w:tcPr>
          <w:p>
            <w:pPr>
              <w:jc w:val="right"/>
              <w:ind w:right="26"/>
              <w:spacing w:after="0"/>
              <w:rPr>
                <w:sz w:val="20"/>
                <w:szCs w:val="20"/>
                <w:color w:val="auto"/>
              </w:rPr>
            </w:pPr>
            <w:r>
              <w:rPr>
                <w:rFonts w:ascii="Arial" w:cs="Arial" w:eastAsia="Arial" w:hAnsi="Arial"/>
                <w:sz w:val="18"/>
                <w:szCs w:val="18"/>
                <w:b w:val="1"/>
                <w:bCs w:val="1"/>
                <w:color w:val="00C1DE"/>
              </w:rPr>
              <w:t>2021</w:t>
            </w:r>
          </w:p>
        </w:tc>
        <w:tc>
          <w:tcPr>
            <w:tcW w:w="1120" w:type="dxa"/>
            <w:vAlign w:val="bottom"/>
          </w:tcPr>
          <w:p>
            <w:pPr>
              <w:jc w:val="right"/>
              <w:ind w:right="26"/>
              <w:spacing w:after="0"/>
              <w:rPr>
                <w:sz w:val="20"/>
                <w:szCs w:val="20"/>
                <w:color w:val="auto"/>
              </w:rPr>
            </w:pPr>
            <w:r>
              <w:rPr>
                <w:rFonts w:ascii="Arial" w:cs="Arial" w:eastAsia="Arial" w:hAnsi="Arial"/>
                <w:sz w:val="18"/>
                <w:szCs w:val="18"/>
                <w:b w:val="1"/>
                <w:bCs w:val="1"/>
                <w:color w:val="00C1DE"/>
              </w:rPr>
              <w:t>2020</w:t>
            </w:r>
          </w:p>
        </w:tc>
        <w:tc>
          <w:tcPr>
            <w:tcW w:w="900" w:type="dxa"/>
            <w:vAlign w:val="bottom"/>
          </w:tcPr>
          <w:p>
            <w:pPr>
              <w:jc w:val="right"/>
              <w:ind w:right="39"/>
              <w:spacing w:after="0"/>
              <w:rPr>
                <w:sz w:val="20"/>
                <w:szCs w:val="20"/>
                <w:color w:val="auto"/>
              </w:rPr>
            </w:pPr>
            <w:r>
              <w:rPr>
                <w:rFonts w:ascii="Arial" w:cs="Arial" w:eastAsia="Arial" w:hAnsi="Arial"/>
                <w:sz w:val="18"/>
                <w:szCs w:val="18"/>
                <w:b w:val="1"/>
                <w:bCs w:val="1"/>
                <w:color w:val="00C1DE"/>
              </w:rPr>
              <w:t>Average</w:t>
            </w:r>
          </w:p>
        </w:tc>
      </w:tr>
      <w:tr>
        <w:trPr>
          <w:trHeight w:val="28"/>
        </w:trPr>
        <w:tc>
          <w:tcPr>
            <w:tcW w:w="5660" w:type="dxa"/>
            <w:vAlign w:val="bottom"/>
            <w:tcBorders>
              <w:bottom w:val="single" w:sz="8" w:color="00C1DE"/>
            </w:tcBorders>
          </w:tcPr>
          <w:p>
            <w:pPr>
              <w:spacing w:after="0"/>
              <w:rPr>
                <w:sz w:val="2"/>
                <w:szCs w:val="2"/>
                <w:color w:val="auto"/>
              </w:rPr>
            </w:pPr>
          </w:p>
        </w:tc>
        <w:tc>
          <w:tcPr>
            <w:tcW w:w="2200" w:type="dxa"/>
            <w:vAlign w:val="bottom"/>
            <w:tcBorders>
              <w:bottom w:val="single" w:sz="8" w:color="00C1DE"/>
            </w:tcBorders>
          </w:tcPr>
          <w:p>
            <w:pPr>
              <w:spacing w:after="0"/>
              <w:rPr>
                <w:sz w:val="2"/>
                <w:szCs w:val="2"/>
                <w:color w:val="auto"/>
              </w:rPr>
            </w:pPr>
          </w:p>
        </w:tc>
        <w:tc>
          <w:tcPr>
            <w:tcW w:w="1140" w:type="dxa"/>
            <w:vAlign w:val="bottom"/>
            <w:tcBorders>
              <w:bottom w:val="single" w:sz="8" w:color="00C1DE"/>
            </w:tcBorders>
          </w:tcPr>
          <w:p>
            <w:pPr>
              <w:spacing w:after="0"/>
              <w:rPr>
                <w:sz w:val="2"/>
                <w:szCs w:val="2"/>
                <w:color w:val="auto"/>
              </w:rPr>
            </w:pPr>
          </w:p>
        </w:tc>
        <w:tc>
          <w:tcPr>
            <w:tcW w:w="1120" w:type="dxa"/>
            <w:vAlign w:val="bottom"/>
            <w:tcBorders>
              <w:bottom w:val="single" w:sz="8" w:color="00C1DE"/>
            </w:tcBorders>
          </w:tcPr>
          <w:p>
            <w:pPr>
              <w:spacing w:after="0"/>
              <w:rPr>
                <w:sz w:val="2"/>
                <w:szCs w:val="2"/>
                <w:color w:val="auto"/>
              </w:rPr>
            </w:pPr>
          </w:p>
        </w:tc>
        <w:tc>
          <w:tcPr>
            <w:tcW w:w="900" w:type="dxa"/>
            <w:vAlign w:val="bottom"/>
            <w:tcBorders>
              <w:bottom w:val="single" w:sz="8" w:color="00C1DE"/>
            </w:tcBorders>
          </w:tcPr>
          <w:p>
            <w:pPr>
              <w:spacing w:after="0"/>
              <w:rPr>
                <w:sz w:val="2"/>
                <w:szCs w:val="2"/>
                <w:color w:val="auto"/>
              </w:rPr>
            </w:pPr>
          </w:p>
        </w:tc>
      </w:tr>
      <w:tr>
        <w:trPr>
          <w:trHeight w:val="242"/>
        </w:trPr>
        <w:tc>
          <w:tcPr>
            <w:tcW w:w="5660" w:type="dxa"/>
            <w:vAlign w:val="bottom"/>
          </w:tcPr>
          <w:p>
            <w:pPr>
              <w:ind w:left="100"/>
              <w:spacing w:after="0"/>
              <w:rPr>
                <w:sz w:val="20"/>
                <w:szCs w:val="20"/>
                <w:color w:val="auto"/>
              </w:rPr>
            </w:pPr>
            <w:r>
              <w:rPr>
                <w:rFonts w:ascii="Arial" w:cs="Arial" w:eastAsia="Arial" w:hAnsi="Arial"/>
                <w:sz w:val="14"/>
                <w:szCs w:val="14"/>
                <w:color w:val="3E3935"/>
              </w:rPr>
              <w:t>A   Full Value Awards Granted During Fiscal Year</w:t>
            </w:r>
          </w:p>
        </w:tc>
        <w:tc>
          <w:tcPr>
            <w:tcW w:w="2200" w:type="dxa"/>
            <w:vAlign w:val="bottom"/>
          </w:tcPr>
          <w:p>
            <w:pPr>
              <w:jc w:val="right"/>
              <w:ind w:right="26"/>
              <w:spacing w:after="0"/>
              <w:rPr>
                <w:sz w:val="20"/>
                <w:szCs w:val="20"/>
                <w:color w:val="auto"/>
              </w:rPr>
            </w:pPr>
            <w:r>
              <w:rPr>
                <w:rFonts w:ascii="Arial" w:cs="Arial" w:eastAsia="Arial" w:hAnsi="Arial"/>
                <w:sz w:val="14"/>
                <w:szCs w:val="14"/>
                <w:color w:val="3E3935"/>
              </w:rPr>
              <w:t>7,200,000</w:t>
            </w:r>
          </w:p>
        </w:tc>
        <w:tc>
          <w:tcPr>
            <w:tcW w:w="1140" w:type="dxa"/>
            <w:vAlign w:val="bottom"/>
          </w:tcPr>
          <w:p>
            <w:pPr>
              <w:jc w:val="right"/>
              <w:ind w:right="26"/>
              <w:spacing w:after="0"/>
              <w:rPr>
                <w:sz w:val="20"/>
                <w:szCs w:val="20"/>
                <w:color w:val="auto"/>
              </w:rPr>
            </w:pPr>
            <w:r>
              <w:rPr>
                <w:rFonts w:ascii="Arial" w:cs="Arial" w:eastAsia="Arial" w:hAnsi="Arial"/>
                <w:sz w:val="14"/>
                <w:szCs w:val="14"/>
                <w:color w:val="3E3935"/>
              </w:rPr>
              <w:t>4,400,000</w:t>
            </w:r>
          </w:p>
        </w:tc>
        <w:tc>
          <w:tcPr>
            <w:tcW w:w="1120" w:type="dxa"/>
            <w:vAlign w:val="bottom"/>
          </w:tcPr>
          <w:p>
            <w:pPr>
              <w:jc w:val="right"/>
              <w:ind w:right="26"/>
              <w:spacing w:after="0"/>
              <w:rPr>
                <w:sz w:val="20"/>
                <w:szCs w:val="20"/>
                <w:color w:val="auto"/>
              </w:rPr>
            </w:pPr>
            <w:r>
              <w:rPr>
                <w:rFonts w:ascii="Arial" w:cs="Arial" w:eastAsia="Arial" w:hAnsi="Arial"/>
                <w:sz w:val="14"/>
                <w:szCs w:val="14"/>
                <w:color w:val="3E3935"/>
              </w:rPr>
              <w:t>7,200,000</w:t>
            </w:r>
          </w:p>
        </w:tc>
        <w:tc>
          <w:tcPr>
            <w:tcW w:w="900" w:type="dxa"/>
            <w:vAlign w:val="bottom"/>
          </w:tcPr>
          <w:p>
            <w:pPr>
              <w:spacing w:after="0"/>
              <w:rPr>
                <w:sz w:val="21"/>
                <w:szCs w:val="21"/>
                <w:color w:val="auto"/>
              </w:rPr>
            </w:pPr>
          </w:p>
        </w:tc>
      </w:tr>
      <w:tr>
        <w:trPr>
          <w:trHeight w:val="62"/>
        </w:trPr>
        <w:tc>
          <w:tcPr>
            <w:tcW w:w="5660" w:type="dxa"/>
            <w:vAlign w:val="bottom"/>
            <w:tcBorders>
              <w:bottom w:val="single" w:sz="8" w:color="3E3935"/>
            </w:tcBorders>
          </w:tcPr>
          <w:p>
            <w:pPr>
              <w:spacing w:after="0"/>
              <w:rPr>
                <w:sz w:val="5"/>
                <w:szCs w:val="5"/>
                <w:color w:val="auto"/>
              </w:rPr>
            </w:pPr>
          </w:p>
        </w:tc>
        <w:tc>
          <w:tcPr>
            <w:tcW w:w="2200" w:type="dxa"/>
            <w:vAlign w:val="bottom"/>
            <w:tcBorders>
              <w:bottom w:val="single" w:sz="8" w:color="3E3935"/>
            </w:tcBorders>
          </w:tcPr>
          <w:p>
            <w:pPr>
              <w:spacing w:after="0"/>
              <w:rPr>
                <w:sz w:val="5"/>
                <w:szCs w:val="5"/>
                <w:color w:val="auto"/>
              </w:rPr>
            </w:pPr>
          </w:p>
        </w:tc>
        <w:tc>
          <w:tcPr>
            <w:tcW w:w="1140" w:type="dxa"/>
            <w:vAlign w:val="bottom"/>
            <w:tcBorders>
              <w:bottom w:val="single" w:sz="8" w:color="3E3935"/>
            </w:tcBorders>
          </w:tcPr>
          <w:p>
            <w:pPr>
              <w:spacing w:after="0"/>
              <w:rPr>
                <w:sz w:val="5"/>
                <w:szCs w:val="5"/>
                <w:color w:val="auto"/>
              </w:rPr>
            </w:pPr>
          </w:p>
        </w:tc>
        <w:tc>
          <w:tcPr>
            <w:tcW w:w="1120" w:type="dxa"/>
            <w:vAlign w:val="bottom"/>
            <w:tcBorders>
              <w:bottom w:val="single" w:sz="8" w:color="3E3935"/>
            </w:tcBorders>
          </w:tcPr>
          <w:p>
            <w:pPr>
              <w:spacing w:after="0"/>
              <w:rPr>
                <w:sz w:val="5"/>
                <w:szCs w:val="5"/>
                <w:color w:val="auto"/>
              </w:rPr>
            </w:pPr>
          </w:p>
        </w:tc>
        <w:tc>
          <w:tcPr>
            <w:tcW w:w="900" w:type="dxa"/>
            <w:vAlign w:val="bottom"/>
            <w:tcBorders>
              <w:bottom w:val="single" w:sz="8" w:color="3E3935"/>
            </w:tcBorders>
          </w:tcPr>
          <w:p>
            <w:pPr>
              <w:spacing w:after="0"/>
              <w:rPr>
                <w:sz w:val="5"/>
                <w:szCs w:val="5"/>
                <w:color w:val="auto"/>
              </w:rPr>
            </w:pPr>
          </w:p>
        </w:tc>
      </w:tr>
      <w:tr>
        <w:trPr>
          <w:trHeight w:val="283"/>
        </w:trPr>
        <w:tc>
          <w:tcPr>
            <w:tcW w:w="5660" w:type="dxa"/>
            <w:vAlign w:val="bottom"/>
          </w:tcPr>
          <w:p>
            <w:pPr>
              <w:ind w:left="280"/>
              <w:spacing w:after="0"/>
              <w:rPr>
                <w:sz w:val="20"/>
                <w:szCs w:val="20"/>
                <w:color w:val="auto"/>
              </w:rPr>
            </w:pPr>
            <w:r>
              <w:rPr>
                <w:rFonts w:ascii="Arial" w:cs="Arial" w:eastAsia="Arial" w:hAnsi="Arial"/>
                <w:sz w:val="14"/>
                <w:szCs w:val="14"/>
                <w:i w:val="1"/>
                <w:iCs w:val="1"/>
                <w:color w:val="3E3935"/>
              </w:rPr>
              <w:t>PSUs Granted (at target)</w:t>
            </w:r>
          </w:p>
        </w:tc>
        <w:tc>
          <w:tcPr>
            <w:tcW w:w="2200" w:type="dxa"/>
            <w:vAlign w:val="bottom"/>
          </w:tcPr>
          <w:p>
            <w:pPr>
              <w:jc w:val="right"/>
              <w:ind w:right="26"/>
              <w:spacing w:after="0"/>
              <w:rPr>
                <w:sz w:val="20"/>
                <w:szCs w:val="20"/>
                <w:color w:val="auto"/>
              </w:rPr>
            </w:pPr>
            <w:r>
              <w:rPr>
                <w:rFonts w:ascii="Arial" w:cs="Arial" w:eastAsia="Arial" w:hAnsi="Arial"/>
                <w:sz w:val="14"/>
                <w:szCs w:val="14"/>
                <w:i w:val="1"/>
                <w:iCs w:val="1"/>
                <w:color w:val="3E3935"/>
              </w:rPr>
              <w:t>5,800,000</w:t>
            </w:r>
          </w:p>
        </w:tc>
        <w:tc>
          <w:tcPr>
            <w:tcW w:w="1140" w:type="dxa"/>
            <w:vAlign w:val="bottom"/>
          </w:tcPr>
          <w:p>
            <w:pPr>
              <w:jc w:val="right"/>
              <w:ind w:right="26"/>
              <w:spacing w:after="0"/>
              <w:rPr>
                <w:sz w:val="20"/>
                <w:szCs w:val="20"/>
                <w:color w:val="auto"/>
              </w:rPr>
            </w:pPr>
            <w:r>
              <w:rPr>
                <w:rFonts w:ascii="Arial" w:cs="Arial" w:eastAsia="Arial" w:hAnsi="Arial"/>
                <w:sz w:val="14"/>
                <w:szCs w:val="14"/>
                <w:i w:val="1"/>
                <w:iCs w:val="1"/>
                <w:color w:val="3E3935"/>
              </w:rPr>
              <w:t>3,600,000</w:t>
            </w:r>
          </w:p>
        </w:tc>
        <w:tc>
          <w:tcPr>
            <w:tcW w:w="1120" w:type="dxa"/>
            <w:vAlign w:val="bottom"/>
          </w:tcPr>
          <w:p>
            <w:pPr>
              <w:jc w:val="right"/>
              <w:ind w:right="26"/>
              <w:spacing w:after="0"/>
              <w:rPr>
                <w:sz w:val="20"/>
                <w:szCs w:val="20"/>
                <w:color w:val="auto"/>
              </w:rPr>
            </w:pPr>
            <w:r>
              <w:rPr>
                <w:rFonts w:ascii="Arial" w:cs="Arial" w:eastAsia="Arial" w:hAnsi="Arial"/>
                <w:sz w:val="14"/>
                <w:szCs w:val="14"/>
                <w:i w:val="1"/>
                <w:iCs w:val="1"/>
                <w:color w:val="3E3935"/>
              </w:rPr>
              <w:t>5,000,000</w:t>
            </w:r>
          </w:p>
        </w:tc>
        <w:tc>
          <w:tcPr>
            <w:tcW w:w="900" w:type="dxa"/>
            <w:vAlign w:val="bottom"/>
          </w:tcPr>
          <w:p>
            <w:pPr>
              <w:spacing w:after="0"/>
              <w:rPr>
                <w:sz w:val="24"/>
                <w:szCs w:val="24"/>
                <w:color w:val="auto"/>
              </w:rPr>
            </w:pPr>
          </w:p>
        </w:tc>
      </w:tr>
      <w:tr>
        <w:trPr>
          <w:trHeight w:val="116"/>
        </w:trPr>
        <w:tc>
          <w:tcPr>
            <w:tcW w:w="5660" w:type="dxa"/>
            <w:vAlign w:val="bottom"/>
            <w:tcBorders>
              <w:bottom w:val="single" w:sz="8" w:color="3E3935"/>
            </w:tcBorders>
          </w:tcPr>
          <w:p>
            <w:pPr>
              <w:spacing w:after="0"/>
              <w:rPr>
                <w:sz w:val="10"/>
                <w:szCs w:val="10"/>
                <w:color w:val="auto"/>
              </w:rPr>
            </w:pPr>
          </w:p>
        </w:tc>
        <w:tc>
          <w:tcPr>
            <w:tcW w:w="2200" w:type="dxa"/>
            <w:vAlign w:val="bottom"/>
            <w:tcBorders>
              <w:bottom w:val="single" w:sz="8" w:color="3E3935"/>
            </w:tcBorders>
          </w:tcPr>
          <w:p>
            <w:pPr>
              <w:spacing w:after="0"/>
              <w:rPr>
                <w:sz w:val="10"/>
                <w:szCs w:val="10"/>
                <w:color w:val="auto"/>
              </w:rPr>
            </w:pPr>
          </w:p>
        </w:tc>
        <w:tc>
          <w:tcPr>
            <w:tcW w:w="1140" w:type="dxa"/>
            <w:vAlign w:val="bottom"/>
            <w:tcBorders>
              <w:bottom w:val="single" w:sz="8" w:color="3E3935"/>
            </w:tcBorders>
          </w:tcPr>
          <w:p>
            <w:pPr>
              <w:spacing w:after="0"/>
              <w:rPr>
                <w:sz w:val="10"/>
                <w:szCs w:val="10"/>
                <w:color w:val="auto"/>
              </w:rPr>
            </w:pPr>
          </w:p>
        </w:tc>
        <w:tc>
          <w:tcPr>
            <w:tcW w:w="1120" w:type="dxa"/>
            <w:vAlign w:val="bottom"/>
            <w:tcBorders>
              <w:bottom w:val="single" w:sz="8" w:color="3E3935"/>
            </w:tcBorders>
          </w:tcPr>
          <w:p>
            <w:pPr>
              <w:spacing w:after="0"/>
              <w:rPr>
                <w:sz w:val="10"/>
                <w:szCs w:val="10"/>
                <w:color w:val="auto"/>
              </w:rPr>
            </w:pPr>
          </w:p>
        </w:tc>
        <w:tc>
          <w:tcPr>
            <w:tcW w:w="900" w:type="dxa"/>
            <w:vAlign w:val="bottom"/>
            <w:tcBorders>
              <w:bottom w:val="single" w:sz="8" w:color="3E3935"/>
            </w:tcBorders>
          </w:tcPr>
          <w:p>
            <w:pPr>
              <w:spacing w:after="0"/>
              <w:rPr>
                <w:sz w:val="10"/>
                <w:szCs w:val="10"/>
                <w:color w:val="auto"/>
              </w:rPr>
            </w:pPr>
          </w:p>
        </w:tc>
      </w:tr>
      <w:tr>
        <w:trPr>
          <w:trHeight w:val="283"/>
        </w:trPr>
        <w:tc>
          <w:tcPr>
            <w:tcW w:w="5660" w:type="dxa"/>
            <w:vAlign w:val="bottom"/>
          </w:tcPr>
          <w:p>
            <w:pPr>
              <w:ind w:left="280"/>
              <w:spacing w:after="0"/>
              <w:rPr>
                <w:sz w:val="20"/>
                <w:szCs w:val="20"/>
                <w:color w:val="auto"/>
              </w:rPr>
            </w:pPr>
            <w:r>
              <w:rPr>
                <w:rFonts w:ascii="Arial" w:cs="Arial" w:eastAsia="Arial" w:hAnsi="Arial"/>
                <w:sz w:val="14"/>
                <w:szCs w:val="14"/>
                <w:i w:val="1"/>
                <w:iCs w:val="1"/>
                <w:color w:val="3E3935"/>
              </w:rPr>
              <w:t>RSUs Granted</w:t>
            </w:r>
          </w:p>
        </w:tc>
        <w:tc>
          <w:tcPr>
            <w:tcW w:w="2200" w:type="dxa"/>
            <w:vAlign w:val="bottom"/>
          </w:tcPr>
          <w:p>
            <w:pPr>
              <w:jc w:val="right"/>
              <w:ind w:right="26"/>
              <w:spacing w:after="0"/>
              <w:rPr>
                <w:sz w:val="20"/>
                <w:szCs w:val="20"/>
                <w:color w:val="auto"/>
              </w:rPr>
            </w:pPr>
            <w:r>
              <w:rPr>
                <w:rFonts w:ascii="Arial" w:cs="Arial" w:eastAsia="Arial" w:hAnsi="Arial"/>
                <w:sz w:val="14"/>
                <w:szCs w:val="14"/>
                <w:i w:val="1"/>
                <w:iCs w:val="1"/>
                <w:color w:val="3E3935"/>
              </w:rPr>
              <w:t>1,400,000</w:t>
            </w:r>
          </w:p>
        </w:tc>
        <w:tc>
          <w:tcPr>
            <w:tcW w:w="1140" w:type="dxa"/>
            <w:vAlign w:val="bottom"/>
          </w:tcPr>
          <w:p>
            <w:pPr>
              <w:jc w:val="right"/>
              <w:ind w:right="26"/>
              <w:spacing w:after="0"/>
              <w:rPr>
                <w:sz w:val="20"/>
                <w:szCs w:val="20"/>
                <w:color w:val="auto"/>
              </w:rPr>
            </w:pPr>
            <w:r>
              <w:rPr>
                <w:rFonts w:ascii="Arial" w:cs="Arial" w:eastAsia="Arial" w:hAnsi="Arial"/>
                <w:sz w:val="14"/>
                <w:szCs w:val="14"/>
                <w:i w:val="1"/>
                <w:iCs w:val="1"/>
                <w:color w:val="3E3935"/>
              </w:rPr>
              <w:t>800,000</w:t>
            </w:r>
          </w:p>
        </w:tc>
        <w:tc>
          <w:tcPr>
            <w:tcW w:w="1120" w:type="dxa"/>
            <w:vAlign w:val="bottom"/>
          </w:tcPr>
          <w:p>
            <w:pPr>
              <w:jc w:val="right"/>
              <w:ind w:right="26"/>
              <w:spacing w:after="0"/>
              <w:rPr>
                <w:sz w:val="20"/>
                <w:szCs w:val="20"/>
                <w:color w:val="auto"/>
              </w:rPr>
            </w:pPr>
            <w:r>
              <w:rPr>
                <w:rFonts w:ascii="Arial" w:cs="Arial" w:eastAsia="Arial" w:hAnsi="Arial"/>
                <w:sz w:val="14"/>
                <w:szCs w:val="14"/>
                <w:i w:val="1"/>
                <w:iCs w:val="1"/>
                <w:color w:val="3E3935"/>
              </w:rPr>
              <w:t>2,200,000</w:t>
            </w:r>
          </w:p>
        </w:tc>
        <w:tc>
          <w:tcPr>
            <w:tcW w:w="900" w:type="dxa"/>
            <w:vAlign w:val="bottom"/>
          </w:tcPr>
          <w:p>
            <w:pPr>
              <w:spacing w:after="0"/>
              <w:rPr>
                <w:sz w:val="24"/>
                <w:szCs w:val="24"/>
                <w:color w:val="auto"/>
              </w:rPr>
            </w:pPr>
          </w:p>
        </w:tc>
      </w:tr>
      <w:tr>
        <w:trPr>
          <w:trHeight w:val="116"/>
        </w:trPr>
        <w:tc>
          <w:tcPr>
            <w:tcW w:w="5660" w:type="dxa"/>
            <w:vAlign w:val="bottom"/>
            <w:tcBorders>
              <w:bottom w:val="single" w:sz="8" w:color="3E3935"/>
            </w:tcBorders>
          </w:tcPr>
          <w:p>
            <w:pPr>
              <w:spacing w:after="0"/>
              <w:rPr>
                <w:sz w:val="10"/>
                <w:szCs w:val="10"/>
                <w:color w:val="auto"/>
              </w:rPr>
            </w:pPr>
          </w:p>
        </w:tc>
        <w:tc>
          <w:tcPr>
            <w:tcW w:w="2200" w:type="dxa"/>
            <w:vAlign w:val="bottom"/>
            <w:tcBorders>
              <w:bottom w:val="single" w:sz="8" w:color="3E3935"/>
            </w:tcBorders>
          </w:tcPr>
          <w:p>
            <w:pPr>
              <w:spacing w:after="0"/>
              <w:rPr>
                <w:sz w:val="10"/>
                <w:szCs w:val="10"/>
                <w:color w:val="auto"/>
              </w:rPr>
            </w:pPr>
          </w:p>
        </w:tc>
        <w:tc>
          <w:tcPr>
            <w:tcW w:w="1140" w:type="dxa"/>
            <w:vAlign w:val="bottom"/>
            <w:tcBorders>
              <w:bottom w:val="single" w:sz="8" w:color="3E3935"/>
            </w:tcBorders>
          </w:tcPr>
          <w:p>
            <w:pPr>
              <w:spacing w:after="0"/>
              <w:rPr>
                <w:sz w:val="10"/>
                <w:szCs w:val="10"/>
                <w:color w:val="auto"/>
              </w:rPr>
            </w:pPr>
          </w:p>
        </w:tc>
        <w:tc>
          <w:tcPr>
            <w:tcW w:w="1120" w:type="dxa"/>
            <w:vAlign w:val="bottom"/>
            <w:tcBorders>
              <w:bottom w:val="single" w:sz="8" w:color="3E3935"/>
            </w:tcBorders>
          </w:tcPr>
          <w:p>
            <w:pPr>
              <w:spacing w:after="0"/>
              <w:rPr>
                <w:sz w:val="10"/>
                <w:szCs w:val="10"/>
                <w:color w:val="auto"/>
              </w:rPr>
            </w:pPr>
          </w:p>
        </w:tc>
        <w:tc>
          <w:tcPr>
            <w:tcW w:w="900" w:type="dxa"/>
            <w:vAlign w:val="bottom"/>
            <w:tcBorders>
              <w:bottom w:val="single" w:sz="8" w:color="3E3935"/>
            </w:tcBorders>
          </w:tcPr>
          <w:p>
            <w:pPr>
              <w:spacing w:after="0"/>
              <w:rPr>
                <w:sz w:val="10"/>
                <w:szCs w:val="10"/>
                <w:color w:val="auto"/>
              </w:rPr>
            </w:pPr>
          </w:p>
        </w:tc>
      </w:tr>
      <w:tr>
        <w:trPr>
          <w:trHeight w:val="242"/>
        </w:trPr>
        <w:tc>
          <w:tcPr>
            <w:tcW w:w="5660" w:type="dxa"/>
            <w:vAlign w:val="bottom"/>
          </w:tcPr>
          <w:p>
            <w:pPr>
              <w:ind w:left="100"/>
              <w:spacing w:after="0"/>
              <w:rPr>
                <w:sz w:val="20"/>
                <w:szCs w:val="20"/>
                <w:color w:val="auto"/>
              </w:rPr>
            </w:pPr>
            <w:r>
              <w:rPr>
                <w:rFonts w:ascii="Arial" w:cs="Arial" w:eastAsia="Arial" w:hAnsi="Arial"/>
                <w:sz w:val="14"/>
                <w:szCs w:val="14"/>
                <w:color w:val="3E3935"/>
              </w:rPr>
              <w:t>B   Stock Options Granted During Fiscal Year</w:t>
            </w:r>
          </w:p>
        </w:tc>
        <w:tc>
          <w:tcPr>
            <w:tcW w:w="2200" w:type="dxa"/>
            <w:vAlign w:val="bottom"/>
          </w:tcPr>
          <w:p>
            <w:pPr>
              <w:jc w:val="right"/>
              <w:ind w:right="26"/>
              <w:spacing w:after="0"/>
              <w:rPr>
                <w:sz w:val="20"/>
                <w:szCs w:val="20"/>
                <w:color w:val="auto"/>
              </w:rPr>
            </w:pPr>
            <w:r>
              <w:rPr>
                <w:rFonts w:ascii="Arial" w:cs="Arial" w:eastAsia="Arial" w:hAnsi="Arial"/>
                <w:sz w:val="14"/>
                <w:szCs w:val="14"/>
                <w:color w:val="3E3935"/>
              </w:rPr>
              <w:t>3,100,000</w:t>
            </w:r>
          </w:p>
        </w:tc>
        <w:tc>
          <w:tcPr>
            <w:tcW w:w="1140" w:type="dxa"/>
            <w:vAlign w:val="bottom"/>
          </w:tcPr>
          <w:p>
            <w:pPr>
              <w:jc w:val="right"/>
              <w:ind w:right="26"/>
              <w:spacing w:after="0"/>
              <w:rPr>
                <w:sz w:val="20"/>
                <w:szCs w:val="20"/>
                <w:color w:val="auto"/>
              </w:rPr>
            </w:pPr>
            <w:r>
              <w:rPr>
                <w:rFonts w:ascii="Arial" w:cs="Arial" w:eastAsia="Arial" w:hAnsi="Arial"/>
                <w:sz w:val="14"/>
                <w:szCs w:val="14"/>
                <w:color w:val="3E3935"/>
              </w:rPr>
              <w:t>1,700,000</w:t>
            </w:r>
          </w:p>
        </w:tc>
        <w:tc>
          <w:tcPr>
            <w:tcW w:w="1120" w:type="dxa"/>
            <w:vAlign w:val="bottom"/>
          </w:tcPr>
          <w:p>
            <w:pPr>
              <w:jc w:val="right"/>
              <w:ind w:right="26"/>
              <w:spacing w:after="0"/>
              <w:rPr>
                <w:sz w:val="20"/>
                <w:szCs w:val="20"/>
                <w:color w:val="auto"/>
              </w:rPr>
            </w:pPr>
            <w:r>
              <w:rPr>
                <w:rFonts w:ascii="Arial" w:cs="Arial" w:eastAsia="Arial" w:hAnsi="Arial"/>
                <w:sz w:val="14"/>
                <w:szCs w:val="14"/>
                <w:color w:val="3E3935"/>
              </w:rPr>
              <w:t>6,100,000</w:t>
            </w:r>
          </w:p>
        </w:tc>
        <w:tc>
          <w:tcPr>
            <w:tcW w:w="900" w:type="dxa"/>
            <w:vAlign w:val="bottom"/>
          </w:tcPr>
          <w:p>
            <w:pPr>
              <w:spacing w:after="0"/>
              <w:rPr>
                <w:sz w:val="21"/>
                <w:szCs w:val="21"/>
                <w:color w:val="auto"/>
              </w:rPr>
            </w:pPr>
          </w:p>
        </w:tc>
      </w:tr>
      <w:tr>
        <w:trPr>
          <w:trHeight w:val="62"/>
        </w:trPr>
        <w:tc>
          <w:tcPr>
            <w:tcW w:w="5660" w:type="dxa"/>
            <w:vAlign w:val="bottom"/>
            <w:tcBorders>
              <w:bottom w:val="single" w:sz="8" w:color="3E3935"/>
            </w:tcBorders>
          </w:tcPr>
          <w:p>
            <w:pPr>
              <w:spacing w:after="0"/>
              <w:rPr>
                <w:sz w:val="5"/>
                <w:szCs w:val="5"/>
                <w:color w:val="auto"/>
              </w:rPr>
            </w:pPr>
          </w:p>
        </w:tc>
        <w:tc>
          <w:tcPr>
            <w:tcW w:w="2200" w:type="dxa"/>
            <w:vAlign w:val="bottom"/>
            <w:tcBorders>
              <w:bottom w:val="single" w:sz="8" w:color="3E3935"/>
            </w:tcBorders>
          </w:tcPr>
          <w:p>
            <w:pPr>
              <w:spacing w:after="0"/>
              <w:rPr>
                <w:sz w:val="5"/>
                <w:szCs w:val="5"/>
                <w:color w:val="auto"/>
              </w:rPr>
            </w:pPr>
          </w:p>
        </w:tc>
        <w:tc>
          <w:tcPr>
            <w:tcW w:w="1140" w:type="dxa"/>
            <w:vAlign w:val="bottom"/>
            <w:tcBorders>
              <w:bottom w:val="single" w:sz="8" w:color="3E3935"/>
            </w:tcBorders>
          </w:tcPr>
          <w:p>
            <w:pPr>
              <w:spacing w:after="0"/>
              <w:rPr>
                <w:sz w:val="5"/>
                <w:szCs w:val="5"/>
                <w:color w:val="auto"/>
              </w:rPr>
            </w:pPr>
          </w:p>
        </w:tc>
        <w:tc>
          <w:tcPr>
            <w:tcW w:w="1120" w:type="dxa"/>
            <w:vAlign w:val="bottom"/>
            <w:tcBorders>
              <w:bottom w:val="single" w:sz="8" w:color="3E3935"/>
            </w:tcBorders>
          </w:tcPr>
          <w:p>
            <w:pPr>
              <w:spacing w:after="0"/>
              <w:rPr>
                <w:sz w:val="5"/>
                <w:szCs w:val="5"/>
                <w:color w:val="auto"/>
              </w:rPr>
            </w:pPr>
          </w:p>
        </w:tc>
        <w:tc>
          <w:tcPr>
            <w:tcW w:w="900" w:type="dxa"/>
            <w:vAlign w:val="bottom"/>
            <w:tcBorders>
              <w:bottom w:val="single" w:sz="8" w:color="3E3935"/>
            </w:tcBorders>
          </w:tcPr>
          <w:p>
            <w:pPr>
              <w:spacing w:after="0"/>
              <w:rPr>
                <w:sz w:val="5"/>
                <w:szCs w:val="5"/>
                <w:color w:val="auto"/>
              </w:rPr>
            </w:pPr>
          </w:p>
        </w:tc>
      </w:tr>
      <w:tr>
        <w:trPr>
          <w:trHeight w:val="283"/>
        </w:trPr>
        <w:tc>
          <w:tcPr>
            <w:tcW w:w="5660" w:type="dxa"/>
            <w:vAlign w:val="bottom"/>
          </w:tcPr>
          <w:p>
            <w:pPr>
              <w:ind w:left="280"/>
              <w:spacing w:after="0"/>
              <w:rPr>
                <w:sz w:val="20"/>
                <w:szCs w:val="20"/>
                <w:color w:val="auto"/>
              </w:rPr>
            </w:pPr>
            <w:r>
              <w:rPr>
                <w:rFonts w:ascii="Arial" w:cs="Arial" w:eastAsia="Arial" w:hAnsi="Arial"/>
                <w:sz w:val="14"/>
                <w:szCs w:val="14"/>
                <w:i w:val="1"/>
                <w:iCs w:val="1"/>
                <w:color w:val="3E3935"/>
              </w:rPr>
              <w:t>Time-Based Stock Options Granted</w:t>
            </w:r>
          </w:p>
        </w:tc>
        <w:tc>
          <w:tcPr>
            <w:tcW w:w="2200" w:type="dxa"/>
            <w:vAlign w:val="bottom"/>
          </w:tcPr>
          <w:p>
            <w:pPr>
              <w:jc w:val="right"/>
              <w:ind w:right="26"/>
              <w:spacing w:after="0"/>
              <w:rPr>
                <w:sz w:val="20"/>
                <w:szCs w:val="20"/>
                <w:color w:val="auto"/>
              </w:rPr>
            </w:pPr>
            <w:r>
              <w:rPr>
                <w:rFonts w:ascii="Arial" w:cs="Arial" w:eastAsia="Arial" w:hAnsi="Arial"/>
                <w:sz w:val="14"/>
                <w:szCs w:val="14"/>
                <w:i w:val="1"/>
                <w:iCs w:val="1"/>
                <w:color w:val="3E3935"/>
              </w:rPr>
              <w:t>3,100,000</w:t>
            </w:r>
          </w:p>
        </w:tc>
        <w:tc>
          <w:tcPr>
            <w:tcW w:w="1140" w:type="dxa"/>
            <w:vAlign w:val="bottom"/>
          </w:tcPr>
          <w:p>
            <w:pPr>
              <w:jc w:val="right"/>
              <w:ind w:right="26"/>
              <w:spacing w:after="0"/>
              <w:rPr>
                <w:sz w:val="20"/>
                <w:szCs w:val="20"/>
                <w:color w:val="auto"/>
              </w:rPr>
            </w:pPr>
            <w:r>
              <w:rPr>
                <w:rFonts w:ascii="Arial" w:cs="Arial" w:eastAsia="Arial" w:hAnsi="Arial"/>
                <w:sz w:val="14"/>
                <w:szCs w:val="14"/>
                <w:i w:val="1"/>
                <w:iCs w:val="1"/>
                <w:color w:val="3E3935"/>
              </w:rPr>
              <w:t>1,700,000</w:t>
            </w:r>
          </w:p>
        </w:tc>
        <w:tc>
          <w:tcPr>
            <w:tcW w:w="1120" w:type="dxa"/>
            <w:vAlign w:val="bottom"/>
          </w:tcPr>
          <w:p>
            <w:pPr>
              <w:jc w:val="right"/>
              <w:ind w:right="26"/>
              <w:spacing w:after="0"/>
              <w:rPr>
                <w:sz w:val="20"/>
                <w:szCs w:val="20"/>
                <w:color w:val="auto"/>
              </w:rPr>
            </w:pPr>
            <w:r>
              <w:rPr>
                <w:rFonts w:ascii="Arial" w:cs="Arial" w:eastAsia="Arial" w:hAnsi="Arial"/>
                <w:sz w:val="14"/>
                <w:szCs w:val="14"/>
                <w:i w:val="1"/>
                <w:iCs w:val="1"/>
                <w:color w:val="3E3935"/>
              </w:rPr>
              <w:t>6,100,000</w:t>
            </w:r>
          </w:p>
        </w:tc>
        <w:tc>
          <w:tcPr>
            <w:tcW w:w="900" w:type="dxa"/>
            <w:vAlign w:val="bottom"/>
          </w:tcPr>
          <w:p>
            <w:pPr>
              <w:spacing w:after="0"/>
              <w:rPr>
                <w:sz w:val="24"/>
                <w:szCs w:val="24"/>
                <w:color w:val="auto"/>
              </w:rPr>
            </w:pPr>
          </w:p>
        </w:tc>
      </w:tr>
      <w:tr>
        <w:trPr>
          <w:trHeight w:val="116"/>
        </w:trPr>
        <w:tc>
          <w:tcPr>
            <w:tcW w:w="5660" w:type="dxa"/>
            <w:vAlign w:val="bottom"/>
            <w:tcBorders>
              <w:bottom w:val="single" w:sz="8" w:color="3E3935"/>
            </w:tcBorders>
          </w:tcPr>
          <w:p>
            <w:pPr>
              <w:spacing w:after="0"/>
              <w:rPr>
                <w:sz w:val="10"/>
                <w:szCs w:val="10"/>
                <w:color w:val="auto"/>
              </w:rPr>
            </w:pPr>
          </w:p>
        </w:tc>
        <w:tc>
          <w:tcPr>
            <w:tcW w:w="2200" w:type="dxa"/>
            <w:vAlign w:val="bottom"/>
            <w:tcBorders>
              <w:bottom w:val="single" w:sz="8" w:color="3E3935"/>
            </w:tcBorders>
          </w:tcPr>
          <w:p>
            <w:pPr>
              <w:spacing w:after="0"/>
              <w:rPr>
                <w:sz w:val="10"/>
                <w:szCs w:val="10"/>
                <w:color w:val="auto"/>
              </w:rPr>
            </w:pPr>
          </w:p>
        </w:tc>
        <w:tc>
          <w:tcPr>
            <w:tcW w:w="1140" w:type="dxa"/>
            <w:vAlign w:val="bottom"/>
            <w:tcBorders>
              <w:bottom w:val="single" w:sz="8" w:color="3E3935"/>
            </w:tcBorders>
          </w:tcPr>
          <w:p>
            <w:pPr>
              <w:spacing w:after="0"/>
              <w:rPr>
                <w:sz w:val="10"/>
                <w:szCs w:val="10"/>
                <w:color w:val="auto"/>
              </w:rPr>
            </w:pPr>
          </w:p>
        </w:tc>
        <w:tc>
          <w:tcPr>
            <w:tcW w:w="1120" w:type="dxa"/>
            <w:vAlign w:val="bottom"/>
            <w:tcBorders>
              <w:bottom w:val="single" w:sz="8" w:color="3E3935"/>
            </w:tcBorders>
          </w:tcPr>
          <w:p>
            <w:pPr>
              <w:spacing w:after="0"/>
              <w:rPr>
                <w:sz w:val="10"/>
                <w:szCs w:val="10"/>
                <w:color w:val="auto"/>
              </w:rPr>
            </w:pPr>
          </w:p>
        </w:tc>
        <w:tc>
          <w:tcPr>
            <w:tcW w:w="900" w:type="dxa"/>
            <w:vAlign w:val="bottom"/>
            <w:tcBorders>
              <w:bottom w:val="single" w:sz="8" w:color="3E3935"/>
            </w:tcBorders>
          </w:tcPr>
          <w:p>
            <w:pPr>
              <w:spacing w:after="0"/>
              <w:rPr>
                <w:sz w:val="10"/>
                <w:szCs w:val="10"/>
                <w:color w:val="auto"/>
              </w:rPr>
            </w:pPr>
          </w:p>
        </w:tc>
      </w:tr>
      <w:tr>
        <w:trPr>
          <w:trHeight w:val="283"/>
        </w:trPr>
        <w:tc>
          <w:tcPr>
            <w:tcW w:w="5660" w:type="dxa"/>
            <w:vAlign w:val="bottom"/>
          </w:tcPr>
          <w:p>
            <w:pPr>
              <w:ind w:left="280"/>
              <w:spacing w:after="0"/>
              <w:rPr>
                <w:sz w:val="20"/>
                <w:szCs w:val="20"/>
                <w:color w:val="auto"/>
              </w:rPr>
            </w:pPr>
            <w:r>
              <w:rPr>
                <w:rFonts w:ascii="Arial" w:cs="Arial" w:eastAsia="Arial" w:hAnsi="Arial"/>
                <w:sz w:val="14"/>
                <w:szCs w:val="14"/>
                <w:i w:val="1"/>
                <w:iCs w:val="1"/>
                <w:color w:val="3E3935"/>
              </w:rPr>
              <w:t>Performance Stock Options Granted</w:t>
            </w:r>
          </w:p>
        </w:tc>
        <w:tc>
          <w:tcPr>
            <w:tcW w:w="2200" w:type="dxa"/>
            <w:vAlign w:val="bottom"/>
          </w:tcPr>
          <w:p>
            <w:pPr>
              <w:jc w:val="right"/>
              <w:ind w:right="26"/>
              <w:spacing w:after="0"/>
              <w:rPr>
                <w:sz w:val="20"/>
                <w:szCs w:val="20"/>
                <w:color w:val="auto"/>
              </w:rPr>
            </w:pPr>
            <w:r>
              <w:rPr>
                <w:rFonts w:ascii="Arial" w:cs="Arial" w:eastAsia="Arial" w:hAnsi="Arial"/>
                <w:sz w:val="14"/>
                <w:szCs w:val="14"/>
                <w:i w:val="1"/>
                <w:iCs w:val="1"/>
                <w:color w:val="3E3935"/>
              </w:rPr>
              <w:t>—</w:t>
            </w:r>
          </w:p>
        </w:tc>
        <w:tc>
          <w:tcPr>
            <w:tcW w:w="1140" w:type="dxa"/>
            <w:vAlign w:val="bottom"/>
          </w:tcPr>
          <w:p>
            <w:pPr>
              <w:jc w:val="right"/>
              <w:ind w:right="26"/>
              <w:spacing w:after="0"/>
              <w:rPr>
                <w:sz w:val="20"/>
                <w:szCs w:val="20"/>
                <w:color w:val="auto"/>
              </w:rPr>
            </w:pPr>
            <w:r>
              <w:rPr>
                <w:rFonts w:ascii="Arial" w:cs="Arial" w:eastAsia="Arial" w:hAnsi="Arial"/>
                <w:sz w:val="14"/>
                <w:szCs w:val="14"/>
                <w:i w:val="1"/>
                <w:iCs w:val="1"/>
                <w:color w:val="3E3935"/>
              </w:rPr>
              <w:t>—</w:t>
            </w:r>
          </w:p>
        </w:tc>
        <w:tc>
          <w:tcPr>
            <w:tcW w:w="1120" w:type="dxa"/>
            <w:vAlign w:val="bottom"/>
          </w:tcPr>
          <w:p>
            <w:pPr>
              <w:jc w:val="right"/>
              <w:ind w:right="26"/>
              <w:spacing w:after="0"/>
              <w:rPr>
                <w:sz w:val="20"/>
                <w:szCs w:val="20"/>
                <w:color w:val="auto"/>
              </w:rPr>
            </w:pPr>
            <w:r>
              <w:rPr>
                <w:rFonts w:ascii="Arial" w:cs="Arial" w:eastAsia="Arial" w:hAnsi="Arial"/>
                <w:sz w:val="14"/>
                <w:szCs w:val="14"/>
                <w:i w:val="1"/>
                <w:iCs w:val="1"/>
                <w:color w:val="3E3935"/>
              </w:rPr>
              <w:t>—</w:t>
            </w:r>
          </w:p>
        </w:tc>
        <w:tc>
          <w:tcPr>
            <w:tcW w:w="900" w:type="dxa"/>
            <w:vAlign w:val="bottom"/>
          </w:tcPr>
          <w:p>
            <w:pPr>
              <w:spacing w:after="0"/>
              <w:rPr>
                <w:sz w:val="24"/>
                <w:szCs w:val="24"/>
                <w:color w:val="auto"/>
              </w:rPr>
            </w:pPr>
          </w:p>
        </w:tc>
      </w:tr>
      <w:tr>
        <w:trPr>
          <w:trHeight w:val="116"/>
        </w:trPr>
        <w:tc>
          <w:tcPr>
            <w:tcW w:w="5660" w:type="dxa"/>
            <w:vAlign w:val="bottom"/>
            <w:tcBorders>
              <w:bottom w:val="single" w:sz="8" w:color="3E3935"/>
            </w:tcBorders>
          </w:tcPr>
          <w:p>
            <w:pPr>
              <w:spacing w:after="0"/>
              <w:rPr>
                <w:sz w:val="10"/>
                <w:szCs w:val="10"/>
                <w:color w:val="auto"/>
              </w:rPr>
            </w:pPr>
          </w:p>
        </w:tc>
        <w:tc>
          <w:tcPr>
            <w:tcW w:w="2200" w:type="dxa"/>
            <w:vAlign w:val="bottom"/>
            <w:tcBorders>
              <w:bottom w:val="single" w:sz="8" w:color="3E3935"/>
            </w:tcBorders>
          </w:tcPr>
          <w:p>
            <w:pPr>
              <w:spacing w:after="0"/>
              <w:rPr>
                <w:sz w:val="10"/>
                <w:szCs w:val="10"/>
                <w:color w:val="auto"/>
              </w:rPr>
            </w:pPr>
          </w:p>
        </w:tc>
        <w:tc>
          <w:tcPr>
            <w:tcW w:w="1140" w:type="dxa"/>
            <w:vAlign w:val="bottom"/>
            <w:tcBorders>
              <w:bottom w:val="single" w:sz="8" w:color="3E3935"/>
            </w:tcBorders>
          </w:tcPr>
          <w:p>
            <w:pPr>
              <w:spacing w:after="0"/>
              <w:rPr>
                <w:sz w:val="10"/>
                <w:szCs w:val="10"/>
                <w:color w:val="auto"/>
              </w:rPr>
            </w:pPr>
          </w:p>
        </w:tc>
        <w:tc>
          <w:tcPr>
            <w:tcW w:w="1120" w:type="dxa"/>
            <w:vAlign w:val="bottom"/>
            <w:tcBorders>
              <w:bottom w:val="single" w:sz="8" w:color="3E3935"/>
            </w:tcBorders>
          </w:tcPr>
          <w:p>
            <w:pPr>
              <w:spacing w:after="0"/>
              <w:rPr>
                <w:sz w:val="10"/>
                <w:szCs w:val="10"/>
                <w:color w:val="auto"/>
              </w:rPr>
            </w:pPr>
          </w:p>
        </w:tc>
        <w:tc>
          <w:tcPr>
            <w:tcW w:w="900" w:type="dxa"/>
            <w:vAlign w:val="bottom"/>
            <w:tcBorders>
              <w:bottom w:val="single" w:sz="8" w:color="3E3935"/>
            </w:tcBorders>
          </w:tcPr>
          <w:p>
            <w:pPr>
              <w:spacing w:after="0"/>
              <w:rPr>
                <w:sz w:val="10"/>
                <w:szCs w:val="10"/>
                <w:color w:val="auto"/>
              </w:rPr>
            </w:pPr>
          </w:p>
        </w:tc>
      </w:tr>
      <w:tr>
        <w:trPr>
          <w:trHeight w:val="242"/>
        </w:trPr>
        <w:tc>
          <w:tcPr>
            <w:tcW w:w="5660" w:type="dxa"/>
            <w:vAlign w:val="bottom"/>
          </w:tcPr>
          <w:p>
            <w:pPr>
              <w:ind w:left="100"/>
              <w:spacing w:after="0"/>
              <w:rPr>
                <w:sz w:val="20"/>
                <w:szCs w:val="20"/>
                <w:color w:val="auto"/>
              </w:rPr>
            </w:pPr>
            <w:r>
              <w:rPr>
                <w:rFonts w:ascii="Arial" w:cs="Arial" w:eastAsia="Arial" w:hAnsi="Arial"/>
                <w:sz w:val="14"/>
                <w:szCs w:val="14"/>
                <w:color w:val="3E3935"/>
              </w:rPr>
              <w:t>C   Total Awards Granted During Fiscal Year [A + B]</w:t>
            </w:r>
          </w:p>
        </w:tc>
        <w:tc>
          <w:tcPr>
            <w:tcW w:w="2200" w:type="dxa"/>
            <w:vAlign w:val="bottom"/>
          </w:tcPr>
          <w:p>
            <w:pPr>
              <w:jc w:val="right"/>
              <w:ind w:right="26"/>
              <w:spacing w:after="0"/>
              <w:rPr>
                <w:sz w:val="20"/>
                <w:szCs w:val="20"/>
                <w:color w:val="auto"/>
              </w:rPr>
            </w:pPr>
            <w:r>
              <w:rPr>
                <w:rFonts w:ascii="Arial" w:cs="Arial" w:eastAsia="Arial" w:hAnsi="Arial"/>
                <w:sz w:val="14"/>
                <w:szCs w:val="14"/>
                <w:color w:val="3E3935"/>
              </w:rPr>
              <w:t>10,300,000</w:t>
            </w:r>
          </w:p>
        </w:tc>
        <w:tc>
          <w:tcPr>
            <w:tcW w:w="1140" w:type="dxa"/>
            <w:vAlign w:val="bottom"/>
          </w:tcPr>
          <w:p>
            <w:pPr>
              <w:jc w:val="right"/>
              <w:ind w:right="26"/>
              <w:spacing w:after="0"/>
              <w:rPr>
                <w:sz w:val="20"/>
                <w:szCs w:val="20"/>
                <w:color w:val="auto"/>
              </w:rPr>
            </w:pPr>
            <w:r>
              <w:rPr>
                <w:rFonts w:ascii="Arial" w:cs="Arial" w:eastAsia="Arial" w:hAnsi="Arial"/>
                <w:sz w:val="14"/>
                <w:szCs w:val="14"/>
                <w:color w:val="3E3935"/>
              </w:rPr>
              <w:t>6,100,000</w:t>
            </w:r>
          </w:p>
        </w:tc>
        <w:tc>
          <w:tcPr>
            <w:tcW w:w="1120" w:type="dxa"/>
            <w:vAlign w:val="bottom"/>
          </w:tcPr>
          <w:p>
            <w:pPr>
              <w:jc w:val="right"/>
              <w:ind w:right="26"/>
              <w:spacing w:after="0"/>
              <w:rPr>
                <w:sz w:val="20"/>
                <w:szCs w:val="20"/>
                <w:color w:val="auto"/>
              </w:rPr>
            </w:pPr>
            <w:r>
              <w:rPr>
                <w:rFonts w:ascii="Arial" w:cs="Arial" w:eastAsia="Arial" w:hAnsi="Arial"/>
                <w:sz w:val="14"/>
                <w:szCs w:val="14"/>
                <w:color w:val="3E3935"/>
              </w:rPr>
              <w:t>13,300,000</w:t>
            </w:r>
          </w:p>
        </w:tc>
        <w:tc>
          <w:tcPr>
            <w:tcW w:w="900" w:type="dxa"/>
            <w:vAlign w:val="bottom"/>
          </w:tcPr>
          <w:p>
            <w:pPr>
              <w:spacing w:after="0"/>
              <w:rPr>
                <w:sz w:val="21"/>
                <w:szCs w:val="21"/>
                <w:color w:val="auto"/>
              </w:rPr>
            </w:pPr>
          </w:p>
        </w:tc>
      </w:tr>
      <w:tr>
        <w:trPr>
          <w:trHeight w:val="62"/>
        </w:trPr>
        <w:tc>
          <w:tcPr>
            <w:tcW w:w="5660" w:type="dxa"/>
            <w:vAlign w:val="bottom"/>
            <w:tcBorders>
              <w:bottom w:val="single" w:sz="8" w:color="3E3935"/>
            </w:tcBorders>
          </w:tcPr>
          <w:p>
            <w:pPr>
              <w:spacing w:after="0"/>
              <w:rPr>
                <w:sz w:val="5"/>
                <w:szCs w:val="5"/>
                <w:color w:val="auto"/>
              </w:rPr>
            </w:pPr>
          </w:p>
        </w:tc>
        <w:tc>
          <w:tcPr>
            <w:tcW w:w="2200" w:type="dxa"/>
            <w:vAlign w:val="bottom"/>
            <w:tcBorders>
              <w:bottom w:val="single" w:sz="8" w:color="3E3935"/>
            </w:tcBorders>
          </w:tcPr>
          <w:p>
            <w:pPr>
              <w:spacing w:after="0"/>
              <w:rPr>
                <w:sz w:val="5"/>
                <w:szCs w:val="5"/>
                <w:color w:val="auto"/>
              </w:rPr>
            </w:pPr>
          </w:p>
        </w:tc>
        <w:tc>
          <w:tcPr>
            <w:tcW w:w="1140" w:type="dxa"/>
            <w:vAlign w:val="bottom"/>
            <w:tcBorders>
              <w:bottom w:val="single" w:sz="8" w:color="3E3935"/>
            </w:tcBorders>
          </w:tcPr>
          <w:p>
            <w:pPr>
              <w:spacing w:after="0"/>
              <w:rPr>
                <w:sz w:val="5"/>
                <w:szCs w:val="5"/>
                <w:color w:val="auto"/>
              </w:rPr>
            </w:pPr>
          </w:p>
        </w:tc>
        <w:tc>
          <w:tcPr>
            <w:tcW w:w="1120" w:type="dxa"/>
            <w:vAlign w:val="bottom"/>
            <w:tcBorders>
              <w:bottom w:val="single" w:sz="8" w:color="3E3935"/>
            </w:tcBorders>
          </w:tcPr>
          <w:p>
            <w:pPr>
              <w:spacing w:after="0"/>
              <w:rPr>
                <w:sz w:val="5"/>
                <w:szCs w:val="5"/>
                <w:color w:val="auto"/>
              </w:rPr>
            </w:pPr>
          </w:p>
        </w:tc>
        <w:tc>
          <w:tcPr>
            <w:tcW w:w="900" w:type="dxa"/>
            <w:vAlign w:val="bottom"/>
            <w:tcBorders>
              <w:bottom w:val="single" w:sz="8" w:color="3E3935"/>
            </w:tcBorders>
          </w:tcPr>
          <w:p>
            <w:pPr>
              <w:spacing w:after="0"/>
              <w:rPr>
                <w:sz w:val="5"/>
                <w:szCs w:val="5"/>
                <w:color w:val="auto"/>
              </w:rPr>
            </w:pPr>
          </w:p>
        </w:tc>
      </w:tr>
      <w:tr>
        <w:trPr>
          <w:trHeight w:val="242"/>
        </w:trPr>
        <w:tc>
          <w:tcPr>
            <w:tcW w:w="5660" w:type="dxa"/>
            <w:vAlign w:val="bottom"/>
          </w:tcPr>
          <w:p>
            <w:pPr>
              <w:ind w:left="100"/>
              <w:spacing w:after="0"/>
              <w:rPr>
                <w:sz w:val="20"/>
                <w:szCs w:val="20"/>
                <w:color w:val="auto"/>
              </w:rPr>
            </w:pPr>
            <w:r>
              <w:rPr>
                <w:rFonts w:ascii="Arial" w:cs="Arial" w:eastAsia="Arial" w:hAnsi="Arial"/>
                <w:sz w:val="14"/>
                <w:szCs w:val="14"/>
                <w:color w:val="3E3935"/>
              </w:rPr>
              <w:t>D   Basic Weighted-Average GM Common Stock Outstanding</w:t>
            </w:r>
          </w:p>
        </w:tc>
        <w:tc>
          <w:tcPr>
            <w:tcW w:w="2200" w:type="dxa"/>
            <w:vAlign w:val="bottom"/>
          </w:tcPr>
          <w:p>
            <w:pPr>
              <w:jc w:val="right"/>
              <w:ind w:right="26"/>
              <w:spacing w:after="0"/>
              <w:rPr>
                <w:sz w:val="20"/>
                <w:szCs w:val="20"/>
                <w:color w:val="auto"/>
              </w:rPr>
            </w:pPr>
            <w:r>
              <w:rPr>
                <w:rFonts w:ascii="Arial" w:cs="Arial" w:eastAsia="Arial" w:hAnsi="Arial"/>
                <w:sz w:val="14"/>
                <w:szCs w:val="14"/>
                <w:color w:val="3E3935"/>
              </w:rPr>
              <w:t>1,445,000,000</w:t>
            </w:r>
          </w:p>
        </w:tc>
        <w:tc>
          <w:tcPr>
            <w:tcW w:w="1140" w:type="dxa"/>
            <w:vAlign w:val="bottom"/>
          </w:tcPr>
          <w:p>
            <w:pPr>
              <w:jc w:val="right"/>
              <w:ind w:right="26"/>
              <w:spacing w:after="0"/>
              <w:rPr>
                <w:sz w:val="20"/>
                <w:szCs w:val="20"/>
                <w:color w:val="auto"/>
              </w:rPr>
            </w:pPr>
            <w:r>
              <w:rPr>
                <w:rFonts w:ascii="Arial" w:cs="Arial" w:eastAsia="Arial" w:hAnsi="Arial"/>
                <w:sz w:val="14"/>
                <w:szCs w:val="14"/>
                <w:color w:val="3E3935"/>
              </w:rPr>
              <w:t>1,451,000,000</w:t>
            </w:r>
          </w:p>
        </w:tc>
        <w:tc>
          <w:tcPr>
            <w:tcW w:w="1120" w:type="dxa"/>
            <w:vAlign w:val="bottom"/>
          </w:tcPr>
          <w:p>
            <w:pPr>
              <w:jc w:val="right"/>
              <w:ind w:right="26"/>
              <w:spacing w:after="0"/>
              <w:rPr>
                <w:sz w:val="20"/>
                <w:szCs w:val="20"/>
                <w:color w:val="auto"/>
              </w:rPr>
            </w:pPr>
            <w:r>
              <w:rPr>
                <w:rFonts w:ascii="Arial" w:cs="Arial" w:eastAsia="Arial" w:hAnsi="Arial"/>
                <w:sz w:val="14"/>
                <w:szCs w:val="14"/>
                <w:color w:val="3E3935"/>
              </w:rPr>
              <w:t>1,433,000,000</w:t>
            </w:r>
          </w:p>
        </w:tc>
        <w:tc>
          <w:tcPr>
            <w:tcW w:w="900" w:type="dxa"/>
            <w:vAlign w:val="bottom"/>
          </w:tcPr>
          <w:p>
            <w:pPr>
              <w:spacing w:after="0"/>
              <w:rPr>
                <w:sz w:val="21"/>
                <w:szCs w:val="21"/>
                <w:color w:val="auto"/>
              </w:rPr>
            </w:pPr>
          </w:p>
        </w:tc>
      </w:tr>
      <w:tr>
        <w:trPr>
          <w:trHeight w:val="62"/>
        </w:trPr>
        <w:tc>
          <w:tcPr>
            <w:tcW w:w="5660" w:type="dxa"/>
            <w:vAlign w:val="bottom"/>
            <w:tcBorders>
              <w:bottom w:val="single" w:sz="8" w:color="3E3935"/>
            </w:tcBorders>
          </w:tcPr>
          <w:p>
            <w:pPr>
              <w:spacing w:after="0"/>
              <w:rPr>
                <w:sz w:val="5"/>
                <w:szCs w:val="5"/>
                <w:color w:val="auto"/>
              </w:rPr>
            </w:pPr>
          </w:p>
        </w:tc>
        <w:tc>
          <w:tcPr>
            <w:tcW w:w="2200" w:type="dxa"/>
            <w:vAlign w:val="bottom"/>
            <w:tcBorders>
              <w:bottom w:val="single" w:sz="8" w:color="3E3935"/>
            </w:tcBorders>
          </w:tcPr>
          <w:p>
            <w:pPr>
              <w:spacing w:after="0"/>
              <w:rPr>
                <w:sz w:val="5"/>
                <w:szCs w:val="5"/>
                <w:color w:val="auto"/>
              </w:rPr>
            </w:pPr>
          </w:p>
        </w:tc>
        <w:tc>
          <w:tcPr>
            <w:tcW w:w="1140" w:type="dxa"/>
            <w:vAlign w:val="bottom"/>
            <w:tcBorders>
              <w:bottom w:val="single" w:sz="8" w:color="3E3935"/>
            </w:tcBorders>
          </w:tcPr>
          <w:p>
            <w:pPr>
              <w:spacing w:after="0"/>
              <w:rPr>
                <w:sz w:val="5"/>
                <w:szCs w:val="5"/>
                <w:color w:val="auto"/>
              </w:rPr>
            </w:pPr>
          </w:p>
        </w:tc>
        <w:tc>
          <w:tcPr>
            <w:tcW w:w="1120" w:type="dxa"/>
            <w:vAlign w:val="bottom"/>
            <w:tcBorders>
              <w:bottom w:val="single" w:sz="8" w:color="3E3935"/>
            </w:tcBorders>
          </w:tcPr>
          <w:p>
            <w:pPr>
              <w:spacing w:after="0"/>
              <w:rPr>
                <w:sz w:val="5"/>
                <w:szCs w:val="5"/>
                <w:color w:val="auto"/>
              </w:rPr>
            </w:pPr>
          </w:p>
        </w:tc>
        <w:tc>
          <w:tcPr>
            <w:tcW w:w="900" w:type="dxa"/>
            <w:vAlign w:val="bottom"/>
            <w:tcBorders>
              <w:bottom w:val="single" w:sz="8" w:color="3E3935"/>
            </w:tcBorders>
          </w:tcPr>
          <w:p>
            <w:pPr>
              <w:spacing w:after="0"/>
              <w:rPr>
                <w:sz w:val="5"/>
                <w:szCs w:val="5"/>
                <w:color w:val="auto"/>
              </w:rPr>
            </w:pPr>
          </w:p>
        </w:tc>
      </w:tr>
      <w:tr>
        <w:trPr>
          <w:trHeight w:val="283"/>
        </w:trPr>
        <w:tc>
          <w:tcPr>
            <w:tcW w:w="5660" w:type="dxa"/>
            <w:vAlign w:val="bottom"/>
          </w:tcPr>
          <w:p>
            <w:pPr>
              <w:ind w:left="280"/>
              <w:spacing w:after="0"/>
              <w:rPr>
                <w:sz w:val="20"/>
                <w:szCs w:val="20"/>
                <w:color w:val="auto"/>
              </w:rPr>
            </w:pPr>
            <w:r>
              <w:rPr>
                <w:rFonts w:ascii="Arial" w:cs="Arial" w:eastAsia="Arial" w:hAnsi="Arial"/>
                <w:sz w:val="14"/>
                <w:szCs w:val="14"/>
                <w:color w:val="3E3935"/>
              </w:rPr>
              <w:t>Burn Rate Including Performance Awards Granted [C / D]</w:t>
            </w:r>
          </w:p>
        </w:tc>
        <w:tc>
          <w:tcPr>
            <w:tcW w:w="2200" w:type="dxa"/>
            <w:vAlign w:val="bottom"/>
          </w:tcPr>
          <w:p>
            <w:pPr>
              <w:jc w:val="right"/>
              <w:ind w:right="26"/>
              <w:spacing w:after="0"/>
              <w:rPr>
                <w:sz w:val="20"/>
                <w:szCs w:val="20"/>
                <w:color w:val="auto"/>
              </w:rPr>
            </w:pPr>
            <w:r>
              <w:rPr>
                <w:rFonts w:ascii="Arial" w:cs="Arial" w:eastAsia="Arial" w:hAnsi="Arial"/>
                <w:sz w:val="14"/>
                <w:szCs w:val="14"/>
                <w:color w:val="3E3935"/>
              </w:rPr>
              <w:t>0.7%</w:t>
            </w:r>
          </w:p>
        </w:tc>
        <w:tc>
          <w:tcPr>
            <w:tcW w:w="1140" w:type="dxa"/>
            <w:vAlign w:val="bottom"/>
          </w:tcPr>
          <w:p>
            <w:pPr>
              <w:jc w:val="right"/>
              <w:ind w:right="26"/>
              <w:spacing w:after="0"/>
              <w:rPr>
                <w:sz w:val="20"/>
                <w:szCs w:val="20"/>
                <w:color w:val="auto"/>
              </w:rPr>
            </w:pPr>
            <w:r>
              <w:rPr>
                <w:rFonts w:ascii="Arial" w:cs="Arial" w:eastAsia="Arial" w:hAnsi="Arial"/>
                <w:sz w:val="14"/>
                <w:szCs w:val="14"/>
                <w:color w:val="3E3935"/>
              </w:rPr>
              <w:t>0.4%</w:t>
            </w:r>
          </w:p>
        </w:tc>
        <w:tc>
          <w:tcPr>
            <w:tcW w:w="1120" w:type="dxa"/>
            <w:vAlign w:val="bottom"/>
          </w:tcPr>
          <w:p>
            <w:pPr>
              <w:jc w:val="right"/>
              <w:ind w:right="26"/>
              <w:spacing w:after="0"/>
              <w:rPr>
                <w:sz w:val="20"/>
                <w:szCs w:val="20"/>
                <w:color w:val="auto"/>
              </w:rPr>
            </w:pPr>
            <w:r>
              <w:rPr>
                <w:rFonts w:ascii="Arial" w:cs="Arial" w:eastAsia="Arial" w:hAnsi="Arial"/>
                <w:sz w:val="14"/>
                <w:szCs w:val="14"/>
                <w:color w:val="3E3935"/>
              </w:rPr>
              <w:t>0.9%</w:t>
            </w:r>
          </w:p>
        </w:tc>
        <w:tc>
          <w:tcPr>
            <w:tcW w:w="900" w:type="dxa"/>
            <w:vAlign w:val="bottom"/>
          </w:tcPr>
          <w:p>
            <w:pPr>
              <w:jc w:val="right"/>
              <w:ind w:right="39"/>
              <w:spacing w:after="0"/>
              <w:rPr>
                <w:sz w:val="20"/>
                <w:szCs w:val="20"/>
                <w:color w:val="auto"/>
              </w:rPr>
            </w:pPr>
            <w:r>
              <w:rPr>
                <w:rFonts w:ascii="Arial" w:cs="Arial" w:eastAsia="Arial" w:hAnsi="Arial"/>
                <w:sz w:val="14"/>
                <w:szCs w:val="14"/>
                <w:color w:val="3E3935"/>
              </w:rPr>
              <w:t>0.7%</w:t>
            </w:r>
          </w:p>
        </w:tc>
      </w:tr>
      <w:tr>
        <w:trPr>
          <w:trHeight w:val="116"/>
        </w:trPr>
        <w:tc>
          <w:tcPr>
            <w:tcW w:w="5660" w:type="dxa"/>
            <w:vAlign w:val="bottom"/>
            <w:tcBorders>
              <w:bottom w:val="single" w:sz="8" w:color="3E3935"/>
            </w:tcBorders>
          </w:tcPr>
          <w:p>
            <w:pPr>
              <w:spacing w:after="0"/>
              <w:rPr>
                <w:sz w:val="10"/>
                <w:szCs w:val="10"/>
                <w:color w:val="auto"/>
              </w:rPr>
            </w:pPr>
          </w:p>
        </w:tc>
        <w:tc>
          <w:tcPr>
            <w:tcW w:w="2200" w:type="dxa"/>
            <w:vAlign w:val="bottom"/>
            <w:tcBorders>
              <w:bottom w:val="single" w:sz="8" w:color="3E3935"/>
            </w:tcBorders>
          </w:tcPr>
          <w:p>
            <w:pPr>
              <w:spacing w:after="0"/>
              <w:rPr>
                <w:sz w:val="10"/>
                <w:szCs w:val="10"/>
                <w:color w:val="auto"/>
              </w:rPr>
            </w:pPr>
          </w:p>
        </w:tc>
        <w:tc>
          <w:tcPr>
            <w:tcW w:w="1140" w:type="dxa"/>
            <w:vAlign w:val="bottom"/>
            <w:tcBorders>
              <w:bottom w:val="single" w:sz="8" w:color="3E3935"/>
            </w:tcBorders>
          </w:tcPr>
          <w:p>
            <w:pPr>
              <w:spacing w:after="0"/>
              <w:rPr>
                <w:sz w:val="10"/>
                <w:szCs w:val="10"/>
                <w:color w:val="auto"/>
              </w:rPr>
            </w:pPr>
          </w:p>
        </w:tc>
        <w:tc>
          <w:tcPr>
            <w:tcW w:w="1120" w:type="dxa"/>
            <w:vAlign w:val="bottom"/>
            <w:tcBorders>
              <w:bottom w:val="single" w:sz="8" w:color="3E3935"/>
            </w:tcBorders>
          </w:tcPr>
          <w:p>
            <w:pPr>
              <w:spacing w:after="0"/>
              <w:rPr>
                <w:sz w:val="10"/>
                <w:szCs w:val="10"/>
                <w:color w:val="auto"/>
              </w:rPr>
            </w:pPr>
          </w:p>
        </w:tc>
        <w:tc>
          <w:tcPr>
            <w:tcW w:w="900" w:type="dxa"/>
            <w:vAlign w:val="bottom"/>
            <w:tcBorders>
              <w:bottom w:val="single" w:sz="8" w:color="3E3935"/>
            </w:tcBorders>
          </w:tcPr>
          <w:p>
            <w:pPr>
              <w:spacing w:after="0"/>
              <w:rPr>
                <w:sz w:val="10"/>
                <w:szCs w:val="10"/>
                <w:color w:val="auto"/>
              </w:rPr>
            </w:pPr>
          </w:p>
        </w:tc>
      </w:tr>
      <w:tr>
        <w:trPr>
          <w:trHeight w:val="336"/>
        </w:trPr>
        <w:tc>
          <w:tcPr>
            <w:tcW w:w="5660" w:type="dxa"/>
            <w:vAlign w:val="bottom"/>
          </w:tcPr>
          <w:p>
            <w:pPr>
              <w:ind w:left="280"/>
              <w:spacing w:after="0"/>
              <w:rPr>
                <w:sz w:val="20"/>
                <w:szCs w:val="20"/>
                <w:color w:val="auto"/>
              </w:rPr>
            </w:pPr>
            <w:r>
              <w:rPr>
                <w:rFonts w:ascii="Arial" w:cs="Arial" w:eastAsia="Arial" w:hAnsi="Arial"/>
                <w:sz w:val="14"/>
                <w:szCs w:val="14"/>
                <w:color w:val="3E3935"/>
              </w:rPr>
              <w:t>Burn Rate Including Performance Awards Vested/Earned [C</w:t>
            </w:r>
            <w:r>
              <w:rPr>
                <w:rFonts w:ascii="Arial" w:cs="Arial" w:eastAsia="Arial" w:hAnsi="Arial"/>
                <w:sz w:val="21"/>
                <w:szCs w:val="21"/>
                <w:color w:val="3E3935"/>
                <w:vertAlign w:val="superscript"/>
              </w:rPr>
              <w:t>(1)</w:t>
            </w:r>
            <w:r>
              <w:rPr>
                <w:rFonts w:ascii="Arial" w:cs="Arial" w:eastAsia="Arial" w:hAnsi="Arial"/>
                <w:sz w:val="14"/>
                <w:szCs w:val="14"/>
                <w:color w:val="3E3935"/>
              </w:rPr>
              <w:t xml:space="preserve"> / D]</w:t>
            </w:r>
          </w:p>
        </w:tc>
        <w:tc>
          <w:tcPr>
            <w:tcW w:w="2200" w:type="dxa"/>
            <w:vAlign w:val="bottom"/>
          </w:tcPr>
          <w:p>
            <w:pPr>
              <w:jc w:val="right"/>
              <w:ind w:right="26"/>
              <w:spacing w:after="0"/>
              <w:rPr>
                <w:sz w:val="20"/>
                <w:szCs w:val="20"/>
                <w:color w:val="auto"/>
              </w:rPr>
            </w:pPr>
            <w:r>
              <w:rPr>
                <w:rFonts w:ascii="Arial" w:cs="Arial" w:eastAsia="Arial" w:hAnsi="Arial"/>
                <w:sz w:val="14"/>
                <w:szCs w:val="14"/>
                <w:color w:val="3E3935"/>
              </w:rPr>
              <w:t>0.8%</w:t>
            </w:r>
          </w:p>
        </w:tc>
        <w:tc>
          <w:tcPr>
            <w:tcW w:w="1140" w:type="dxa"/>
            <w:vAlign w:val="bottom"/>
          </w:tcPr>
          <w:p>
            <w:pPr>
              <w:jc w:val="right"/>
              <w:ind w:right="26"/>
              <w:spacing w:after="0"/>
              <w:rPr>
                <w:sz w:val="20"/>
                <w:szCs w:val="20"/>
                <w:color w:val="auto"/>
              </w:rPr>
            </w:pPr>
            <w:r>
              <w:rPr>
                <w:rFonts w:ascii="Arial" w:cs="Arial" w:eastAsia="Arial" w:hAnsi="Arial"/>
                <w:sz w:val="14"/>
                <w:szCs w:val="14"/>
                <w:color w:val="3E3935"/>
              </w:rPr>
              <w:t>0.6%</w:t>
            </w:r>
          </w:p>
        </w:tc>
        <w:tc>
          <w:tcPr>
            <w:tcW w:w="1120" w:type="dxa"/>
            <w:vAlign w:val="bottom"/>
          </w:tcPr>
          <w:p>
            <w:pPr>
              <w:jc w:val="right"/>
              <w:ind w:right="26"/>
              <w:spacing w:after="0"/>
              <w:rPr>
                <w:sz w:val="20"/>
                <w:szCs w:val="20"/>
                <w:color w:val="auto"/>
              </w:rPr>
            </w:pPr>
            <w:r>
              <w:rPr>
                <w:rFonts w:ascii="Arial" w:cs="Arial" w:eastAsia="Arial" w:hAnsi="Arial"/>
                <w:sz w:val="14"/>
                <w:szCs w:val="14"/>
                <w:color w:val="3E3935"/>
              </w:rPr>
              <w:t>1.4%</w:t>
            </w:r>
          </w:p>
        </w:tc>
        <w:tc>
          <w:tcPr>
            <w:tcW w:w="900" w:type="dxa"/>
            <w:vAlign w:val="bottom"/>
          </w:tcPr>
          <w:p>
            <w:pPr>
              <w:jc w:val="right"/>
              <w:ind w:right="39"/>
              <w:spacing w:after="0"/>
              <w:rPr>
                <w:sz w:val="20"/>
                <w:szCs w:val="20"/>
                <w:color w:val="auto"/>
              </w:rPr>
            </w:pPr>
            <w:r>
              <w:rPr>
                <w:rFonts w:ascii="Arial" w:cs="Arial" w:eastAsia="Arial" w:hAnsi="Arial"/>
                <w:sz w:val="14"/>
                <w:szCs w:val="14"/>
                <w:color w:val="3E3935"/>
              </w:rPr>
              <w:t>0.9%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-19685</wp:posOffset>
            </wp:positionV>
            <wp:extent cx="6995160" cy="825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6" w:lineRule="exact"/>
        <w:rPr>
          <w:sz w:val="20"/>
          <w:szCs w:val="20"/>
          <w:color w:val="auto"/>
        </w:rPr>
      </w:pPr>
    </w:p>
    <w:p>
      <w:pPr>
        <w:ind w:left="540" w:right="20" w:hanging="424"/>
        <w:spacing w:after="0" w:line="269" w:lineRule="auto"/>
        <w:tabs>
          <w:tab w:leader="none" w:pos="540" w:val="left"/>
        </w:tabs>
        <w:numPr>
          <w:ilvl w:val="0"/>
          <w:numId w:val="146"/>
        </w:numPr>
        <w:rPr>
          <w:rFonts w:ascii="Arial" w:cs="Arial" w:eastAsia="Arial" w:hAnsi="Arial"/>
          <w:sz w:val="18"/>
          <w:szCs w:val="18"/>
          <w:i w:val="1"/>
          <w:iCs w:val="1"/>
          <w:color w:val="3E3935"/>
        </w:rPr>
      </w:pPr>
      <w:r>
        <w:rPr>
          <w:rFonts w:ascii="Arial" w:cs="Arial" w:eastAsia="Arial" w:hAnsi="Arial"/>
          <w:sz w:val="18"/>
          <w:szCs w:val="18"/>
          <w:i w:val="1"/>
          <w:iCs w:val="1"/>
          <w:color w:val="3E3935"/>
        </w:rPr>
        <w:t>Awards with performance conditions include PSUs and performance stock options. The following table details the amounts granted and vested or earned in the last three fiscal years to all eligible participants:</w:t>
      </w:r>
    </w:p>
    <w:p>
      <w:pPr>
        <w:spacing w:after="0" w:line="181" w:lineRule="exact"/>
        <w:rPr>
          <w:sz w:val="20"/>
          <w:szCs w:val="20"/>
          <w:color w:val="auto"/>
        </w:rPr>
      </w:pPr>
    </w:p>
    <w:tbl>
      <w:tblPr>
        <w:tblLayout w:type="fixed"/>
        <w:tblInd w:w="560" w:type="dxa"/>
        <w:tblCellMar>
          <w:top w:w="0" w:type="dxa"/>
          <w:left w:w="0" w:type="dxa"/>
          <w:bottom w:w="0" w:type="dxa"/>
          <w:right w:w="0" w:type="dxa"/>
        </w:tblCellMar>
      </w:tblPr>
      <w:tr>
        <w:trPr>
          <w:trHeight w:val="211"/>
        </w:trPr>
        <w:tc>
          <w:tcPr>
            <w:tcW w:w="4300" w:type="dxa"/>
            <w:vAlign w:val="bottom"/>
            <w:tcBorders>
              <w:top w:val="single" w:sz="8" w:color="00C1DE"/>
            </w:tcBorders>
          </w:tcPr>
          <w:p>
            <w:pPr>
              <w:spacing w:after="0"/>
              <w:rPr>
                <w:sz w:val="18"/>
                <w:szCs w:val="18"/>
                <w:color w:val="auto"/>
              </w:rPr>
            </w:pPr>
          </w:p>
        </w:tc>
        <w:tc>
          <w:tcPr>
            <w:tcW w:w="4500" w:type="dxa"/>
            <w:vAlign w:val="bottom"/>
            <w:tcBorders>
              <w:top w:val="single" w:sz="8" w:color="00C1DE"/>
            </w:tcBorders>
          </w:tcPr>
          <w:p>
            <w:pPr>
              <w:spacing w:after="0"/>
              <w:rPr>
                <w:sz w:val="18"/>
                <w:szCs w:val="18"/>
                <w:color w:val="auto"/>
              </w:rPr>
            </w:pPr>
          </w:p>
        </w:tc>
        <w:tc>
          <w:tcPr>
            <w:tcW w:w="1780" w:type="dxa"/>
            <w:vAlign w:val="bottom"/>
            <w:tcBorders>
              <w:top w:val="single" w:sz="8" w:color="00C1DE"/>
            </w:tcBorders>
          </w:tcPr>
          <w:p>
            <w:pPr>
              <w:jc w:val="right"/>
              <w:spacing w:after="0"/>
              <w:rPr>
                <w:sz w:val="20"/>
                <w:szCs w:val="20"/>
                <w:color w:val="auto"/>
              </w:rPr>
            </w:pPr>
            <w:r>
              <w:rPr>
                <w:rFonts w:ascii="Arial" w:cs="Arial" w:eastAsia="Arial" w:hAnsi="Arial"/>
                <w:sz w:val="18"/>
                <w:szCs w:val="18"/>
                <w:b w:val="1"/>
                <w:bCs w:val="1"/>
                <w:color w:val="00C1DE"/>
              </w:rPr>
              <w:t>Number of</w:t>
            </w:r>
          </w:p>
        </w:tc>
      </w:tr>
      <w:tr>
        <w:trPr>
          <w:trHeight w:val="203"/>
        </w:trPr>
        <w:tc>
          <w:tcPr>
            <w:tcW w:w="4300" w:type="dxa"/>
            <w:vAlign w:val="bottom"/>
          </w:tcPr>
          <w:p>
            <w:pPr>
              <w:spacing w:after="0"/>
              <w:rPr>
                <w:sz w:val="17"/>
                <w:szCs w:val="17"/>
                <w:color w:val="auto"/>
              </w:rPr>
            </w:pPr>
          </w:p>
        </w:tc>
        <w:tc>
          <w:tcPr>
            <w:tcW w:w="4500" w:type="dxa"/>
            <w:vAlign w:val="bottom"/>
          </w:tcPr>
          <w:p>
            <w:pPr>
              <w:jc w:val="right"/>
              <w:ind w:right="424"/>
              <w:spacing w:after="0" w:line="202" w:lineRule="exact"/>
              <w:rPr>
                <w:sz w:val="20"/>
                <w:szCs w:val="20"/>
                <w:color w:val="auto"/>
              </w:rPr>
            </w:pPr>
            <w:r>
              <w:rPr>
                <w:rFonts w:ascii="Arial" w:cs="Arial" w:eastAsia="Arial" w:hAnsi="Arial"/>
                <w:sz w:val="18"/>
                <w:szCs w:val="18"/>
                <w:b w:val="1"/>
                <w:bCs w:val="1"/>
                <w:color w:val="00C1DE"/>
              </w:rPr>
              <w:t>Number of</w:t>
            </w:r>
          </w:p>
        </w:tc>
        <w:tc>
          <w:tcPr>
            <w:tcW w:w="1780" w:type="dxa"/>
            <w:vAlign w:val="bottom"/>
          </w:tcPr>
          <w:p>
            <w:pPr>
              <w:jc w:val="right"/>
              <w:spacing w:after="0" w:line="202" w:lineRule="exact"/>
              <w:rPr>
                <w:sz w:val="20"/>
                <w:szCs w:val="20"/>
                <w:color w:val="auto"/>
              </w:rPr>
            </w:pPr>
            <w:r>
              <w:rPr>
                <w:rFonts w:ascii="Arial" w:cs="Arial" w:eastAsia="Arial" w:hAnsi="Arial"/>
                <w:sz w:val="18"/>
                <w:szCs w:val="18"/>
                <w:b w:val="1"/>
                <w:bCs w:val="1"/>
                <w:color w:val="00C1DE"/>
              </w:rPr>
              <w:t>Performance</w:t>
            </w:r>
          </w:p>
        </w:tc>
      </w:tr>
      <w:tr>
        <w:trPr>
          <w:trHeight w:val="247"/>
        </w:trPr>
        <w:tc>
          <w:tcPr>
            <w:tcW w:w="4300" w:type="dxa"/>
            <w:vAlign w:val="bottom"/>
          </w:tcPr>
          <w:p>
            <w:pPr>
              <w:spacing w:after="0"/>
              <w:rPr>
                <w:sz w:val="21"/>
                <w:szCs w:val="21"/>
                <w:color w:val="auto"/>
              </w:rPr>
            </w:pPr>
          </w:p>
        </w:tc>
        <w:tc>
          <w:tcPr>
            <w:tcW w:w="4500" w:type="dxa"/>
            <w:vAlign w:val="bottom"/>
          </w:tcPr>
          <w:p>
            <w:pPr>
              <w:jc w:val="right"/>
              <w:ind w:right="424"/>
              <w:spacing w:after="0"/>
              <w:rPr>
                <w:sz w:val="20"/>
                <w:szCs w:val="20"/>
                <w:color w:val="auto"/>
              </w:rPr>
            </w:pPr>
            <w:r>
              <w:rPr>
                <w:rFonts w:ascii="Arial" w:cs="Arial" w:eastAsia="Arial" w:hAnsi="Arial"/>
                <w:sz w:val="18"/>
                <w:szCs w:val="18"/>
                <w:b w:val="1"/>
                <w:bCs w:val="1"/>
                <w:color w:val="00C1DE"/>
              </w:rPr>
              <w:t>PSUs</w:t>
            </w:r>
          </w:p>
        </w:tc>
        <w:tc>
          <w:tcPr>
            <w:tcW w:w="1780" w:type="dxa"/>
            <w:vAlign w:val="bottom"/>
          </w:tcPr>
          <w:p>
            <w:pPr>
              <w:jc w:val="right"/>
              <w:spacing w:after="0"/>
              <w:rPr>
                <w:sz w:val="20"/>
                <w:szCs w:val="20"/>
                <w:color w:val="auto"/>
              </w:rPr>
            </w:pPr>
            <w:r>
              <w:rPr>
                <w:rFonts w:ascii="Arial" w:cs="Arial" w:eastAsia="Arial" w:hAnsi="Arial"/>
                <w:sz w:val="18"/>
                <w:szCs w:val="18"/>
                <w:b w:val="1"/>
                <w:bCs w:val="1"/>
                <w:color w:val="00C1DE"/>
              </w:rPr>
              <w:t>Stock Options</w:t>
            </w:r>
          </w:p>
        </w:tc>
      </w:tr>
      <w:tr>
        <w:trPr>
          <w:trHeight w:val="56"/>
        </w:trPr>
        <w:tc>
          <w:tcPr>
            <w:tcW w:w="4300" w:type="dxa"/>
            <w:vAlign w:val="bottom"/>
            <w:tcBorders>
              <w:bottom w:val="single" w:sz="8" w:color="00C1DE"/>
            </w:tcBorders>
          </w:tcPr>
          <w:p>
            <w:pPr>
              <w:spacing w:after="0"/>
              <w:rPr>
                <w:sz w:val="4"/>
                <w:szCs w:val="4"/>
                <w:color w:val="auto"/>
              </w:rPr>
            </w:pPr>
          </w:p>
        </w:tc>
        <w:tc>
          <w:tcPr>
            <w:tcW w:w="4500" w:type="dxa"/>
            <w:vAlign w:val="bottom"/>
            <w:tcBorders>
              <w:bottom w:val="single" w:sz="8" w:color="00C1DE"/>
            </w:tcBorders>
          </w:tcPr>
          <w:p>
            <w:pPr>
              <w:spacing w:after="0"/>
              <w:rPr>
                <w:sz w:val="4"/>
                <w:szCs w:val="4"/>
                <w:color w:val="auto"/>
              </w:rPr>
            </w:pPr>
          </w:p>
        </w:tc>
        <w:tc>
          <w:tcPr>
            <w:tcW w:w="1780" w:type="dxa"/>
            <w:vAlign w:val="bottom"/>
            <w:tcBorders>
              <w:bottom w:val="single" w:sz="8" w:color="00C1DE"/>
            </w:tcBorders>
          </w:tcPr>
          <w:p>
            <w:pPr>
              <w:spacing w:after="0"/>
              <w:rPr>
                <w:sz w:val="4"/>
                <w:szCs w:val="4"/>
                <w:color w:val="auto"/>
              </w:rPr>
            </w:pPr>
          </w:p>
        </w:tc>
      </w:tr>
      <w:tr>
        <w:trPr>
          <w:trHeight w:val="248"/>
        </w:trPr>
        <w:tc>
          <w:tcPr>
            <w:tcW w:w="4300" w:type="dxa"/>
            <w:vAlign w:val="bottom"/>
          </w:tcPr>
          <w:p>
            <w:pPr>
              <w:ind w:left="100"/>
              <w:spacing w:after="0"/>
              <w:rPr>
                <w:sz w:val="20"/>
                <w:szCs w:val="20"/>
                <w:color w:val="auto"/>
              </w:rPr>
            </w:pPr>
            <w:r>
              <w:rPr>
                <w:rFonts w:ascii="Arial" w:cs="Arial" w:eastAsia="Arial" w:hAnsi="Arial"/>
                <w:sz w:val="14"/>
                <w:szCs w:val="14"/>
                <w:b w:val="1"/>
                <w:bCs w:val="1"/>
                <w:color w:val="3E3935"/>
              </w:rPr>
              <w:t>2020</w:t>
            </w:r>
          </w:p>
        </w:tc>
        <w:tc>
          <w:tcPr>
            <w:tcW w:w="4500" w:type="dxa"/>
            <w:vAlign w:val="bottom"/>
          </w:tcPr>
          <w:p>
            <w:pPr>
              <w:spacing w:after="0"/>
              <w:rPr>
                <w:sz w:val="21"/>
                <w:szCs w:val="21"/>
                <w:color w:val="auto"/>
              </w:rPr>
            </w:pPr>
          </w:p>
        </w:tc>
        <w:tc>
          <w:tcPr>
            <w:tcW w:w="1780" w:type="dxa"/>
            <w:vAlign w:val="bottom"/>
          </w:tcPr>
          <w:p>
            <w:pPr>
              <w:spacing w:after="0"/>
              <w:rPr>
                <w:sz w:val="21"/>
                <w:szCs w:val="21"/>
                <w:color w:val="auto"/>
              </w:rPr>
            </w:pPr>
          </w:p>
        </w:tc>
      </w:tr>
      <w:tr>
        <w:trPr>
          <w:trHeight w:val="56"/>
        </w:trPr>
        <w:tc>
          <w:tcPr>
            <w:tcW w:w="4300" w:type="dxa"/>
            <w:vAlign w:val="bottom"/>
            <w:tcBorders>
              <w:bottom w:val="single" w:sz="8" w:color="3E3935"/>
            </w:tcBorders>
          </w:tcPr>
          <w:p>
            <w:pPr>
              <w:spacing w:after="0"/>
              <w:rPr>
                <w:sz w:val="4"/>
                <w:szCs w:val="4"/>
                <w:color w:val="auto"/>
              </w:rPr>
            </w:pPr>
          </w:p>
        </w:tc>
        <w:tc>
          <w:tcPr>
            <w:tcW w:w="4500" w:type="dxa"/>
            <w:vAlign w:val="bottom"/>
            <w:tcBorders>
              <w:bottom w:val="single" w:sz="8" w:color="3E3935"/>
            </w:tcBorders>
          </w:tcPr>
          <w:p>
            <w:pPr>
              <w:spacing w:after="0"/>
              <w:rPr>
                <w:sz w:val="4"/>
                <w:szCs w:val="4"/>
                <w:color w:val="auto"/>
              </w:rPr>
            </w:pPr>
          </w:p>
        </w:tc>
        <w:tc>
          <w:tcPr>
            <w:tcW w:w="1780" w:type="dxa"/>
            <w:vAlign w:val="bottom"/>
            <w:tcBorders>
              <w:bottom w:val="single" w:sz="8" w:color="3E3935"/>
            </w:tcBorders>
          </w:tcPr>
          <w:p>
            <w:pPr>
              <w:spacing w:after="0"/>
              <w:rPr>
                <w:sz w:val="4"/>
                <w:szCs w:val="4"/>
                <w:color w:val="auto"/>
              </w:rPr>
            </w:pPr>
          </w:p>
        </w:tc>
      </w:tr>
      <w:tr>
        <w:trPr>
          <w:trHeight w:val="242"/>
        </w:trPr>
        <w:tc>
          <w:tcPr>
            <w:tcW w:w="4300" w:type="dxa"/>
            <w:vAlign w:val="bottom"/>
          </w:tcPr>
          <w:p>
            <w:pPr>
              <w:ind w:left="100"/>
              <w:spacing w:after="0"/>
              <w:rPr>
                <w:sz w:val="20"/>
                <w:szCs w:val="20"/>
                <w:color w:val="auto"/>
              </w:rPr>
            </w:pPr>
            <w:r>
              <w:rPr>
                <w:rFonts w:ascii="Arial" w:cs="Arial" w:eastAsia="Arial" w:hAnsi="Arial"/>
                <w:sz w:val="14"/>
                <w:szCs w:val="14"/>
                <w:color w:val="3E3935"/>
              </w:rPr>
              <w:t>Granted</w:t>
            </w:r>
          </w:p>
        </w:tc>
        <w:tc>
          <w:tcPr>
            <w:tcW w:w="4500" w:type="dxa"/>
            <w:vAlign w:val="bottom"/>
          </w:tcPr>
          <w:p>
            <w:pPr>
              <w:jc w:val="right"/>
              <w:ind w:right="424"/>
              <w:spacing w:after="0"/>
              <w:rPr>
                <w:sz w:val="20"/>
                <w:szCs w:val="20"/>
                <w:color w:val="auto"/>
              </w:rPr>
            </w:pPr>
            <w:r>
              <w:rPr>
                <w:rFonts w:ascii="Arial" w:cs="Arial" w:eastAsia="Arial" w:hAnsi="Arial"/>
                <w:sz w:val="14"/>
                <w:szCs w:val="14"/>
                <w:color w:val="3E3935"/>
              </w:rPr>
              <w:t>5,000,000</w:t>
            </w:r>
          </w:p>
        </w:tc>
        <w:tc>
          <w:tcPr>
            <w:tcW w:w="1780" w:type="dxa"/>
            <w:vAlign w:val="bottom"/>
          </w:tcPr>
          <w:p>
            <w:pPr>
              <w:jc w:val="right"/>
              <w:spacing w:after="0"/>
              <w:rPr>
                <w:sz w:val="20"/>
                <w:szCs w:val="20"/>
                <w:color w:val="auto"/>
              </w:rPr>
            </w:pPr>
            <w:r>
              <w:rPr>
                <w:rFonts w:ascii="Arial" w:cs="Arial" w:eastAsia="Arial" w:hAnsi="Arial"/>
                <w:sz w:val="14"/>
                <w:szCs w:val="14"/>
                <w:color w:val="3E3935"/>
              </w:rPr>
              <w:t>—</w:t>
            </w:r>
          </w:p>
        </w:tc>
      </w:tr>
      <w:tr>
        <w:trPr>
          <w:trHeight w:val="62"/>
        </w:trPr>
        <w:tc>
          <w:tcPr>
            <w:tcW w:w="4300" w:type="dxa"/>
            <w:vAlign w:val="bottom"/>
            <w:tcBorders>
              <w:bottom w:val="single" w:sz="8" w:color="3E3935"/>
            </w:tcBorders>
          </w:tcPr>
          <w:p>
            <w:pPr>
              <w:spacing w:after="0"/>
              <w:rPr>
                <w:sz w:val="5"/>
                <w:szCs w:val="5"/>
                <w:color w:val="auto"/>
              </w:rPr>
            </w:pPr>
          </w:p>
        </w:tc>
        <w:tc>
          <w:tcPr>
            <w:tcW w:w="4500" w:type="dxa"/>
            <w:vAlign w:val="bottom"/>
            <w:tcBorders>
              <w:bottom w:val="single" w:sz="8" w:color="3E3935"/>
            </w:tcBorders>
          </w:tcPr>
          <w:p>
            <w:pPr>
              <w:spacing w:after="0"/>
              <w:rPr>
                <w:sz w:val="5"/>
                <w:szCs w:val="5"/>
                <w:color w:val="auto"/>
              </w:rPr>
            </w:pPr>
          </w:p>
        </w:tc>
        <w:tc>
          <w:tcPr>
            <w:tcW w:w="1780" w:type="dxa"/>
            <w:vAlign w:val="bottom"/>
            <w:tcBorders>
              <w:bottom w:val="single" w:sz="8" w:color="3E3935"/>
            </w:tcBorders>
          </w:tcPr>
          <w:p>
            <w:pPr>
              <w:spacing w:after="0"/>
              <w:rPr>
                <w:sz w:val="5"/>
                <w:szCs w:val="5"/>
                <w:color w:val="auto"/>
              </w:rPr>
            </w:pPr>
          </w:p>
        </w:tc>
      </w:tr>
      <w:tr>
        <w:trPr>
          <w:trHeight w:val="242"/>
        </w:trPr>
        <w:tc>
          <w:tcPr>
            <w:tcW w:w="4300" w:type="dxa"/>
            <w:vAlign w:val="bottom"/>
          </w:tcPr>
          <w:p>
            <w:pPr>
              <w:ind w:left="100"/>
              <w:spacing w:after="0"/>
              <w:rPr>
                <w:sz w:val="20"/>
                <w:szCs w:val="20"/>
                <w:color w:val="auto"/>
              </w:rPr>
            </w:pPr>
            <w:r>
              <w:rPr>
                <w:rFonts w:ascii="Arial" w:cs="Arial" w:eastAsia="Arial" w:hAnsi="Arial"/>
                <w:sz w:val="14"/>
                <w:szCs w:val="14"/>
                <w:color w:val="3E3935"/>
              </w:rPr>
              <w:t>Vested or Earned</w:t>
            </w:r>
          </w:p>
        </w:tc>
        <w:tc>
          <w:tcPr>
            <w:tcW w:w="4500" w:type="dxa"/>
            <w:vAlign w:val="bottom"/>
          </w:tcPr>
          <w:p>
            <w:pPr>
              <w:jc w:val="right"/>
              <w:ind w:right="424"/>
              <w:spacing w:after="0"/>
              <w:rPr>
                <w:sz w:val="20"/>
                <w:szCs w:val="20"/>
                <w:color w:val="auto"/>
              </w:rPr>
            </w:pPr>
            <w:r>
              <w:rPr>
                <w:rFonts w:ascii="Arial" w:cs="Arial" w:eastAsia="Arial" w:hAnsi="Arial"/>
                <w:sz w:val="14"/>
                <w:szCs w:val="14"/>
                <w:color w:val="3E3935"/>
              </w:rPr>
              <w:t>7,500,000</w:t>
            </w:r>
          </w:p>
        </w:tc>
        <w:tc>
          <w:tcPr>
            <w:tcW w:w="1780" w:type="dxa"/>
            <w:vAlign w:val="bottom"/>
          </w:tcPr>
          <w:p>
            <w:pPr>
              <w:jc w:val="right"/>
              <w:spacing w:after="0"/>
              <w:rPr>
                <w:sz w:val="20"/>
                <w:szCs w:val="20"/>
                <w:color w:val="auto"/>
              </w:rPr>
            </w:pPr>
            <w:r>
              <w:rPr>
                <w:rFonts w:ascii="Arial" w:cs="Arial" w:eastAsia="Arial" w:hAnsi="Arial"/>
                <w:sz w:val="14"/>
                <w:szCs w:val="14"/>
                <w:color w:val="3E3935"/>
              </w:rPr>
              <w:t>4,200,000</w:t>
            </w:r>
          </w:p>
        </w:tc>
      </w:tr>
      <w:tr>
        <w:trPr>
          <w:trHeight w:val="62"/>
        </w:trPr>
        <w:tc>
          <w:tcPr>
            <w:tcW w:w="4300" w:type="dxa"/>
            <w:vAlign w:val="bottom"/>
            <w:tcBorders>
              <w:bottom w:val="single" w:sz="8" w:color="3E3935"/>
            </w:tcBorders>
          </w:tcPr>
          <w:p>
            <w:pPr>
              <w:spacing w:after="0"/>
              <w:rPr>
                <w:sz w:val="5"/>
                <w:szCs w:val="5"/>
                <w:color w:val="auto"/>
              </w:rPr>
            </w:pPr>
          </w:p>
        </w:tc>
        <w:tc>
          <w:tcPr>
            <w:tcW w:w="4500" w:type="dxa"/>
            <w:vAlign w:val="bottom"/>
            <w:tcBorders>
              <w:bottom w:val="single" w:sz="8" w:color="3E3935"/>
            </w:tcBorders>
          </w:tcPr>
          <w:p>
            <w:pPr>
              <w:spacing w:after="0"/>
              <w:rPr>
                <w:sz w:val="5"/>
                <w:szCs w:val="5"/>
                <w:color w:val="auto"/>
              </w:rPr>
            </w:pPr>
          </w:p>
        </w:tc>
        <w:tc>
          <w:tcPr>
            <w:tcW w:w="1780" w:type="dxa"/>
            <w:vAlign w:val="bottom"/>
            <w:tcBorders>
              <w:bottom w:val="single" w:sz="8" w:color="3E3935"/>
            </w:tcBorders>
          </w:tcPr>
          <w:p>
            <w:pPr>
              <w:spacing w:after="0"/>
              <w:rPr>
                <w:sz w:val="5"/>
                <w:szCs w:val="5"/>
                <w:color w:val="auto"/>
              </w:rPr>
            </w:pPr>
          </w:p>
        </w:tc>
      </w:tr>
      <w:tr>
        <w:trPr>
          <w:trHeight w:val="248"/>
        </w:trPr>
        <w:tc>
          <w:tcPr>
            <w:tcW w:w="4300" w:type="dxa"/>
            <w:vAlign w:val="bottom"/>
          </w:tcPr>
          <w:p>
            <w:pPr>
              <w:ind w:left="100"/>
              <w:spacing w:after="0"/>
              <w:rPr>
                <w:sz w:val="20"/>
                <w:szCs w:val="20"/>
                <w:color w:val="auto"/>
              </w:rPr>
            </w:pPr>
            <w:r>
              <w:rPr>
                <w:rFonts w:ascii="Arial" w:cs="Arial" w:eastAsia="Arial" w:hAnsi="Arial"/>
                <w:sz w:val="14"/>
                <w:szCs w:val="14"/>
                <w:b w:val="1"/>
                <w:bCs w:val="1"/>
                <w:color w:val="3E3935"/>
              </w:rPr>
              <w:t>2021</w:t>
            </w:r>
          </w:p>
        </w:tc>
        <w:tc>
          <w:tcPr>
            <w:tcW w:w="4500" w:type="dxa"/>
            <w:vAlign w:val="bottom"/>
          </w:tcPr>
          <w:p>
            <w:pPr>
              <w:spacing w:after="0"/>
              <w:rPr>
                <w:sz w:val="21"/>
                <w:szCs w:val="21"/>
                <w:color w:val="auto"/>
              </w:rPr>
            </w:pPr>
          </w:p>
        </w:tc>
        <w:tc>
          <w:tcPr>
            <w:tcW w:w="1780" w:type="dxa"/>
            <w:vAlign w:val="bottom"/>
          </w:tcPr>
          <w:p>
            <w:pPr>
              <w:spacing w:after="0"/>
              <w:rPr>
                <w:sz w:val="21"/>
                <w:szCs w:val="21"/>
                <w:color w:val="auto"/>
              </w:rPr>
            </w:pPr>
          </w:p>
        </w:tc>
      </w:tr>
      <w:tr>
        <w:trPr>
          <w:trHeight w:val="56"/>
        </w:trPr>
        <w:tc>
          <w:tcPr>
            <w:tcW w:w="4300" w:type="dxa"/>
            <w:vAlign w:val="bottom"/>
            <w:tcBorders>
              <w:bottom w:val="single" w:sz="8" w:color="3E3935"/>
            </w:tcBorders>
          </w:tcPr>
          <w:p>
            <w:pPr>
              <w:spacing w:after="0"/>
              <w:rPr>
                <w:sz w:val="4"/>
                <w:szCs w:val="4"/>
                <w:color w:val="auto"/>
              </w:rPr>
            </w:pPr>
          </w:p>
        </w:tc>
        <w:tc>
          <w:tcPr>
            <w:tcW w:w="4500" w:type="dxa"/>
            <w:vAlign w:val="bottom"/>
            <w:tcBorders>
              <w:bottom w:val="single" w:sz="8" w:color="3E3935"/>
            </w:tcBorders>
          </w:tcPr>
          <w:p>
            <w:pPr>
              <w:spacing w:after="0"/>
              <w:rPr>
                <w:sz w:val="4"/>
                <w:szCs w:val="4"/>
                <w:color w:val="auto"/>
              </w:rPr>
            </w:pPr>
          </w:p>
        </w:tc>
        <w:tc>
          <w:tcPr>
            <w:tcW w:w="1780" w:type="dxa"/>
            <w:vAlign w:val="bottom"/>
            <w:tcBorders>
              <w:bottom w:val="single" w:sz="8" w:color="3E3935"/>
            </w:tcBorders>
          </w:tcPr>
          <w:p>
            <w:pPr>
              <w:spacing w:after="0"/>
              <w:rPr>
                <w:sz w:val="4"/>
                <w:szCs w:val="4"/>
                <w:color w:val="auto"/>
              </w:rPr>
            </w:pPr>
          </w:p>
        </w:tc>
      </w:tr>
      <w:tr>
        <w:trPr>
          <w:trHeight w:val="242"/>
        </w:trPr>
        <w:tc>
          <w:tcPr>
            <w:tcW w:w="4300" w:type="dxa"/>
            <w:vAlign w:val="bottom"/>
          </w:tcPr>
          <w:p>
            <w:pPr>
              <w:ind w:left="100"/>
              <w:spacing w:after="0"/>
              <w:rPr>
                <w:sz w:val="20"/>
                <w:szCs w:val="20"/>
                <w:color w:val="auto"/>
              </w:rPr>
            </w:pPr>
            <w:r>
              <w:rPr>
                <w:rFonts w:ascii="Arial" w:cs="Arial" w:eastAsia="Arial" w:hAnsi="Arial"/>
                <w:sz w:val="14"/>
                <w:szCs w:val="14"/>
                <w:color w:val="3E3935"/>
              </w:rPr>
              <w:t>Granted</w:t>
            </w:r>
          </w:p>
        </w:tc>
        <w:tc>
          <w:tcPr>
            <w:tcW w:w="4500" w:type="dxa"/>
            <w:vAlign w:val="bottom"/>
          </w:tcPr>
          <w:p>
            <w:pPr>
              <w:jc w:val="right"/>
              <w:ind w:right="424"/>
              <w:spacing w:after="0"/>
              <w:rPr>
                <w:sz w:val="20"/>
                <w:szCs w:val="20"/>
                <w:color w:val="auto"/>
              </w:rPr>
            </w:pPr>
            <w:r>
              <w:rPr>
                <w:rFonts w:ascii="Arial" w:cs="Arial" w:eastAsia="Arial" w:hAnsi="Arial"/>
                <w:sz w:val="14"/>
                <w:szCs w:val="14"/>
                <w:color w:val="3E3935"/>
              </w:rPr>
              <w:t>3,600,000</w:t>
            </w:r>
          </w:p>
        </w:tc>
        <w:tc>
          <w:tcPr>
            <w:tcW w:w="1780" w:type="dxa"/>
            <w:vAlign w:val="bottom"/>
          </w:tcPr>
          <w:p>
            <w:pPr>
              <w:jc w:val="right"/>
              <w:spacing w:after="0"/>
              <w:rPr>
                <w:sz w:val="20"/>
                <w:szCs w:val="20"/>
                <w:color w:val="auto"/>
              </w:rPr>
            </w:pPr>
            <w:r>
              <w:rPr>
                <w:rFonts w:ascii="Arial" w:cs="Arial" w:eastAsia="Arial" w:hAnsi="Arial"/>
                <w:sz w:val="14"/>
                <w:szCs w:val="14"/>
                <w:color w:val="3E3935"/>
              </w:rPr>
              <w:t>—</w:t>
            </w:r>
          </w:p>
        </w:tc>
      </w:tr>
      <w:tr>
        <w:trPr>
          <w:trHeight w:val="62"/>
        </w:trPr>
        <w:tc>
          <w:tcPr>
            <w:tcW w:w="4300" w:type="dxa"/>
            <w:vAlign w:val="bottom"/>
            <w:tcBorders>
              <w:bottom w:val="single" w:sz="8" w:color="3E3935"/>
            </w:tcBorders>
          </w:tcPr>
          <w:p>
            <w:pPr>
              <w:spacing w:after="0"/>
              <w:rPr>
                <w:sz w:val="5"/>
                <w:szCs w:val="5"/>
                <w:color w:val="auto"/>
              </w:rPr>
            </w:pPr>
          </w:p>
        </w:tc>
        <w:tc>
          <w:tcPr>
            <w:tcW w:w="4500" w:type="dxa"/>
            <w:vAlign w:val="bottom"/>
            <w:tcBorders>
              <w:bottom w:val="single" w:sz="8" w:color="3E3935"/>
            </w:tcBorders>
          </w:tcPr>
          <w:p>
            <w:pPr>
              <w:spacing w:after="0"/>
              <w:rPr>
                <w:sz w:val="5"/>
                <w:szCs w:val="5"/>
                <w:color w:val="auto"/>
              </w:rPr>
            </w:pPr>
          </w:p>
        </w:tc>
        <w:tc>
          <w:tcPr>
            <w:tcW w:w="1780" w:type="dxa"/>
            <w:vAlign w:val="bottom"/>
            <w:tcBorders>
              <w:bottom w:val="single" w:sz="8" w:color="3E3935"/>
            </w:tcBorders>
          </w:tcPr>
          <w:p>
            <w:pPr>
              <w:spacing w:after="0"/>
              <w:rPr>
                <w:sz w:val="5"/>
                <w:szCs w:val="5"/>
                <w:color w:val="auto"/>
              </w:rPr>
            </w:pPr>
          </w:p>
        </w:tc>
      </w:tr>
      <w:tr>
        <w:trPr>
          <w:trHeight w:val="242"/>
        </w:trPr>
        <w:tc>
          <w:tcPr>
            <w:tcW w:w="4300" w:type="dxa"/>
            <w:vAlign w:val="bottom"/>
          </w:tcPr>
          <w:p>
            <w:pPr>
              <w:ind w:left="100"/>
              <w:spacing w:after="0"/>
              <w:rPr>
                <w:sz w:val="20"/>
                <w:szCs w:val="20"/>
                <w:color w:val="auto"/>
              </w:rPr>
            </w:pPr>
            <w:r>
              <w:rPr>
                <w:rFonts w:ascii="Arial" w:cs="Arial" w:eastAsia="Arial" w:hAnsi="Arial"/>
                <w:sz w:val="14"/>
                <w:szCs w:val="14"/>
                <w:color w:val="3E3935"/>
              </w:rPr>
              <w:t>Vested or Earned</w:t>
            </w:r>
          </w:p>
        </w:tc>
        <w:tc>
          <w:tcPr>
            <w:tcW w:w="4500" w:type="dxa"/>
            <w:vAlign w:val="bottom"/>
          </w:tcPr>
          <w:p>
            <w:pPr>
              <w:jc w:val="right"/>
              <w:ind w:right="424"/>
              <w:spacing w:after="0"/>
              <w:rPr>
                <w:sz w:val="20"/>
                <w:szCs w:val="20"/>
                <w:color w:val="auto"/>
              </w:rPr>
            </w:pPr>
            <w:r>
              <w:rPr>
                <w:rFonts w:ascii="Arial" w:cs="Arial" w:eastAsia="Arial" w:hAnsi="Arial"/>
                <w:sz w:val="14"/>
                <w:szCs w:val="14"/>
                <w:color w:val="3E3935"/>
              </w:rPr>
              <w:t>6,700,000</w:t>
            </w:r>
          </w:p>
        </w:tc>
        <w:tc>
          <w:tcPr>
            <w:tcW w:w="1780" w:type="dxa"/>
            <w:vAlign w:val="bottom"/>
          </w:tcPr>
          <w:p>
            <w:pPr>
              <w:jc w:val="right"/>
              <w:spacing w:after="0"/>
              <w:rPr>
                <w:sz w:val="20"/>
                <w:szCs w:val="20"/>
                <w:color w:val="auto"/>
              </w:rPr>
            </w:pPr>
            <w:r>
              <w:rPr>
                <w:rFonts w:ascii="Arial" w:cs="Arial" w:eastAsia="Arial" w:hAnsi="Arial"/>
                <w:sz w:val="14"/>
                <w:szCs w:val="14"/>
                <w:color w:val="3E3935"/>
              </w:rPr>
              <w:t>—</w:t>
            </w:r>
          </w:p>
        </w:tc>
      </w:tr>
      <w:tr>
        <w:trPr>
          <w:trHeight w:val="62"/>
        </w:trPr>
        <w:tc>
          <w:tcPr>
            <w:tcW w:w="4300" w:type="dxa"/>
            <w:vAlign w:val="bottom"/>
            <w:tcBorders>
              <w:bottom w:val="single" w:sz="8" w:color="3E3935"/>
            </w:tcBorders>
          </w:tcPr>
          <w:p>
            <w:pPr>
              <w:spacing w:after="0"/>
              <w:rPr>
                <w:sz w:val="5"/>
                <w:szCs w:val="5"/>
                <w:color w:val="auto"/>
              </w:rPr>
            </w:pPr>
          </w:p>
        </w:tc>
        <w:tc>
          <w:tcPr>
            <w:tcW w:w="4500" w:type="dxa"/>
            <w:vAlign w:val="bottom"/>
            <w:tcBorders>
              <w:bottom w:val="single" w:sz="8" w:color="3E3935"/>
            </w:tcBorders>
          </w:tcPr>
          <w:p>
            <w:pPr>
              <w:spacing w:after="0"/>
              <w:rPr>
                <w:sz w:val="5"/>
                <w:szCs w:val="5"/>
                <w:color w:val="auto"/>
              </w:rPr>
            </w:pPr>
          </w:p>
        </w:tc>
        <w:tc>
          <w:tcPr>
            <w:tcW w:w="1780" w:type="dxa"/>
            <w:vAlign w:val="bottom"/>
            <w:tcBorders>
              <w:bottom w:val="single" w:sz="8" w:color="3E3935"/>
            </w:tcBorders>
          </w:tcPr>
          <w:p>
            <w:pPr>
              <w:spacing w:after="0"/>
              <w:rPr>
                <w:sz w:val="5"/>
                <w:szCs w:val="5"/>
                <w:color w:val="auto"/>
              </w:rPr>
            </w:pPr>
          </w:p>
        </w:tc>
      </w:tr>
      <w:tr>
        <w:trPr>
          <w:trHeight w:val="248"/>
        </w:trPr>
        <w:tc>
          <w:tcPr>
            <w:tcW w:w="4300" w:type="dxa"/>
            <w:vAlign w:val="bottom"/>
          </w:tcPr>
          <w:p>
            <w:pPr>
              <w:ind w:left="100"/>
              <w:spacing w:after="0"/>
              <w:rPr>
                <w:sz w:val="20"/>
                <w:szCs w:val="20"/>
                <w:color w:val="auto"/>
              </w:rPr>
            </w:pPr>
            <w:r>
              <w:rPr>
                <w:rFonts w:ascii="Arial" w:cs="Arial" w:eastAsia="Arial" w:hAnsi="Arial"/>
                <w:sz w:val="14"/>
                <w:szCs w:val="14"/>
                <w:b w:val="1"/>
                <w:bCs w:val="1"/>
                <w:color w:val="3E3935"/>
              </w:rPr>
              <w:t>2022</w:t>
            </w:r>
          </w:p>
        </w:tc>
        <w:tc>
          <w:tcPr>
            <w:tcW w:w="4500" w:type="dxa"/>
            <w:vAlign w:val="bottom"/>
          </w:tcPr>
          <w:p>
            <w:pPr>
              <w:spacing w:after="0"/>
              <w:rPr>
                <w:sz w:val="21"/>
                <w:szCs w:val="21"/>
                <w:color w:val="auto"/>
              </w:rPr>
            </w:pPr>
          </w:p>
        </w:tc>
        <w:tc>
          <w:tcPr>
            <w:tcW w:w="1780" w:type="dxa"/>
            <w:vAlign w:val="bottom"/>
          </w:tcPr>
          <w:p>
            <w:pPr>
              <w:spacing w:after="0"/>
              <w:rPr>
                <w:sz w:val="21"/>
                <w:szCs w:val="21"/>
                <w:color w:val="auto"/>
              </w:rPr>
            </w:pPr>
          </w:p>
        </w:tc>
      </w:tr>
      <w:tr>
        <w:trPr>
          <w:trHeight w:val="56"/>
        </w:trPr>
        <w:tc>
          <w:tcPr>
            <w:tcW w:w="4300" w:type="dxa"/>
            <w:vAlign w:val="bottom"/>
            <w:tcBorders>
              <w:bottom w:val="single" w:sz="8" w:color="3E3935"/>
            </w:tcBorders>
          </w:tcPr>
          <w:p>
            <w:pPr>
              <w:spacing w:after="0"/>
              <w:rPr>
                <w:sz w:val="4"/>
                <w:szCs w:val="4"/>
                <w:color w:val="auto"/>
              </w:rPr>
            </w:pPr>
          </w:p>
        </w:tc>
        <w:tc>
          <w:tcPr>
            <w:tcW w:w="4500" w:type="dxa"/>
            <w:vAlign w:val="bottom"/>
            <w:tcBorders>
              <w:bottom w:val="single" w:sz="8" w:color="3E3935"/>
            </w:tcBorders>
          </w:tcPr>
          <w:p>
            <w:pPr>
              <w:spacing w:after="0"/>
              <w:rPr>
                <w:sz w:val="4"/>
                <w:szCs w:val="4"/>
                <w:color w:val="auto"/>
              </w:rPr>
            </w:pPr>
          </w:p>
        </w:tc>
        <w:tc>
          <w:tcPr>
            <w:tcW w:w="1780" w:type="dxa"/>
            <w:vAlign w:val="bottom"/>
            <w:tcBorders>
              <w:bottom w:val="single" w:sz="8" w:color="3E3935"/>
            </w:tcBorders>
          </w:tcPr>
          <w:p>
            <w:pPr>
              <w:spacing w:after="0"/>
              <w:rPr>
                <w:sz w:val="4"/>
                <w:szCs w:val="4"/>
                <w:color w:val="auto"/>
              </w:rPr>
            </w:pPr>
          </w:p>
        </w:tc>
      </w:tr>
      <w:tr>
        <w:trPr>
          <w:trHeight w:val="242"/>
        </w:trPr>
        <w:tc>
          <w:tcPr>
            <w:tcW w:w="4300" w:type="dxa"/>
            <w:vAlign w:val="bottom"/>
          </w:tcPr>
          <w:p>
            <w:pPr>
              <w:ind w:left="100"/>
              <w:spacing w:after="0"/>
              <w:rPr>
                <w:sz w:val="20"/>
                <w:szCs w:val="20"/>
                <w:color w:val="auto"/>
              </w:rPr>
            </w:pPr>
            <w:r>
              <w:rPr>
                <w:rFonts w:ascii="Arial" w:cs="Arial" w:eastAsia="Arial" w:hAnsi="Arial"/>
                <w:sz w:val="14"/>
                <w:szCs w:val="14"/>
                <w:color w:val="3E3935"/>
              </w:rPr>
              <w:t>Granted</w:t>
            </w:r>
          </w:p>
        </w:tc>
        <w:tc>
          <w:tcPr>
            <w:tcW w:w="4500" w:type="dxa"/>
            <w:vAlign w:val="bottom"/>
          </w:tcPr>
          <w:p>
            <w:pPr>
              <w:jc w:val="right"/>
              <w:ind w:right="424"/>
              <w:spacing w:after="0"/>
              <w:rPr>
                <w:sz w:val="20"/>
                <w:szCs w:val="20"/>
                <w:color w:val="auto"/>
              </w:rPr>
            </w:pPr>
            <w:r>
              <w:rPr>
                <w:rFonts w:ascii="Arial" w:cs="Arial" w:eastAsia="Arial" w:hAnsi="Arial"/>
                <w:sz w:val="14"/>
                <w:szCs w:val="14"/>
                <w:color w:val="3E3935"/>
              </w:rPr>
              <w:t>5,800,000</w:t>
            </w:r>
          </w:p>
        </w:tc>
        <w:tc>
          <w:tcPr>
            <w:tcW w:w="1780" w:type="dxa"/>
            <w:vAlign w:val="bottom"/>
          </w:tcPr>
          <w:p>
            <w:pPr>
              <w:jc w:val="right"/>
              <w:spacing w:after="0"/>
              <w:rPr>
                <w:sz w:val="20"/>
                <w:szCs w:val="20"/>
                <w:color w:val="auto"/>
              </w:rPr>
            </w:pPr>
            <w:r>
              <w:rPr>
                <w:rFonts w:ascii="Arial" w:cs="Arial" w:eastAsia="Arial" w:hAnsi="Arial"/>
                <w:sz w:val="14"/>
                <w:szCs w:val="14"/>
                <w:color w:val="3E3935"/>
              </w:rPr>
              <w:t>—</w:t>
            </w:r>
          </w:p>
        </w:tc>
      </w:tr>
      <w:tr>
        <w:trPr>
          <w:trHeight w:val="62"/>
        </w:trPr>
        <w:tc>
          <w:tcPr>
            <w:tcW w:w="4300" w:type="dxa"/>
            <w:vAlign w:val="bottom"/>
            <w:tcBorders>
              <w:bottom w:val="single" w:sz="8" w:color="3E3935"/>
            </w:tcBorders>
          </w:tcPr>
          <w:p>
            <w:pPr>
              <w:spacing w:after="0"/>
              <w:rPr>
                <w:sz w:val="5"/>
                <w:szCs w:val="5"/>
                <w:color w:val="auto"/>
              </w:rPr>
            </w:pPr>
          </w:p>
        </w:tc>
        <w:tc>
          <w:tcPr>
            <w:tcW w:w="4500" w:type="dxa"/>
            <w:vAlign w:val="bottom"/>
            <w:tcBorders>
              <w:bottom w:val="single" w:sz="8" w:color="3E3935"/>
            </w:tcBorders>
          </w:tcPr>
          <w:p>
            <w:pPr>
              <w:spacing w:after="0"/>
              <w:rPr>
                <w:sz w:val="5"/>
                <w:szCs w:val="5"/>
                <w:color w:val="auto"/>
              </w:rPr>
            </w:pPr>
          </w:p>
        </w:tc>
        <w:tc>
          <w:tcPr>
            <w:tcW w:w="1780" w:type="dxa"/>
            <w:vAlign w:val="bottom"/>
            <w:tcBorders>
              <w:bottom w:val="single" w:sz="8" w:color="3E3935"/>
            </w:tcBorders>
          </w:tcPr>
          <w:p>
            <w:pPr>
              <w:spacing w:after="0"/>
              <w:rPr>
                <w:sz w:val="5"/>
                <w:szCs w:val="5"/>
                <w:color w:val="auto"/>
              </w:rPr>
            </w:pPr>
          </w:p>
        </w:tc>
      </w:tr>
      <w:tr>
        <w:trPr>
          <w:trHeight w:val="242"/>
        </w:trPr>
        <w:tc>
          <w:tcPr>
            <w:tcW w:w="4300" w:type="dxa"/>
            <w:vAlign w:val="bottom"/>
          </w:tcPr>
          <w:p>
            <w:pPr>
              <w:ind w:left="100"/>
              <w:spacing w:after="0"/>
              <w:rPr>
                <w:sz w:val="20"/>
                <w:szCs w:val="20"/>
                <w:color w:val="auto"/>
              </w:rPr>
            </w:pPr>
            <w:r>
              <w:rPr>
                <w:rFonts w:ascii="Arial" w:cs="Arial" w:eastAsia="Arial" w:hAnsi="Arial"/>
                <w:sz w:val="14"/>
                <w:szCs w:val="14"/>
                <w:color w:val="3E3935"/>
              </w:rPr>
              <w:t>Vested or Earned</w:t>
            </w:r>
          </w:p>
        </w:tc>
        <w:tc>
          <w:tcPr>
            <w:tcW w:w="4500" w:type="dxa"/>
            <w:vAlign w:val="bottom"/>
          </w:tcPr>
          <w:p>
            <w:pPr>
              <w:jc w:val="right"/>
              <w:ind w:right="424"/>
              <w:spacing w:after="0"/>
              <w:rPr>
                <w:sz w:val="20"/>
                <w:szCs w:val="20"/>
                <w:color w:val="auto"/>
              </w:rPr>
            </w:pPr>
            <w:r>
              <w:rPr>
                <w:rFonts w:ascii="Arial" w:cs="Arial" w:eastAsia="Arial" w:hAnsi="Arial"/>
                <w:sz w:val="14"/>
                <w:szCs w:val="14"/>
                <w:color w:val="3E3935"/>
              </w:rPr>
              <w:t>6,900,000</w:t>
            </w:r>
          </w:p>
        </w:tc>
        <w:tc>
          <w:tcPr>
            <w:tcW w:w="1780" w:type="dxa"/>
            <w:vAlign w:val="bottom"/>
          </w:tcPr>
          <w:p>
            <w:pPr>
              <w:jc w:val="right"/>
              <w:spacing w:after="0"/>
              <w:rPr>
                <w:sz w:val="20"/>
                <w:szCs w:val="20"/>
                <w:color w:val="auto"/>
              </w:rPr>
            </w:pPr>
            <w:r>
              <w:rPr>
                <w:rFonts w:ascii="Arial" w:cs="Arial" w:eastAsia="Arial" w:hAnsi="Arial"/>
                <w:sz w:val="14"/>
                <w:szCs w:val="14"/>
                <w:color w:val="3E3935"/>
              </w:rPr>
              <w:t>—</w:t>
            </w:r>
          </w:p>
        </w:tc>
      </w:tr>
      <w:tr>
        <w:trPr>
          <w:trHeight w:val="62"/>
        </w:trPr>
        <w:tc>
          <w:tcPr>
            <w:tcW w:w="4300" w:type="dxa"/>
            <w:vAlign w:val="bottom"/>
            <w:tcBorders>
              <w:bottom w:val="single" w:sz="8" w:color="0071CE"/>
            </w:tcBorders>
          </w:tcPr>
          <w:p>
            <w:pPr>
              <w:spacing w:after="0"/>
              <w:rPr>
                <w:sz w:val="5"/>
                <w:szCs w:val="5"/>
                <w:color w:val="auto"/>
              </w:rPr>
            </w:pPr>
          </w:p>
        </w:tc>
        <w:tc>
          <w:tcPr>
            <w:tcW w:w="4500" w:type="dxa"/>
            <w:vAlign w:val="bottom"/>
            <w:tcBorders>
              <w:bottom w:val="single" w:sz="8" w:color="0071CE"/>
            </w:tcBorders>
          </w:tcPr>
          <w:p>
            <w:pPr>
              <w:spacing w:after="0"/>
              <w:rPr>
                <w:sz w:val="5"/>
                <w:szCs w:val="5"/>
                <w:color w:val="auto"/>
              </w:rPr>
            </w:pPr>
          </w:p>
        </w:tc>
        <w:tc>
          <w:tcPr>
            <w:tcW w:w="1780" w:type="dxa"/>
            <w:vAlign w:val="bottom"/>
            <w:tcBorders>
              <w:bottom w:val="single" w:sz="8" w:color="0071CE"/>
            </w:tcBorders>
          </w:tcPr>
          <w:p>
            <w:pPr>
              <w:spacing w:after="0"/>
              <w:rPr>
                <w:sz w:val="5"/>
                <w:szCs w:val="5"/>
                <w:color w:val="auto"/>
              </w:rPr>
            </w:pPr>
          </w:p>
        </w:tc>
      </w:tr>
      <w:tr>
        <w:trPr>
          <w:trHeight w:val="323"/>
        </w:trPr>
        <w:tc>
          <w:tcPr>
            <w:tcW w:w="4300" w:type="dxa"/>
            <w:vAlign w:val="bottom"/>
          </w:tcPr>
          <w:p>
            <w:pPr>
              <w:spacing w:after="0"/>
              <w:rPr>
                <w:sz w:val="24"/>
                <w:szCs w:val="24"/>
                <w:color w:val="auto"/>
              </w:rPr>
            </w:pPr>
          </w:p>
        </w:tc>
        <w:tc>
          <w:tcPr>
            <w:tcW w:w="4500" w:type="dxa"/>
            <w:vAlign w:val="bottom"/>
          </w:tcPr>
          <w:p>
            <w:pPr>
              <w:spacing w:after="0"/>
              <w:rPr>
                <w:sz w:val="24"/>
                <w:szCs w:val="24"/>
                <w:color w:val="auto"/>
              </w:rPr>
            </w:pPr>
          </w:p>
        </w:tc>
        <w:tc>
          <w:tcPr>
            <w:tcW w:w="1780" w:type="dxa"/>
            <w:vAlign w:val="bottom"/>
          </w:tcPr>
          <w:p>
            <w:pPr>
              <w:jc w:val="right"/>
              <w:ind w:right="243"/>
              <w:spacing w:after="0"/>
              <w:rPr>
                <w:sz w:val="20"/>
                <w:szCs w:val="20"/>
                <w:color w:val="auto"/>
              </w:rPr>
            </w:pPr>
            <w:r>
              <w:rPr>
                <w:rFonts w:ascii="Arial" w:cs="Arial" w:eastAsia="Arial" w:hAnsi="Arial"/>
                <w:sz w:val="14"/>
                <w:szCs w:val="14"/>
                <w:color w:val="0071CE"/>
              </w:rPr>
              <w:t>91</w:t>
            </w:r>
          </w:p>
        </w:tc>
      </w:tr>
    </w:tbl>
    <w:p>
      <w:pPr>
        <w:sectPr>
          <w:pgSz w:w="11900" w:h="16838" w:orient="portrait"/>
          <w:cols w:equalWidth="0" w:num="1">
            <w:col w:w="11140"/>
          </w:cols>
          <w:pgMar w:left="320" w:top="482" w:right="43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5" w:lineRule="exact"/>
        <w:rPr>
          <w:sz w:val="20"/>
          <w:szCs w:val="20"/>
          <w:color w:val="auto"/>
        </w:rPr>
      </w:pPr>
    </w:p>
    <w:p>
      <w:pPr>
        <w:ind w:left="660" w:hanging="544"/>
        <w:spacing w:after="0"/>
        <w:tabs>
          <w:tab w:leader="none" w:pos="660" w:val="left"/>
        </w:tabs>
        <w:numPr>
          <w:ilvl w:val="0"/>
          <w:numId w:val="147"/>
        </w:numPr>
        <w:rPr>
          <w:rFonts w:ascii="Times New Roman" w:cs="Times New Roman" w:eastAsia="Times New Roman" w:hAnsi="Times New Roman"/>
          <w:sz w:val="19"/>
          <w:szCs w:val="19"/>
          <w:color w:val="0071CE"/>
        </w:rPr>
      </w:pPr>
      <w:r>
        <w:rPr>
          <w:rFonts w:ascii="Arial" w:cs="Arial" w:eastAsia="Arial" w:hAnsi="Arial"/>
          <w:sz w:val="25"/>
          <w:szCs w:val="25"/>
          <w:color w:val="3E3935"/>
        </w:rPr>
        <w:t>Summary of the 2020 LTIP</w:t>
      </w:r>
    </w:p>
    <w:p>
      <w:pPr>
        <w:spacing w:after="0" w:line="118" w:lineRule="exact"/>
        <w:rPr>
          <w:sz w:val="20"/>
          <w:szCs w:val="20"/>
          <w:color w:val="auto"/>
        </w:rPr>
      </w:pPr>
    </w:p>
    <w:p>
      <w:pPr>
        <w:jc w:val="both"/>
        <w:ind w:left="120"/>
        <w:spacing w:after="0" w:line="237" w:lineRule="auto"/>
        <w:rPr>
          <w:sz w:val="20"/>
          <w:szCs w:val="20"/>
          <w:color w:val="auto"/>
        </w:rPr>
      </w:pPr>
      <w:r>
        <w:rPr>
          <w:rFonts w:ascii="Arial" w:cs="Arial" w:eastAsia="Arial" w:hAnsi="Arial"/>
          <w:sz w:val="20"/>
          <w:szCs w:val="20"/>
          <w:color w:val="3E3935"/>
        </w:rPr>
        <w:t xml:space="preserve">The principal features of the 2020 LTIP, as proposed to be amended, are summarized below. The following summary does not purport to be a complete description of all the provisions of the 2020 LTIP. It is qualified in its entirety by reference to the complete text of Amendment No. 1, as set forth in Appendix B, as well as the full text of the 2020 LTIP, which was filed as an exhibit to our 2020 Proxy Statement, available at </w:t>
      </w:r>
      <w:r>
        <w:rPr>
          <w:rFonts w:ascii="Arial" w:cs="Arial" w:eastAsia="Arial" w:hAnsi="Arial"/>
          <w:sz w:val="20"/>
          <w:szCs w:val="20"/>
          <w:i w:val="1"/>
          <w:iCs w:val="1"/>
          <w:color w:val="00C1DE"/>
        </w:rPr>
        <w:t>investor.gm.com/sec-filings</w:t>
      </w:r>
      <w:r>
        <w:rPr>
          <w:rFonts w:ascii="Arial" w:cs="Arial" w:eastAsia="Arial" w:hAnsi="Arial"/>
          <w:sz w:val="20"/>
          <w:szCs w:val="20"/>
          <w:color w:val="3E3935"/>
        </w:rPr>
        <w:t xml:space="preserve"> or on the SEC’s website at </w:t>
      </w:r>
      <w:r>
        <w:rPr>
          <w:rFonts w:ascii="Arial" w:cs="Arial" w:eastAsia="Arial" w:hAnsi="Arial"/>
          <w:sz w:val="20"/>
          <w:szCs w:val="20"/>
          <w:i w:val="1"/>
          <w:iCs w:val="1"/>
          <w:color w:val="00C1DE"/>
        </w:rPr>
        <w:t>www.sec.gov</w:t>
      </w:r>
      <w:r>
        <w:rPr>
          <w:rFonts w:ascii="Arial" w:cs="Arial" w:eastAsia="Arial" w:hAnsi="Arial"/>
          <w:sz w:val="20"/>
          <w:szCs w:val="20"/>
          <w:color w:val="3E3935"/>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139700</wp:posOffset>
            </wp:positionV>
            <wp:extent cx="6995160" cy="889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58" w:lineRule="exact"/>
        <w:rPr>
          <w:sz w:val="20"/>
          <w:szCs w:val="20"/>
          <w:color w:val="auto"/>
        </w:rPr>
      </w:pPr>
    </w:p>
    <w:tbl>
      <w:tblPr>
        <w:tblLayout w:type="fixed"/>
        <w:tblInd w:w="120" w:type="dxa"/>
        <w:tblCellMar>
          <w:top w:w="0" w:type="dxa"/>
          <w:left w:w="0" w:type="dxa"/>
          <w:bottom w:w="0" w:type="dxa"/>
          <w:right w:w="0" w:type="dxa"/>
        </w:tblCellMar>
      </w:tblPr>
      <w:tr>
        <w:trPr>
          <w:trHeight w:val="273"/>
        </w:trPr>
        <w:tc>
          <w:tcPr>
            <w:tcW w:w="2380" w:type="dxa"/>
            <w:vAlign w:val="bottom"/>
          </w:tcPr>
          <w:p>
            <w:pPr>
              <w:ind w:left="100"/>
              <w:spacing w:after="0"/>
              <w:rPr>
                <w:sz w:val="20"/>
                <w:szCs w:val="20"/>
                <w:color w:val="auto"/>
              </w:rPr>
            </w:pPr>
            <w:r>
              <w:rPr>
                <w:rFonts w:ascii="Arial" w:cs="Arial" w:eastAsia="Arial" w:hAnsi="Arial"/>
                <w:sz w:val="20"/>
                <w:szCs w:val="20"/>
                <w:b w:val="1"/>
                <w:bCs w:val="1"/>
                <w:color w:val="00C1DE"/>
              </w:rPr>
              <w:t>Key Provisions</w:t>
            </w:r>
          </w:p>
        </w:tc>
        <w:tc>
          <w:tcPr>
            <w:tcW w:w="8640" w:type="dxa"/>
            <w:vAlign w:val="bottom"/>
          </w:tcPr>
          <w:p>
            <w:pPr>
              <w:ind w:left="160"/>
              <w:spacing w:after="0"/>
              <w:rPr>
                <w:sz w:val="20"/>
                <w:szCs w:val="20"/>
                <w:color w:val="auto"/>
              </w:rPr>
            </w:pPr>
            <w:r>
              <w:rPr>
                <w:rFonts w:ascii="Arial" w:cs="Arial" w:eastAsia="Arial" w:hAnsi="Arial"/>
                <w:sz w:val="20"/>
                <w:szCs w:val="20"/>
                <w:b w:val="1"/>
                <w:bCs w:val="1"/>
                <w:color w:val="00C1DE"/>
              </w:rPr>
              <w:t>Description</w:t>
            </w:r>
          </w:p>
        </w:tc>
      </w:tr>
      <w:tr>
        <w:trPr>
          <w:trHeight w:val="48"/>
        </w:trPr>
        <w:tc>
          <w:tcPr>
            <w:tcW w:w="2380" w:type="dxa"/>
            <w:vAlign w:val="bottom"/>
            <w:tcBorders>
              <w:bottom w:val="single" w:sz="8" w:color="00C1DE"/>
            </w:tcBorders>
          </w:tcPr>
          <w:p>
            <w:pPr>
              <w:spacing w:after="0"/>
              <w:rPr>
                <w:sz w:val="4"/>
                <w:szCs w:val="4"/>
                <w:color w:val="auto"/>
              </w:rPr>
            </w:pPr>
          </w:p>
        </w:tc>
        <w:tc>
          <w:tcPr>
            <w:tcW w:w="8640" w:type="dxa"/>
            <w:vAlign w:val="bottom"/>
            <w:tcBorders>
              <w:bottom w:val="single" w:sz="8" w:color="00C1DE"/>
            </w:tcBorders>
          </w:tcPr>
          <w:p>
            <w:pPr>
              <w:spacing w:after="0"/>
              <w:rPr>
                <w:sz w:val="4"/>
                <w:szCs w:val="4"/>
                <w:color w:val="auto"/>
              </w:rPr>
            </w:pPr>
          </w:p>
        </w:tc>
      </w:tr>
      <w:tr>
        <w:trPr>
          <w:trHeight w:val="255"/>
        </w:trPr>
        <w:tc>
          <w:tcPr>
            <w:tcW w:w="2380" w:type="dxa"/>
            <w:vAlign w:val="bottom"/>
          </w:tcPr>
          <w:p>
            <w:pPr>
              <w:ind w:left="80"/>
              <w:spacing w:after="0"/>
              <w:rPr>
                <w:sz w:val="20"/>
                <w:szCs w:val="20"/>
                <w:color w:val="auto"/>
              </w:rPr>
            </w:pPr>
            <w:r>
              <w:rPr>
                <w:rFonts w:ascii="Arial" w:cs="Arial" w:eastAsia="Arial" w:hAnsi="Arial"/>
                <w:sz w:val="20"/>
                <w:szCs w:val="20"/>
                <w:b w:val="1"/>
                <w:bCs w:val="1"/>
                <w:color w:val="3E3935"/>
              </w:rPr>
              <w:t>Eligible Participants</w:t>
            </w:r>
          </w:p>
        </w:tc>
        <w:tc>
          <w:tcPr>
            <w:tcW w:w="8640" w:type="dxa"/>
            <w:vAlign w:val="bottom"/>
          </w:tcPr>
          <w:p>
            <w:pPr>
              <w:ind w:left="160"/>
              <w:spacing w:after="0"/>
              <w:rPr>
                <w:sz w:val="20"/>
                <w:szCs w:val="20"/>
                <w:color w:val="auto"/>
              </w:rPr>
            </w:pPr>
            <w:r>
              <w:rPr>
                <w:rFonts w:ascii="Arial" w:cs="Arial" w:eastAsia="Arial" w:hAnsi="Arial"/>
                <w:sz w:val="20"/>
                <w:szCs w:val="20"/>
                <w:color w:val="3E3935"/>
              </w:rPr>
              <w:t>Officers, employees, consultants, advisors, and non-employee directors who are designated by</w:t>
            </w:r>
          </w:p>
        </w:tc>
      </w:tr>
      <w:tr>
        <w:trPr>
          <w:trHeight w:val="261"/>
        </w:trPr>
        <w:tc>
          <w:tcPr>
            <w:tcW w:w="2380" w:type="dxa"/>
            <w:vAlign w:val="bottom"/>
          </w:tcPr>
          <w:p>
            <w:pPr>
              <w:spacing w:after="0"/>
              <w:rPr>
                <w:sz w:val="22"/>
                <w:szCs w:val="22"/>
                <w:color w:val="auto"/>
              </w:rPr>
            </w:pPr>
          </w:p>
        </w:tc>
        <w:tc>
          <w:tcPr>
            <w:tcW w:w="8640" w:type="dxa"/>
            <w:vAlign w:val="bottom"/>
          </w:tcPr>
          <w:p>
            <w:pPr>
              <w:ind w:left="160"/>
              <w:spacing w:after="0"/>
              <w:rPr>
                <w:sz w:val="20"/>
                <w:szCs w:val="20"/>
                <w:color w:val="auto"/>
              </w:rPr>
            </w:pPr>
            <w:r>
              <w:rPr>
                <w:rFonts w:ascii="Arial" w:cs="Arial" w:eastAsia="Arial" w:hAnsi="Arial"/>
                <w:sz w:val="20"/>
                <w:szCs w:val="20"/>
                <w:color w:val="3E3935"/>
              </w:rPr>
              <w:t>the Compensation Committee to participate in the 2020 LTIP.</w:t>
            </w:r>
          </w:p>
        </w:tc>
      </w:tr>
      <w:tr>
        <w:trPr>
          <w:trHeight w:val="58"/>
        </w:trPr>
        <w:tc>
          <w:tcPr>
            <w:tcW w:w="2380" w:type="dxa"/>
            <w:vAlign w:val="bottom"/>
            <w:tcBorders>
              <w:bottom w:val="single" w:sz="8" w:color="3E3935"/>
            </w:tcBorders>
          </w:tcPr>
          <w:p>
            <w:pPr>
              <w:spacing w:after="0"/>
              <w:rPr>
                <w:sz w:val="5"/>
                <w:szCs w:val="5"/>
                <w:color w:val="auto"/>
              </w:rPr>
            </w:pPr>
          </w:p>
        </w:tc>
        <w:tc>
          <w:tcPr>
            <w:tcW w:w="8640" w:type="dxa"/>
            <w:vAlign w:val="bottom"/>
            <w:tcBorders>
              <w:bottom w:val="single" w:sz="8" w:color="3E3935"/>
            </w:tcBorders>
          </w:tcPr>
          <w:p>
            <w:pPr>
              <w:spacing w:after="0"/>
              <w:rPr>
                <w:sz w:val="5"/>
                <w:szCs w:val="5"/>
                <w:color w:val="auto"/>
              </w:rPr>
            </w:pPr>
          </w:p>
        </w:tc>
      </w:tr>
      <w:tr>
        <w:trPr>
          <w:trHeight w:val="255"/>
        </w:trPr>
        <w:tc>
          <w:tcPr>
            <w:tcW w:w="2380" w:type="dxa"/>
            <w:vAlign w:val="bottom"/>
          </w:tcPr>
          <w:p>
            <w:pPr>
              <w:ind w:left="80"/>
              <w:spacing w:after="0"/>
              <w:rPr>
                <w:sz w:val="20"/>
                <w:szCs w:val="20"/>
                <w:color w:val="auto"/>
              </w:rPr>
            </w:pPr>
            <w:r>
              <w:rPr>
                <w:rFonts w:ascii="Arial" w:cs="Arial" w:eastAsia="Arial" w:hAnsi="Arial"/>
                <w:sz w:val="20"/>
                <w:szCs w:val="20"/>
                <w:b w:val="1"/>
                <w:bCs w:val="1"/>
                <w:color w:val="3E3935"/>
              </w:rPr>
              <w:t>Shares Subject to Plan</w:t>
            </w:r>
          </w:p>
        </w:tc>
        <w:tc>
          <w:tcPr>
            <w:tcW w:w="8640" w:type="dxa"/>
            <w:vAlign w:val="bottom"/>
          </w:tcPr>
          <w:p>
            <w:pPr>
              <w:ind w:left="160"/>
              <w:spacing w:after="0"/>
              <w:rPr>
                <w:sz w:val="20"/>
                <w:szCs w:val="20"/>
                <w:color w:val="auto"/>
              </w:rPr>
            </w:pPr>
            <w:r>
              <w:rPr>
                <w:rFonts w:ascii="Arial" w:cs="Arial" w:eastAsia="Arial" w:hAnsi="Arial"/>
                <w:sz w:val="20"/>
                <w:szCs w:val="20"/>
                <w:color w:val="3E3935"/>
              </w:rPr>
              <w:t>The 2020 LTIP initially authorized a pool of 50 million shares of common stock when it was</w:t>
            </w:r>
          </w:p>
        </w:tc>
      </w:tr>
      <w:tr>
        <w:trPr>
          <w:trHeight w:val="216"/>
        </w:trPr>
        <w:tc>
          <w:tcPr>
            <w:tcW w:w="2380" w:type="dxa"/>
            <w:vAlign w:val="bottom"/>
          </w:tcPr>
          <w:p>
            <w:pPr>
              <w:spacing w:after="0"/>
              <w:rPr>
                <w:sz w:val="18"/>
                <w:szCs w:val="18"/>
                <w:color w:val="auto"/>
              </w:rPr>
            </w:pPr>
          </w:p>
        </w:tc>
        <w:tc>
          <w:tcPr>
            <w:tcW w:w="8640" w:type="dxa"/>
            <w:vAlign w:val="bottom"/>
          </w:tcPr>
          <w:p>
            <w:pPr>
              <w:ind w:left="160"/>
              <w:spacing w:after="0" w:line="216" w:lineRule="exact"/>
              <w:rPr>
                <w:sz w:val="20"/>
                <w:szCs w:val="20"/>
                <w:color w:val="auto"/>
              </w:rPr>
            </w:pPr>
            <w:r>
              <w:rPr>
                <w:rFonts w:ascii="Arial" w:cs="Arial" w:eastAsia="Arial" w:hAnsi="Arial"/>
                <w:sz w:val="20"/>
                <w:szCs w:val="20"/>
                <w:color w:val="3E3935"/>
              </w:rPr>
              <w:t>approved by our shareholders effective June 17, 2020. If Amendment No. 1 is approved by our</w:t>
            </w:r>
          </w:p>
        </w:tc>
      </w:tr>
      <w:tr>
        <w:trPr>
          <w:trHeight w:val="216"/>
        </w:trPr>
        <w:tc>
          <w:tcPr>
            <w:tcW w:w="2380" w:type="dxa"/>
            <w:vAlign w:val="bottom"/>
          </w:tcPr>
          <w:p>
            <w:pPr>
              <w:spacing w:after="0"/>
              <w:rPr>
                <w:sz w:val="18"/>
                <w:szCs w:val="18"/>
                <w:color w:val="auto"/>
              </w:rPr>
            </w:pPr>
          </w:p>
        </w:tc>
        <w:tc>
          <w:tcPr>
            <w:tcW w:w="8640" w:type="dxa"/>
            <w:vAlign w:val="bottom"/>
          </w:tcPr>
          <w:p>
            <w:pPr>
              <w:ind w:left="160"/>
              <w:spacing w:after="0" w:line="216" w:lineRule="exact"/>
              <w:rPr>
                <w:sz w:val="20"/>
                <w:szCs w:val="20"/>
                <w:color w:val="auto"/>
              </w:rPr>
            </w:pPr>
            <w:r>
              <w:rPr>
                <w:rFonts w:ascii="Arial" w:cs="Arial" w:eastAsia="Arial" w:hAnsi="Arial"/>
                <w:sz w:val="20"/>
                <w:szCs w:val="20"/>
                <w:color w:val="3E3935"/>
              </w:rPr>
              <w:t>shareholders, an additional 27 million shares of our common stock will be authorized for</w:t>
            </w:r>
          </w:p>
        </w:tc>
      </w:tr>
      <w:tr>
        <w:trPr>
          <w:trHeight w:val="216"/>
        </w:trPr>
        <w:tc>
          <w:tcPr>
            <w:tcW w:w="2380" w:type="dxa"/>
            <w:vAlign w:val="bottom"/>
          </w:tcPr>
          <w:p>
            <w:pPr>
              <w:spacing w:after="0"/>
              <w:rPr>
                <w:sz w:val="18"/>
                <w:szCs w:val="18"/>
                <w:color w:val="auto"/>
              </w:rPr>
            </w:pPr>
          </w:p>
        </w:tc>
        <w:tc>
          <w:tcPr>
            <w:tcW w:w="8640" w:type="dxa"/>
            <w:vAlign w:val="bottom"/>
          </w:tcPr>
          <w:p>
            <w:pPr>
              <w:ind w:left="160"/>
              <w:spacing w:after="0" w:line="216" w:lineRule="exact"/>
              <w:rPr>
                <w:sz w:val="20"/>
                <w:szCs w:val="20"/>
                <w:color w:val="auto"/>
              </w:rPr>
            </w:pPr>
            <w:r>
              <w:rPr>
                <w:rFonts w:ascii="Arial" w:cs="Arial" w:eastAsia="Arial" w:hAnsi="Arial"/>
                <w:sz w:val="20"/>
                <w:szCs w:val="20"/>
                <w:color w:val="3E3935"/>
              </w:rPr>
              <w:t>issuance under the 2020 LTIP effective June 21, 2023, from which stock options, SARs,</w:t>
            </w:r>
          </w:p>
        </w:tc>
      </w:tr>
      <w:tr>
        <w:trPr>
          <w:trHeight w:val="216"/>
        </w:trPr>
        <w:tc>
          <w:tcPr>
            <w:tcW w:w="2380" w:type="dxa"/>
            <w:vAlign w:val="bottom"/>
          </w:tcPr>
          <w:p>
            <w:pPr>
              <w:spacing w:after="0"/>
              <w:rPr>
                <w:sz w:val="18"/>
                <w:szCs w:val="18"/>
                <w:color w:val="auto"/>
              </w:rPr>
            </w:pPr>
          </w:p>
        </w:tc>
        <w:tc>
          <w:tcPr>
            <w:tcW w:w="8640" w:type="dxa"/>
            <w:vAlign w:val="bottom"/>
          </w:tcPr>
          <w:p>
            <w:pPr>
              <w:ind w:left="160"/>
              <w:spacing w:after="0" w:line="216" w:lineRule="exact"/>
              <w:rPr>
                <w:sz w:val="20"/>
                <w:szCs w:val="20"/>
                <w:color w:val="auto"/>
              </w:rPr>
            </w:pPr>
            <w:r>
              <w:rPr>
                <w:rFonts w:ascii="Arial" w:cs="Arial" w:eastAsia="Arial" w:hAnsi="Arial"/>
                <w:sz w:val="20"/>
                <w:szCs w:val="20"/>
                <w:color w:val="3E3935"/>
              </w:rPr>
              <w:t>restricted stock, RSUs, performance awards, and other stock-based awards may be granted.</w:t>
            </w:r>
          </w:p>
        </w:tc>
      </w:tr>
      <w:tr>
        <w:trPr>
          <w:trHeight w:val="216"/>
        </w:trPr>
        <w:tc>
          <w:tcPr>
            <w:tcW w:w="2380" w:type="dxa"/>
            <w:vAlign w:val="bottom"/>
          </w:tcPr>
          <w:p>
            <w:pPr>
              <w:spacing w:after="0"/>
              <w:rPr>
                <w:sz w:val="18"/>
                <w:szCs w:val="18"/>
                <w:color w:val="auto"/>
              </w:rPr>
            </w:pPr>
          </w:p>
        </w:tc>
        <w:tc>
          <w:tcPr>
            <w:tcW w:w="8640" w:type="dxa"/>
            <w:vAlign w:val="bottom"/>
          </w:tcPr>
          <w:p>
            <w:pPr>
              <w:ind w:left="160"/>
              <w:spacing w:after="0" w:line="216" w:lineRule="exact"/>
              <w:rPr>
                <w:sz w:val="20"/>
                <w:szCs w:val="20"/>
                <w:color w:val="auto"/>
              </w:rPr>
            </w:pPr>
            <w:r>
              <w:rPr>
                <w:rFonts w:ascii="Arial" w:cs="Arial" w:eastAsia="Arial" w:hAnsi="Arial"/>
                <w:sz w:val="20"/>
                <w:szCs w:val="20"/>
                <w:color w:val="3E3935"/>
              </w:rPr>
              <w:t>The maximum number of shares that may be issued as incentive stock options shall not exceed</w:t>
            </w:r>
          </w:p>
        </w:tc>
      </w:tr>
      <w:tr>
        <w:trPr>
          <w:trHeight w:val="261"/>
        </w:trPr>
        <w:tc>
          <w:tcPr>
            <w:tcW w:w="2380" w:type="dxa"/>
            <w:vAlign w:val="bottom"/>
          </w:tcPr>
          <w:p>
            <w:pPr>
              <w:spacing w:after="0"/>
              <w:rPr>
                <w:sz w:val="22"/>
                <w:szCs w:val="22"/>
                <w:color w:val="auto"/>
              </w:rPr>
            </w:pPr>
          </w:p>
        </w:tc>
        <w:tc>
          <w:tcPr>
            <w:tcW w:w="8640" w:type="dxa"/>
            <w:vAlign w:val="bottom"/>
          </w:tcPr>
          <w:p>
            <w:pPr>
              <w:ind w:left="160"/>
              <w:spacing w:after="0"/>
              <w:rPr>
                <w:sz w:val="20"/>
                <w:szCs w:val="20"/>
                <w:color w:val="auto"/>
              </w:rPr>
            </w:pPr>
            <w:r>
              <w:rPr>
                <w:rFonts w:ascii="Arial" w:cs="Arial" w:eastAsia="Arial" w:hAnsi="Arial"/>
                <w:sz w:val="20"/>
                <w:szCs w:val="20"/>
                <w:color w:val="3E3935"/>
                <w:w w:val="98"/>
              </w:rPr>
              <w:t>the sum of the initially authorized share pool plus the shares requested under Amendment No. 1.</w:t>
            </w:r>
          </w:p>
        </w:tc>
      </w:tr>
      <w:tr>
        <w:trPr>
          <w:trHeight w:val="58"/>
        </w:trPr>
        <w:tc>
          <w:tcPr>
            <w:tcW w:w="2380" w:type="dxa"/>
            <w:vAlign w:val="bottom"/>
            <w:tcBorders>
              <w:bottom w:val="single" w:sz="8" w:color="3E3935"/>
            </w:tcBorders>
          </w:tcPr>
          <w:p>
            <w:pPr>
              <w:spacing w:after="0"/>
              <w:rPr>
                <w:sz w:val="5"/>
                <w:szCs w:val="5"/>
                <w:color w:val="auto"/>
              </w:rPr>
            </w:pPr>
          </w:p>
        </w:tc>
        <w:tc>
          <w:tcPr>
            <w:tcW w:w="8640" w:type="dxa"/>
            <w:vAlign w:val="bottom"/>
            <w:tcBorders>
              <w:bottom w:val="single" w:sz="8" w:color="3E3935"/>
            </w:tcBorders>
          </w:tcPr>
          <w:p>
            <w:pPr>
              <w:spacing w:after="0"/>
              <w:rPr>
                <w:sz w:val="5"/>
                <w:szCs w:val="5"/>
                <w:color w:val="auto"/>
              </w:rPr>
            </w:pPr>
          </w:p>
        </w:tc>
      </w:tr>
      <w:tr>
        <w:trPr>
          <w:trHeight w:val="255"/>
        </w:trPr>
        <w:tc>
          <w:tcPr>
            <w:tcW w:w="2380" w:type="dxa"/>
            <w:vAlign w:val="bottom"/>
          </w:tcPr>
          <w:p>
            <w:pPr>
              <w:ind w:left="80"/>
              <w:spacing w:after="0"/>
              <w:rPr>
                <w:sz w:val="20"/>
                <w:szCs w:val="20"/>
                <w:color w:val="auto"/>
              </w:rPr>
            </w:pPr>
            <w:r>
              <w:rPr>
                <w:rFonts w:ascii="Arial" w:cs="Arial" w:eastAsia="Arial" w:hAnsi="Arial"/>
                <w:sz w:val="20"/>
                <w:szCs w:val="20"/>
                <w:b w:val="1"/>
                <w:bCs w:val="1"/>
                <w:color w:val="3E3935"/>
              </w:rPr>
              <w:t>Plan Administration</w:t>
            </w:r>
          </w:p>
        </w:tc>
        <w:tc>
          <w:tcPr>
            <w:tcW w:w="8640" w:type="dxa"/>
            <w:vAlign w:val="bottom"/>
          </w:tcPr>
          <w:p>
            <w:pPr>
              <w:ind w:left="160"/>
              <w:spacing w:after="0"/>
              <w:rPr>
                <w:sz w:val="20"/>
                <w:szCs w:val="20"/>
                <w:color w:val="auto"/>
              </w:rPr>
            </w:pPr>
            <w:r>
              <w:rPr>
                <w:rFonts w:ascii="Arial" w:cs="Arial" w:eastAsia="Arial" w:hAnsi="Arial"/>
                <w:sz w:val="20"/>
                <w:szCs w:val="20"/>
                <w:color w:val="3E3935"/>
              </w:rPr>
              <w:t>The 2020 LTIP is administered by the Compensation Committee, which has the authority to:</w:t>
            </w:r>
          </w:p>
        </w:tc>
      </w:tr>
      <w:tr>
        <w:trPr>
          <w:trHeight w:val="216"/>
        </w:trPr>
        <w:tc>
          <w:tcPr>
            <w:tcW w:w="2380" w:type="dxa"/>
            <w:vAlign w:val="bottom"/>
          </w:tcPr>
          <w:p>
            <w:pPr>
              <w:spacing w:after="0"/>
              <w:rPr>
                <w:sz w:val="18"/>
                <w:szCs w:val="18"/>
                <w:color w:val="auto"/>
              </w:rPr>
            </w:pPr>
          </w:p>
        </w:tc>
        <w:tc>
          <w:tcPr>
            <w:tcW w:w="8640" w:type="dxa"/>
            <w:vAlign w:val="bottom"/>
          </w:tcPr>
          <w:p>
            <w:pPr>
              <w:ind w:left="160"/>
              <w:spacing w:after="0" w:line="216" w:lineRule="exact"/>
              <w:rPr>
                <w:sz w:val="20"/>
                <w:szCs w:val="20"/>
                <w:color w:val="auto"/>
              </w:rPr>
            </w:pPr>
            <w:r>
              <w:rPr>
                <w:rFonts w:ascii="Arial" w:cs="Arial" w:eastAsia="Arial" w:hAnsi="Arial"/>
                <w:sz w:val="20"/>
                <w:szCs w:val="20"/>
                <w:color w:val="3E3935"/>
              </w:rPr>
              <w:t>designate the eligible individuals who will receive awards; determine the type, amounts and</w:t>
            </w:r>
          </w:p>
        </w:tc>
      </w:tr>
      <w:tr>
        <w:trPr>
          <w:trHeight w:val="216"/>
        </w:trPr>
        <w:tc>
          <w:tcPr>
            <w:tcW w:w="2380" w:type="dxa"/>
            <w:vAlign w:val="bottom"/>
          </w:tcPr>
          <w:p>
            <w:pPr>
              <w:spacing w:after="0"/>
              <w:rPr>
                <w:sz w:val="18"/>
                <w:szCs w:val="18"/>
                <w:color w:val="auto"/>
              </w:rPr>
            </w:pPr>
          </w:p>
        </w:tc>
        <w:tc>
          <w:tcPr>
            <w:tcW w:w="8640" w:type="dxa"/>
            <w:vAlign w:val="bottom"/>
          </w:tcPr>
          <w:p>
            <w:pPr>
              <w:ind w:left="160"/>
              <w:spacing w:after="0" w:line="216" w:lineRule="exact"/>
              <w:rPr>
                <w:sz w:val="20"/>
                <w:szCs w:val="20"/>
                <w:color w:val="auto"/>
              </w:rPr>
            </w:pPr>
            <w:r>
              <w:rPr>
                <w:rFonts w:ascii="Arial" w:cs="Arial" w:eastAsia="Arial" w:hAnsi="Arial"/>
                <w:sz w:val="20"/>
                <w:szCs w:val="20"/>
                <w:color w:val="3E3935"/>
              </w:rPr>
              <w:t>terms and conditions of awards (including vesting terms); determine amounts payable that may</w:t>
            </w:r>
          </w:p>
        </w:tc>
      </w:tr>
      <w:tr>
        <w:trPr>
          <w:trHeight w:val="216"/>
        </w:trPr>
        <w:tc>
          <w:tcPr>
            <w:tcW w:w="2380" w:type="dxa"/>
            <w:vAlign w:val="bottom"/>
          </w:tcPr>
          <w:p>
            <w:pPr>
              <w:spacing w:after="0"/>
              <w:rPr>
                <w:sz w:val="18"/>
                <w:szCs w:val="18"/>
                <w:color w:val="auto"/>
              </w:rPr>
            </w:pPr>
          </w:p>
        </w:tc>
        <w:tc>
          <w:tcPr>
            <w:tcW w:w="8640" w:type="dxa"/>
            <w:vAlign w:val="bottom"/>
          </w:tcPr>
          <w:p>
            <w:pPr>
              <w:ind w:left="160"/>
              <w:spacing w:after="0" w:line="216" w:lineRule="exact"/>
              <w:rPr>
                <w:sz w:val="20"/>
                <w:szCs w:val="20"/>
                <w:color w:val="auto"/>
              </w:rPr>
            </w:pPr>
            <w:r>
              <w:rPr>
                <w:rFonts w:ascii="Arial" w:cs="Arial" w:eastAsia="Arial" w:hAnsi="Arial"/>
                <w:sz w:val="20"/>
                <w:szCs w:val="20"/>
                <w:color w:val="3E3935"/>
              </w:rPr>
              <w:t>be deferred; interpret and administer the 2020 LTIP; prescribe the form of award documentation</w:t>
            </w:r>
          </w:p>
        </w:tc>
      </w:tr>
      <w:tr>
        <w:trPr>
          <w:trHeight w:val="216"/>
        </w:trPr>
        <w:tc>
          <w:tcPr>
            <w:tcW w:w="2380" w:type="dxa"/>
            <w:vAlign w:val="bottom"/>
          </w:tcPr>
          <w:p>
            <w:pPr>
              <w:spacing w:after="0"/>
              <w:rPr>
                <w:sz w:val="18"/>
                <w:szCs w:val="18"/>
                <w:color w:val="auto"/>
              </w:rPr>
            </w:pPr>
          </w:p>
        </w:tc>
        <w:tc>
          <w:tcPr>
            <w:tcW w:w="8640" w:type="dxa"/>
            <w:vAlign w:val="bottom"/>
          </w:tcPr>
          <w:p>
            <w:pPr>
              <w:ind w:left="160"/>
              <w:spacing w:after="0" w:line="216" w:lineRule="exact"/>
              <w:rPr>
                <w:sz w:val="20"/>
                <w:szCs w:val="20"/>
                <w:color w:val="auto"/>
              </w:rPr>
            </w:pPr>
            <w:r>
              <w:rPr>
                <w:rFonts w:ascii="Arial" w:cs="Arial" w:eastAsia="Arial" w:hAnsi="Arial"/>
                <w:sz w:val="20"/>
                <w:szCs w:val="20"/>
                <w:color w:val="3E3935"/>
              </w:rPr>
              <w:t>under the 2020 LTIP; establish, amend, suspend, or waive any rules and regulations under the</w:t>
            </w:r>
          </w:p>
        </w:tc>
      </w:tr>
      <w:tr>
        <w:trPr>
          <w:trHeight w:val="216"/>
        </w:trPr>
        <w:tc>
          <w:tcPr>
            <w:tcW w:w="2380" w:type="dxa"/>
            <w:vAlign w:val="bottom"/>
          </w:tcPr>
          <w:p>
            <w:pPr>
              <w:spacing w:after="0"/>
              <w:rPr>
                <w:sz w:val="18"/>
                <w:szCs w:val="18"/>
                <w:color w:val="auto"/>
              </w:rPr>
            </w:pPr>
          </w:p>
        </w:tc>
        <w:tc>
          <w:tcPr>
            <w:tcW w:w="8640" w:type="dxa"/>
            <w:vAlign w:val="bottom"/>
          </w:tcPr>
          <w:p>
            <w:pPr>
              <w:ind w:left="160"/>
              <w:spacing w:after="0" w:line="216" w:lineRule="exact"/>
              <w:rPr>
                <w:sz w:val="20"/>
                <w:szCs w:val="20"/>
                <w:color w:val="auto"/>
              </w:rPr>
            </w:pPr>
            <w:r>
              <w:rPr>
                <w:rFonts w:ascii="Arial" w:cs="Arial" w:eastAsia="Arial" w:hAnsi="Arial"/>
                <w:sz w:val="20"/>
                <w:szCs w:val="20"/>
                <w:color w:val="3E3935"/>
              </w:rPr>
              <w:t>2020 LTIP; and make any other determinations or take any other actions to administer the 2020</w:t>
            </w:r>
          </w:p>
        </w:tc>
      </w:tr>
      <w:tr>
        <w:trPr>
          <w:trHeight w:val="216"/>
        </w:trPr>
        <w:tc>
          <w:tcPr>
            <w:tcW w:w="2380" w:type="dxa"/>
            <w:vAlign w:val="bottom"/>
          </w:tcPr>
          <w:p>
            <w:pPr>
              <w:spacing w:after="0"/>
              <w:rPr>
                <w:sz w:val="18"/>
                <w:szCs w:val="18"/>
                <w:color w:val="auto"/>
              </w:rPr>
            </w:pPr>
          </w:p>
        </w:tc>
        <w:tc>
          <w:tcPr>
            <w:tcW w:w="8640" w:type="dxa"/>
            <w:vAlign w:val="bottom"/>
          </w:tcPr>
          <w:p>
            <w:pPr>
              <w:ind w:left="160"/>
              <w:spacing w:after="0" w:line="216" w:lineRule="exact"/>
              <w:rPr>
                <w:sz w:val="20"/>
                <w:szCs w:val="20"/>
                <w:color w:val="auto"/>
              </w:rPr>
            </w:pPr>
            <w:r>
              <w:rPr>
                <w:rFonts w:ascii="Arial" w:cs="Arial" w:eastAsia="Arial" w:hAnsi="Arial"/>
                <w:sz w:val="20"/>
                <w:szCs w:val="20"/>
                <w:color w:val="3E3935"/>
              </w:rPr>
              <w:t>LTIP. Subject to the limits established by the Compensation Committee, the Compensation</w:t>
            </w:r>
          </w:p>
        </w:tc>
      </w:tr>
      <w:tr>
        <w:trPr>
          <w:trHeight w:val="216"/>
        </w:trPr>
        <w:tc>
          <w:tcPr>
            <w:tcW w:w="2380" w:type="dxa"/>
            <w:vAlign w:val="bottom"/>
          </w:tcPr>
          <w:p>
            <w:pPr>
              <w:spacing w:after="0"/>
              <w:rPr>
                <w:sz w:val="18"/>
                <w:szCs w:val="18"/>
                <w:color w:val="auto"/>
              </w:rPr>
            </w:pPr>
          </w:p>
        </w:tc>
        <w:tc>
          <w:tcPr>
            <w:tcW w:w="8640" w:type="dxa"/>
            <w:vAlign w:val="bottom"/>
          </w:tcPr>
          <w:p>
            <w:pPr>
              <w:ind w:left="160"/>
              <w:spacing w:after="0" w:line="216" w:lineRule="exact"/>
              <w:rPr>
                <w:sz w:val="20"/>
                <w:szCs w:val="20"/>
                <w:color w:val="auto"/>
              </w:rPr>
            </w:pPr>
            <w:r>
              <w:rPr>
                <w:rFonts w:ascii="Arial" w:cs="Arial" w:eastAsia="Arial" w:hAnsi="Arial"/>
                <w:sz w:val="20"/>
                <w:szCs w:val="20"/>
                <w:color w:val="3E3935"/>
                <w:w w:val="98"/>
              </w:rPr>
              <w:t>Committee may delegate to one or more members of the Compensation Committee or officers of</w:t>
            </w:r>
          </w:p>
        </w:tc>
      </w:tr>
      <w:tr>
        <w:trPr>
          <w:trHeight w:val="216"/>
        </w:trPr>
        <w:tc>
          <w:tcPr>
            <w:tcW w:w="2380" w:type="dxa"/>
            <w:vAlign w:val="bottom"/>
          </w:tcPr>
          <w:p>
            <w:pPr>
              <w:spacing w:after="0"/>
              <w:rPr>
                <w:sz w:val="18"/>
                <w:szCs w:val="18"/>
                <w:color w:val="auto"/>
              </w:rPr>
            </w:pPr>
          </w:p>
        </w:tc>
        <w:tc>
          <w:tcPr>
            <w:tcW w:w="8640" w:type="dxa"/>
            <w:vAlign w:val="bottom"/>
          </w:tcPr>
          <w:p>
            <w:pPr>
              <w:ind w:left="160"/>
              <w:spacing w:after="0" w:line="216" w:lineRule="exact"/>
              <w:rPr>
                <w:sz w:val="20"/>
                <w:szCs w:val="20"/>
                <w:color w:val="auto"/>
              </w:rPr>
            </w:pPr>
            <w:r>
              <w:rPr>
                <w:rFonts w:ascii="Arial" w:cs="Arial" w:eastAsia="Arial" w:hAnsi="Arial"/>
                <w:sz w:val="20"/>
                <w:szCs w:val="20"/>
                <w:color w:val="3E3935"/>
                <w:w w:val="99"/>
              </w:rPr>
              <w:t>the Company (including the CEO) the authority to grant awards and take other actions under the</w:t>
            </w:r>
          </w:p>
        </w:tc>
      </w:tr>
      <w:tr>
        <w:trPr>
          <w:trHeight w:val="261"/>
        </w:trPr>
        <w:tc>
          <w:tcPr>
            <w:tcW w:w="2380" w:type="dxa"/>
            <w:vAlign w:val="bottom"/>
          </w:tcPr>
          <w:p>
            <w:pPr>
              <w:spacing w:after="0"/>
              <w:rPr>
                <w:sz w:val="22"/>
                <w:szCs w:val="22"/>
                <w:color w:val="auto"/>
              </w:rPr>
            </w:pPr>
          </w:p>
        </w:tc>
        <w:tc>
          <w:tcPr>
            <w:tcW w:w="8640" w:type="dxa"/>
            <w:vAlign w:val="bottom"/>
          </w:tcPr>
          <w:p>
            <w:pPr>
              <w:ind w:left="160"/>
              <w:spacing w:after="0"/>
              <w:rPr>
                <w:sz w:val="20"/>
                <w:szCs w:val="20"/>
                <w:color w:val="auto"/>
              </w:rPr>
            </w:pPr>
            <w:r>
              <w:rPr>
                <w:rFonts w:ascii="Arial" w:cs="Arial" w:eastAsia="Arial" w:hAnsi="Arial"/>
                <w:sz w:val="20"/>
                <w:szCs w:val="20"/>
                <w:color w:val="3E3935"/>
              </w:rPr>
              <w:t>2020 LTIP.</w:t>
            </w:r>
          </w:p>
        </w:tc>
      </w:tr>
      <w:tr>
        <w:trPr>
          <w:trHeight w:val="58"/>
        </w:trPr>
        <w:tc>
          <w:tcPr>
            <w:tcW w:w="2380" w:type="dxa"/>
            <w:vAlign w:val="bottom"/>
            <w:tcBorders>
              <w:bottom w:val="single" w:sz="8" w:color="3E3935"/>
            </w:tcBorders>
          </w:tcPr>
          <w:p>
            <w:pPr>
              <w:spacing w:after="0"/>
              <w:rPr>
                <w:sz w:val="5"/>
                <w:szCs w:val="5"/>
                <w:color w:val="auto"/>
              </w:rPr>
            </w:pPr>
          </w:p>
        </w:tc>
        <w:tc>
          <w:tcPr>
            <w:tcW w:w="8640" w:type="dxa"/>
            <w:vAlign w:val="bottom"/>
            <w:tcBorders>
              <w:bottom w:val="single" w:sz="8" w:color="3E3935"/>
            </w:tcBorders>
          </w:tcPr>
          <w:p>
            <w:pPr>
              <w:spacing w:after="0"/>
              <w:rPr>
                <w:sz w:val="5"/>
                <w:szCs w:val="5"/>
                <w:color w:val="auto"/>
              </w:rPr>
            </w:pPr>
          </w:p>
        </w:tc>
      </w:tr>
      <w:tr>
        <w:trPr>
          <w:trHeight w:val="255"/>
        </w:trPr>
        <w:tc>
          <w:tcPr>
            <w:tcW w:w="2380" w:type="dxa"/>
            <w:vAlign w:val="bottom"/>
          </w:tcPr>
          <w:p>
            <w:pPr>
              <w:ind w:left="80"/>
              <w:spacing w:after="0"/>
              <w:rPr>
                <w:sz w:val="20"/>
                <w:szCs w:val="20"/>
                <w:color w:val="auto"/>
              </w:rPr>
            </w:pPr>
            <w:r>
              <w:rPr>
                <w:rFonts w:ascii="Arial" w:cs="Arial" w:eastAsia="Arial" w:hAnsi="Arial"/>
                <w:sz w:val="20"/>
                <w:szCs w:val="20"/>
                <w:b w:val="1"/>
                <w:bCs w:val="1"/>
                <w:color w:val="3E3935"/>
              </w:rPr>
              <w:t>Award Types</w:t>
            </w:r>
          </w:p>
        </w:tc>
        <w:tc>
          <w:tcPr>
            <w:tcW w:w="8640" w:type="dxa"/>
            <w:vAlign w:val="bottom"/>
          </w:tcPr>
          <w:p>
            <w:pPr>
              <w:ind w:left="160"/>
              <w:spacing w:after="0"/>
              <w:rPr>
                <w:sz w:val="20"/>
                <w:szCs w:val="20"/>
                <w:color w:val="auto"/>
              </w:rPr>
            </w:pPr>
            <w:r>
              <w:rPr>
                <w:rFonts w:ascii="Arial" w:cs="Arial" w:eastAsia="Arial" w:hAnsi="Arial"/>
                <w:sz w:val="20"/>
                <w:szCs w:val="20"/>
                <w:color w:val="3E3935"/>
              </w:rPr>
              <w:t>Stock options, SARs, restricted stock, RSUs, performance awards, other stock-based awards,</w:t>
            </w:r>
          </w:p>
        </w:tc>
      </w:tr>
      <w:tr>
        <w:trPr>
          <w:trHeight w:val="261"/>
        </w:trPr>
        <w:tc>
          <w:tcPr>
            <w:tcW w:w="2380" w:type="dxa"/>
            <w:vAlign w:val="bottom"/>
          </w:tcPr>
          <w:p>
            <w:pPr>
              <w:spacing w:after="0"/>
              <w:rPr>
                <w:sz w:val="22"/>
                <w:szCs w:val="22"/>
                <w:color w:val="auto"/>
              </w:rPr>
            </w:pPr>
          </w:p>
        </w:tc>
        <w:tc>
          <w:tcPr>
            <w:tcW w:w="8640" w:type="dxa"/>
            <w:vAlign w:val="bottom"/>
          </w:tcPr>
          <w:p>
            <w:pPr>
              <w:ind w:left="160"/>
              <w:spacing w:after="0"/>
              <w:rPr>
                <w:sz w:val="20"/>
                <w:szCs w:val="20"/>
                <w:color w:val="auto"/>
              </w:rPr>
            </w:pPr>
            <w:r>
              <w:rPr>
                <w:rFonts w:ascii="Arial" w:cs="Arial" w:eastAsia="Arial" w:hAnsi="Arial"/>
                <w:sz w:val="20"/>
                <w:szCs w:val="20"/>
                <w:color w:val="3E3935"/>
              </w:rPr>
              <w:t>and cash incentive awards.</w:t>
            </w:r>
          </w:p>
        </w:tc>
      </w:tr>
      <w:tr>
        <w:trPr>
          <w:trHeight w:val="57"/>
        </w:trPr>
        <w:tc>
          <w:tcPr>
            <w:tcW w:w="2380" w:type="dxa"/>
            <w:vAlign w:val="bottom"/>
            <w:tcBorders>
              <w:bottom w:val="single" w:sz="8" w:color="3E3935"/>
            </w:tcBorders>
          </w:tcPr>
          <w:p>
            <w:pPr>
              <w:spacing w:after="0"/>
              <w:rPr>
                <w:sz w:val="5"/>
                <w:szCs w:val="5"/>
                <w:color w:val="auto"/>
              </w:rPr>
            </w:pPr>
          </w:p>
        </w:tc>
        <w:tc>
          <w:tcPr>
            <w:tcW w:w="8640" w:type="dxa"/>
            <w:vAlign w:val="bottom"/>
            <w:tcBorders>
              <w:bottom w:val="single" w:sz="8" w:color="3E3935"/>
            </w:tcBorders>
          </w:tcPr>
          <w:p>
            <w:pPr>
              <w:spacing w:after="0"/>
              <w:rPr>
                <w:sz w:val="5"/>
                <w:szCs w:val="5"/>
                <w:color w:val="auto"/>
              </w:rPr>
            </w:pPr>
          </w:p>
        </w:tc>
      </w:tr>
      <w:tr>
        <w:trPr>
          <w:trHeight w:val="253"/>
        </w:trPr>
        <w:tc>
          <w:tcPr>
            <w:tcW w:w="2380" w:type="dxa"/>
            <w:vAlign w:val="bottom"/>
          </w:tcPr>
          <w:p>
            <w:pPr>
              <w:ind w:left="80"/>
              <w:spacing w:after="0"/>
              <w:rPr>
                <w:sz w:val="20"/>
                <w:szCs w:val="20"/>
                <w:color w:val="auto"/>
              </w:rPr>
            </w:pPr>
            <w:r>
              <w:rPr>
                <w:rFonts w:ascii="Arial" w:cs="Arial" w:eastAsia="Arial" w:hAnsi="Arial"/>
                <w:sz w:val="20"/>
                <w:szCs w:val="20"/>
                <w:b w:val="1"/>
                <w:bCs w:val="1"/>
                <w:color w:val="3E3935"/>
              </w:rPr>
              <w:t>Stock Options and</w:t>
            </w:r>
          </w:p>
        </w:tc>
        <w:tc>
          <w:tcPr>
            <w:tcW w:w="8640" w:type="dxa"/>
            <w:vAlign w:val="bottom"/>
          </w:tcPr>
          <w:p>
            <w:pPr>
              <w:ind w:left="160"/>
              <w:spacing w:after="0"/>
              <w:rPr>
                <w:sz w:val="20"/>
                <w:szCs w:val="20"/>
                <w:color w:val="auto"/>
              </w:rPr>
            </w:pPr>
            <w:r>
              <w:rPr>
                <w:rFonts w:ascii="Arial" w:cs="Arial" w:eastAsia="Arial" w:hAnsi="Arial"/>
                <w:sz w:val="20"/>
                <w:szCs w:val="20"/>
                <w:color w:val="3E3935"/>
              </w:rPr>
              <w:t>The Compensation Committee is authorized to grant stock options to purchase shares of</w:t>
            </w:r>
          </w:p>
        </w:tc>
      </w:tr>
      <w:tr>
        <w:trPr>
          <w:trHeight w:val="218"/>
        </w:trPr>
        <w:tc>
          <w:tcPr>
            <w:tcW w:w="2380" w:type="dxa"/>
            <w:vAlign w:val="bottom"/>
          </w:tcPr>
          <w:p>
            <w:pPr>
              <w:ind w:left="80"/>
              <w:spacing w:after="0" w:line="218" w:lineRule="exact"/>
              <w:rPr>
                <w:sz w:val="20"/>
                <w:szCs w:val="20"/>
                <w:color w:val="auto"/>
              </w:rPr>
            </w:pPr>
            <w:r>
              <w:rPr>
                <w:rFonts w:ascii="Arial" w:cs="Arial" w:eastAsia="Arial" w:hAnsi="Arial"/>
                <w:sz w:val="20"/>
                <w:szCs w:val="20"/>
                <w:b w:val="1"/>
                <w:bCs w:val="1"/>
                <w:color w:val="3E3935"/>
              </w:rPr>
              <w:t>SARs</w:t>
            </w:r>
          </w:p>
        </w:tc>
        <w:tc>
          <w:tcPr>
            <w:tcW w:w="8640" w:type="dxa"/>
            <w:vAlign w:val="bottom"/>
          </w:tcPr>
          <w:p>
            <w:pPr>
              <w:ind w:left="160"/>
              <w:spacing w:after="0" w:line="218" w:lineRule="exact"/>
              <w:rPr>
                <w:sz w:val="20"/>
                <w:szCs w:val="20"/>
                <w:color w:val="auto"/>
              </w:rPr>
            </w:pPr>
            <w:r>
              <w:rPr>
                <w:rFonts w:ascii="Arial" w:cs="Arial" w:eastAsia="Arial" w:hAnsi="Arial"/>
                <w:sz w:val="20"/>
                <w:szCs w:val="20"/>
                <w:color w:val="3E3935"/>
                <w:w w:val="99"/>
              </w:rPr>
              <w:t>common stock (including incentive stock options) and SARs, which provide the right to receive a</w:t>
            </w:r>
          </w:p>
        </w:tc>
      </w:tr>
      <w:tr>
        <w:trPr>
          <w:trHeight w:val="216"/>
        </w:trPr>
        <w:tc>
          <w:tcPr>
            <w:tcW w:w="2380" w:type="dxa"/>
            <w:vAlign w:val="bottom"/>
          </w:tcPr>
          <w:p>
            <w:pPr>
              <w:spacing w:after="0"/>
              <w:rPr>
                <w:sz w:val="18"/>
                <w:szCs w:val="18"/>
                <w:color w:val="auto"/>
              </w:rPr>
            </w:pPr>
          </w:p>
        </w:tc>
        <w:tc>
          <w:tcPr>
            <w:tcW w:w="8640" w:type="dxa"/>
            <w:vAlign w:val="bottom"/>
          </w:tcPr>
          <w:p>
            <w:pPr>
              <w:ind w:left="160"/>
              <w:spacing w:after="0" w:line="216" w:lineRule="exact"/>
              <w:rPr>
                <w:sz w:val="20"/>
                <w:szCs w:val="20"/>
                <w:color w:val="auto"/>
              </w:rPr>
            </w:pPr>
            <w:r>
              <w:rPr>
                <w:rFonts w:ascii="Arial" w:cs="Arial" w:eastAsia="Arial" w:hAnsi="Arial"/>
                <w:sz w:val="20"/>
                <w:szCs w:val="20"/>
                <w:color w:val="3E3935"/>
              </w:rPr>
              <w:t>payment or a number of shares equal to the increase in value above the exercise price. The</w:t>
            </w:r>
          </w:p>
        </w:tc>
      </w:tr>
      <w:tr>
        <w:trPr>
          <w:trHeight w:val="216"/>
        </w:trPr>
        <w:tc>
          <w:tcPr>
            <w:tcW w:w="2380" w:type="dxa"/>
            <w:vAlign w:val="bottom"/>
          </w:tcPr>
          <w:p>
            <w:pPr>
              <w:spacing w:after="0"/>
              <w:rPr>
                <w:sz w:val="18"/>
                <w:szCs w:val="18"/>
                <w:color w:val="auto"/>
              </w:rPr>
            </w:pPr>
          </w:p>
        </w:tc>
        <w:tc>
          <w:tcPr>
            <w:tcW w:w="8640" w:type="dxa"/>
            <w:vAlign w:val="bottom"/>
          </w:tcPr>
          <w:p>
            <w:pPr>
              <w:ind w:left="160"/>
              <w:spacing w:after="0" w:line="216" w:lineRule="exact"/>
              <w:rPr>
                <w:sz w:val="20"/>
                <w:szCs w:val="20"/>
                <w:color w:val="auto"/>
              </w:rPr>
            </w:pPr>
            <w:r>
              <w:rPr>
                <w:rFonts w:ascii="Arial" w:cs="Arial" w:eastAsia="Arial" w:hAnsi="Arial"/>
                <w:sz w:val="20"/>
                <w:szCs w:val="20"/>
                <w:color w:val="3E3935"/>
              </w:rPr>
              <w:t>exercise price of stock options and SARs may not be lower than the fair market value of the</w:t>
            </w:r>
          </w:p>
        </w:tc>
      </w:tr>
      <w:tr>
        <w:trPr>
          <w:trHeight w:val="216"/>
        </w:trPr>
        <w:tc>
          <w:tcPr>
            <w:tcW w:w="2380" w:type="dxa"/>
            <w:vAlign w:val="bottom"/>
          </w:tcPr>
          <w:p>
            <w:pPr>
              <w:spacing w:after="0"/>
              <w:rPr>
                <w:sz w:val="18"/>
                <w:szCs w:val="18"/>
                <w:color w:val="auto"/>
              </w:rPr>
            </w:pPr>
          </w:p>
        </w:tc>
        <w:tc>
          <w:tcPr>
            <w:tcW w:w="8640" w:type="dxa"/>
            <w:vAlign w:val="bottom"/>
          </w:tcPr>
          <w:p>
            <w:pPr>
              <w:ind w:left="160"/>
              <w:spacing w:after="0" w:line="216" w:lineRule="exact"/>
              <w:rPr>
                <w:sz w:val="20"/>
                <w:szCs w:val="20"/>
                <w:color w:val="auto"/>
              </w:rPr>
            </w:pPr>
            <w:r>
              <w:rPr>
                <w:rFonts w:ascii="Arial" w:cs="Arial" w:eastAsia="Arial" w:hAnsi="Arial"/>
                <w:sz w:val="20"/>
                <w:szCs w:val="20"/>
                <w:color w:val="3E3935"/>
              </w:rPr>
              <w:t>underlying shares on the date of grant. The term of any stock option will not be more than ten</w:t>
            </w:r>
          </w:p>
        </w:tc>
      </w:tr>
      <w:tr>
        <w:trPr>
          <w:trHeight w:val="261"/>
        </w:trPr>
        <w:tc>
          <w:tcPr>
            <w:tcW w:w="2380" w:type="dxa"/>
            <w:vAlign w:val="bottom"/>
          </w:tcPr>
          <w:p>
            <w:pPr>
              <w:spacing w:after="0"/>
              <w:rPr>
                <w:sz w:val="22"/>
                <w:szCs w:val="22"/>
                <w:color w:val="auto"/>
              </w:rPr>
            </w:pPr>
          </w:p>
        </w:tc>
        <w:tc>
          <w:tcPr>
            <w:tcW w:w="8640" w:type="dxa"/>
            <w:vAlign w:val="bottom"/>
          </w:tcPr>
          <w:p>
            <w:pPr>
              <w:ind w:left="160"/>
              <w:spacing w:after="0"/>
              <w:rPr>
                <w:sz w:val="20"/>
                <w:szCs w:val="20"/>
                <w:color w:val="auto"/>
              </w:rPr>
            </w:pPr>
            <w:r>
              <w:rPr>
                <w:rFonts w:ascii="Arial" w:cs="Arial" w:eastAsia="Arial" w:hAnsi="Arial"/>
                <w:sz w:val="20"/>
                <w:szCs w:val="20"/>
                <w:color w:val="3E3935"/>
              </w:rPr>
              <w:t>years and two days (or for SARs or incentive stock options, ten years) from the date of grant.</w:t>
            </w:r>
          </w:p>
        </w:tc>
      </w:tr>
      <w:tr>
        <w:trPr>
          <w:trHeight w:val="57"/>
        </w:trPr>
        <w:tc>
          <w:tcPr>
            <w:tcW w:w="2380" w:type="dxa"/>
            <w:vAlign w:val="bottom"/>
            <w:tcBorders>
              <w:bottom w:val="single" w:sz="8" w:color="3E3935"/>
            </w:tcBorders>
          </w:tcPr>
          <w:p>
            <w:pPr>
              <w:spacing w:after="0"/>
              <w:rPr>
                <w:sz w:val="5"/>
                <w:szCs w:val="5"/>
                <w:color w:val="auto"/>
              </w:rPr>
            </w:pPr>
          </w:p>
        </w:tc>
        <w:tc>
          <w:tcPr>
            <w:tcW w:w="8640" w:type="dxa"/>
            <w:vAlign w:val="bottom"/>
            <w:tcBorders>
              <w:bottom w:val="single" w:sz="8" w:color="3E3935"/>
            </w:tcBorders>
          </w:tcPr>
          <w:p>
            <w:pPr>
              <w:spacing w:after="0"/>
              <w:rPr>
                <w:sz w:val="5"/>
                <w:szCs w:val="5"/>
                <w:color w:val="auto"/>
              </w:rPr>
            </w:pPr>
          </w:p>
        </w:tc>
      </w:tr>
      <w:tr>
        <w:trPr>
          <w:trHeight w:val="253"/>
        </w:trPr>
        <w:tc>
          <w:tcPr>
            <w:tcW w:w="2380" w:type="dxa"/>
            <w:vAlign w:val="bottom"/>
          </w:tcPr>
          <w:p>
            <w:pPr>
              <w:ind w:left="80"/>
              <w:spacing w:after="0"/>
              <w:rPr>
                <w:sz w:val="20"/>
                <w:szCs w:val="20"/>
                <w:color w:val="auto"/>
              </w:rPr>
            </w:pPr>
            <w:r>
              <w:rPr>
                <w:rFonts w:ascii="Arial" w:cs="Arial" w:eastAsia="Arial" w:hAnsi="Arial"/>
                <w:sz w:val="20"/>
                <w:szCs w:val="20"/>
                <w:b w:val="1"/>
                <w:bCs w:val="1"/>
                <w:color w:val="3E3935"/>
              </w:rPr>
              <w:t>Restricted Stock and</w:t>
            </w:r>
          </w:p>
        </w:tc>
        <w:tc>
          <w:tcPr>
            <w:tcW w:w="8640" w:type="dxa"/>
            <w:vAlign w:val="bottom"/>
          </w:tcPr>
          <w:p>
            <w:pPr>
              <w:ind w:left="160"/>
              <w:spacing w:after="0"/>
              <w:rPr>
                <w:sz w:val="20"/>
                <w:szCs w:val="20"/>
                <w:color w:val="auto"/>
              </w:rPr>
            </w:pPr>
            <w:r>
              <w:rPr>
                <w:rFonts w:ascii="Arial" w:cs="Arial" w:eastAsia="Arial" w:hAnsi="Arial"/>
                <w:sz w:val="20"/>
                <w:szCs w:val="20"/>
                <w:color w:val="3E3935"/>
              </w:rPr>
              <w:t>The Compensation Committee is authorized to grant restricted stock and RSUs, which provide</w:t>
            </w:r>
          </w:p>
        </w:tc>
      </w:tr>
      <w:tr>
        <w:trPr>
          <w:trHeight w:val="218"/>
        </w:trPr>
        <w:tc>
          <w:tcPr>
            <w:tcW w:w="2380" w:type="dxa"/>
            <w:vAlign w:val="bottom"/>
          </w:tcPr>
          <w:p>
            <w:pPr>
              <w:ind w:left="80"/>
              <w:spacing w:after="0" w:line="218" w:lineRule="exact"/>
              <w:rPr>
                <w:sz w:val="20"/>
                <w:szCs w:val="20"/>
                <w:color w:val="auto"/>
              </w:rPr>
            </w:pPr>
            <w:r>
              <w:rPr>
                <w:rFonts w:ascii="Arial" w:cs="Arial" w:eastAsia="Arial" w:hAnsi="Arial"/>
                <w:sz w:val="20"/>
                <w:szCs w:val="20"/>
                <w:b w:val="1"/>
                <w:bCs w:val="1"/>
                <w:color w:val="3E3935"/>
              </w:rPr>
              <w:t>RSUs</w:t>
            </w:r>
          </w:p>
        </w:tc>
        <w:tc>
          <w:tcPr>
            <w:tcW w:w="8640" w:type="dxa"/>
            <w:vAlign w:val="bottom"/>
          </w:tcPr>
          <w:p>
            <w:pPr>
              <w:ind w:left="160"/>
              <w:spacing w:after="0" w:line="218" w:lineRule="exact"/>
              <w:rPr>
                <w:sz w:val="20"/>
                <w:szCs w:val="20"/>
                <w:color w:val="auto"/>
              </w:rPr>
            </w:pPr>
            <w:r>
              <w:rPr>
                <w:rFonts w:ascii="Arial" w:cs="Arial" w:eastAsia="Arial" w:hAnsi="Arial"/>
                <w:sz w:val="20"/>
                <w:szCs w:val="20"/>
                <w:color w:val="3E3935"/>
              </w:rPr>
              <w:t>the right to receive the value of the underlying shares, either in cash, shares, or a combination</w:t>
            </w:r>
          </w:p>
        </w:tc>
      </w:tr>
      <w:tr>
        <w:trPr>
          <w:trHeight w:val="261"/>
        </w:trPr>
        <w:tc>
          <w:tcPr>
            <w:tcW w:w="2380" w:type="dxa"/>
            <w:vAlign w:val="bottom"/>
          </w:tcPr>
          <w:p>
            <w:pPr>
              <w:spacing w:after="0"/>
              <w:rPr>
                <w:sz w:val="22"/>
                <w:szCs w:val="22"/>
                <w:color w:val="auto"/>
              </w:rPr>
            </w:pPr>
          </w:p>
        </w:tc>
        <w:tc>
          <w:tcPr>
            <w:tcW w:w="8640" w:type="dxa"/>
            <w:vAlign w:val="bottom"/>
          </w:tcPr>
          <w:p>
            <w:pPr>
              <w:ind w:left="160"/>
              <w:spacing w:after="0"/>
              <w:rPr>
                <w:sz w:val="20"/>
                <w:szCs w:val="20"/>
                <w:color w:val="auto"/>
              </w:rPr>
            </w:pPr>
            <w:r>
              <w:rPr>
                <w:rFonts w:ascii="Arial" w:cs="Arial" w:eastAsia="Arial" w:hAnsi="Arial"/>
                <w:sz w:val="20"/>
                <w:szCs w:val="20"/>
                <w:color w:val="3E3935"/>
              </w:rPr>
              <w:t>thereof.</w:t>
            </w:r>
          </w:p>
        </w:tc>
      </w:tr>
      <w:tr>
        <w:trPr>
          <w:trHeight w:val="57"/>
        </w:trPr>
        <w:tc>
          <w:tcPr>
            <w:tcW w:w="2380" w:type="dxa"/>
            <w:vAlign w:val="bottom"/>
            <w:tcBorders>
              <w:bottom w:val="single" w:sz="8" w:color="3E3935"/>
            </w:tcBorders>
          </w:tcPr>
          <w:p>
            <w:pPr>
              <w:spacing w:after="0"/>
              <w:rPr>
                <w:sz w:val="5"/>
                <w:szCs w:val="5"/>
                <w:color w:val="auto"/>
              </w:rPr>
            </w:pPr>
          </w:p>
        </w:tc>
        <w:tc>
          <w:tcPr>
            <w:tcW w:w="8640" w:type="dxa"/>
            <w:vAlign w:val="bottom"/>
            <w:tcBorders>
              <w:bottom w:val="single" w:sz="8" w:color="3E3935"/>
            </w:tcBorders>
          </w:tcPr>
          <w:p>
            <w:pPr>
              <w:spacing w:after="0"/>
              <w:rPr>
                <w:sz w:val="5"/>
                <w:szCs w:val="5"/>
                <w:color w:val="auto"/>
              </w:rPr>
            </w:pPr>
          </w:p>
        </w:tc>
      </w:tr>
      <w:tr>
        <w:trPr>
          <w:trHeight w:val="255"/>
        </w:trPr>
        <w:tc>
          <w:tcPr>
            <w:tcW w:w="2380" w:type="dxa"/>
            <w:vAlign w:val="bottom"/>
          </w:tcPr>
          <w:p>
            <w:pPr>
              <w:ind w:left="80"/>
              <w:spacing w:after="0"/>
              <w:rPr>
                <w:sz w:val="20"/>
                <w:szCs w:val="20"/>
                <w:color w:val="auto"/>
              </w:rPr>
            </w:pPr>
            <w:r>
              <w:rPr>
                <w:rFonts w:ascii="Arial" w:cs="Arial" w:eastAsia="Arial" w:hAnsi="Arial"/>
                <w:sz w:val="20"/>
                <w:szCs w:val="20"/>
                <w:b w:val="1"/>
                <w:bCs w:val="1"/>
                <w:color w:val="3E3935"/>
              </w:rPr>
              <w:t>Performance Awards</w:t>
            </w:r>
          </w:p>
        </w:tc>
        <w:tc>
          <w:tcPr>
            <w:tcW w:w="8640" w:type="dxa"/>
            <w:vAlign w:val="bottom"/>
          </w:tcPr>
          <w:p>
            <w:pPr>
              <w:ind w:left="160"/>
              <w:spacing w:after="0"/>
              <w:rPr>
                <w:sz w:val="20"/>
                <w:szCs w:val="20"/>
                <w:color w:val="auto"/>
              </w:rPr>
            </w:pPr>
            <w:r>
              <w:rPr>
                <w:rFonts w:ascii="Arial" w:cs="Arial" w:eastAsia="Arial" w:hAnsi="Arial"/>
                <w:sz w:val="20"/>
                <w:szCs w:val="20"/>
                <w:color w:val="3E3935"/>
              </w:rPr>
              <w:t>The Compensation Committee is authorized to grant performance awards, which may be</w:t>
            </w:r>
          </w:p>
        </w:tc>
      </w:tr>
      <w:tr>
        <w:trPr>
          <w:trHeight w:val="216"/>
        </w:trPr>
        <w:tc>
          <w:tcPr>
            <w:tcW w:w="2380" w:type="dxa"/>
            <w:vAlign w:val="bottom"/>
          </w:tcPr>
          <w:p>
            <w:pPr>
              <w:spacing w:after="0"/>
              <w:rPr>
                <w:sz w:val="18"/>
                <w:szCs w:val="18"/>
                <w:color w:val="auto"/>
              </w:rPr>
            </w:pPr>
          </w:p>
        </w:tc>
        <w:tc>
          <w:tcPr>
            <w:tcW w:w="8640" w:type="dxa"/>
            <w:vAlign w:val="bottom"/>
          </w:tcPr>
          <w:p>
            <w:pPr>
              <w:ind w:left="160"/>
              <w:spacing w:after="0" w:line="216" w:lineRule="exact"/>
              <w:rPr>
                <w:sz w:val="20"/>
                <w:szCs w:val="20"/>
                <w:color w:val="auto"/>
              </w:rPr>
            </w:pPr>
            <w:r>
              <w:rPr>
                <w:rFonts w:ascii="Arial" w:cs="Arial" w:eastAsia="Arial" w:hAnsi="Arial"/>
                <w:sz w:val="20"/>
                <w:szCs w:val="20"/>
                <w:color w:val="3E3935"/>
              </w:rPr>
              <w:t>denominated in cash, shares, units, or a combination thereof, to be earned upon the</w:t>
            </w:r>
          </w:p>
        </w:tc>
      </w:tr>
      <w:tr>
        <w:trPr>
          <w:trHeight w:val="261"/>
        </w:trPr>
        <w:tc>
          <w:tcPr>
            <w:tcW w:w="2380" w:type="dxa"/>
            <w:vAlign w:val="bottom"/>
          </w:tcPr>
          <w:p>
            <w:pPr>
              <w:spacing w:after="0"/>
              <w:rPr>
                <w:sz w:val="22"/>
                <w:szCs w:val="22"/>
                <w:color w:val="auto"/>
              </w:rPr>
            </w:pPr>
          </w:p>
        </w:tc>
        <w:tc>
          <w:tcPr>
            <w:tcW w:w="8640" w:type="dxa"/>
            <w:vAlign w:val="bottom"/>
          </w:tcPr>
          <w:p>
            <w:pPr>
              <w:ind w:left="160"/>
              <w:spacing w:after="0"/>
              <w:rPr>
                <w:sz w:val="20"/>
                <w:szCs w:val="20"/>
                <w:color w:val="auto"/>
              </w:rPr>
            </w:pPr>
            <w:r>
              <w:rPr>
                <w:rFonts w:ascii="Arial" w:cs="Arial" w:eastAsia="Arial" w:hAnsi="Arial"/>
                <w:sz w:val="20"/>
                <w:szCs w:val="20"/>
                <w:color w:val="3E3935"/>
              </w:rPr>
              <w:t>achievement of performance conditions specified by the Compensation Committee.</w:t>
            </w:r>
          </w:p>
        </w:tc>
      </w:tr>
      <w:tr>
        <w:trPr>
          <w:trHeight w:val="58"/>
        </w:trPr>
        <w:tc>
          <w:tcPr>
            <w:tcW w:w="2380" w:type="dxa"/>
            <w:vAlign w:val="bottom"/>
            <w:tcBorders>
              <w:bottom w:val="single" w:sz="8" w:color="3E3935"/>
            </w:tcBorders>
          </w:tcPr>
          <w:p>
            <w:pPr>
              <w:spacing w:after="0"/>
              <w:rPr>
                <w:sz w:val="5"/>
                <w:szCs w:val="5"/>
                <w:color w:val="auto"/>
              </w:rPr>
            </w:pPr>
          </w:p>
        </w:tc>
        <w:tc>
          <w:tcPr>
            <w:tcW w:w="8640" w:type="dxa"/>
            <w:vAlign w:val="bottom"/>
            <w:tcBorders>
              <w:bottom w:val="single" w:sz="8" w:color="3E3935"/>
            </w:tcBorders>
          </w:tcPr>
          <w:p>
            <w:pPr>
              <w:spacing w:after="0"/>
              <w:rPr>
                <w:sz w:val="5"/>
                <w:szCs w:val="5"/>
                <w:color w:val="auto"/>
              </w:rPr>
            </w:pPr>
          </w:p>
        </w:tc>
      </w:tr>
    </w:tbl>
    <w:p>
      <w:pPr>
        <w:spacing w:after="0" w:line="139" w:lineRule="exact"/>
        <w:rPr>
          <w:sz w:val="20"/>
          <w:szCs w:val="20"/>
          <w:color w:val="auto"/>
        </w:rPr>
      </w:pPr>
    </w:p>
    <w:p>
      <w:pPr>
        <w:ind w:left="120"/>
        <w:spacing w:after="0"/>
        <w:rPr>
          <w:sz w:val="20"/>
          <w:szCs w:val="20"/>
          <w:color w:val="auto"/>
        </w:rPr>
      </w:pPr>
      <w:r>
        <w:rPr>
          <w:rFonts w:ascii="Arial" w:cs="Arial" w:eastAsia="Arial" w:hAnsi="Arial"/>
          <w:sz w:val="14"/>
          <w:szCs w:val="14"/>
          <w:color w:val="0071CE"/>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wp:posOffset>
            </wp:positionH>
            <wp:positionV relativeFrom="paragraph">
              <wp:posOffset>-95885</wp:posOffset>
            </wp:positionV>
            <wp:extent cx="5983605" cy="10287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5983605" cy="102870"/>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208280</wp:posOffset>
            </wp:positionV>
            <wp:extent cx="6995160" cy="825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65" w:lineRule="exact"/>
        <w:rPr>
          <w:sz w:val="20"/>
          <w:szCs w:val="20"/>
          <w:color w:val="auto"/>
        </w:rPr>
      </w:pPr>
    </w:p>
    <w:tbl>
      <w:tblPr>
        <w:tblLayout w:type="fixed"/>
        <w:tblInd w:w="120" w:type="dxa"/>
        <w:tblCellMar>
          <w:top w:w="0" w:type="dxa"/>
          <w:left w:w="0" w:type="dxa"/>
          <w:bottom w:w="0" w:type="dxa"/>
          <w:right w:w="0" w:type="dxa"/>
        </w:tblCellMar>
      </w:tblPr>
      <w:tr>
        <w:trPr>
          <w:trHeight w:val="273"/>
        </w:trPr>
        <w:tc>
          <w:tcPr>
            <w:tcW w:w="2420" w:type="dxa"/>
            <w:vAlign w:val="bottom"/>
          </w:tcPr>
          <w:p>
            <w:pPr>
              <w:ind w:left="100"/>
              <w:spacing w:after="0"/>
              <w:rPr>
                <w:sz w:val="20"/>
                <w:szCs w:val="20"/>
                <w:color w:val="auto"/>
              </w:rPr>
            </w:pPr>
            <w:r>
              <w:rPr>
                <w:rFonts w:ascii="Arial" w:cs="Arial" w:eastAsia="Arial" w:hAnsi="Arial"/>
                <w:sz w:val="20"/>
                <w:szCs w:val="20"/>
                <w:b w:val="1"/>
                <w:bCs w:val="1"/>
                <w:color w:val="00C1DE"/>
              </w:rPr>
              <w:t>Key Provisions</w:t>
            </w:r>
          </w:p>
        </w:tc>
        <w:tc>
          <w:tcPr>
            <w:tcW w:w="8600" w:type="dxa"/>
            <w:vAlign w:val="bottom"/>
          </w:tcPr>
          <w:p>
            <w:pPr>
              <w:ind w:left="120"/>
              <w:spacing w:after="0"/>
              <w:rPr>
                <w:sz w:val="20"/>
                <w:szCs w:val="20"/>
                <w:color w:val="auto"/>
              </w:rPr>
            </w:pPr>
            <w:r>
              <w:rPr>
                <w:rFonts w:ascii="Arial" w:cs="Arial" w:eastAsia="Arial" w:hAnsi="Arial"/>
                <w:sz w:val="20"/>
                <w:szCs w:val="20"/>
                <w:b w:val="1"/>
                <w:bCs w:val="1"/>
                <w:color w:val="00C1DE"/>
              </w:rPr>
              <w:t>Description</w:t>
            </w:r>
          </w:p>
        </w:tc>
      </w:tr>
      <w:tr>
        <w:trPr>
          <w:trHeight w:val="48"/>
        </w:trPr>
        <w:tc>
          <w:tcPr>
            <w:tcW w:w="2420" w:type="dxa"/>
            <w:vAlign w:val="bottom"/>
            <w:tcBorders>
              <w:bottom w:val="single" w:sz="8" w:color="00C1DE"/>
            </w:tcBorders>
          </w:tcPr>
          <w:p>
            <w:pPr>
              <w:spacing w:after="0"/>
              <w:rPr>
                <w:sz w:val="4"/>
                <w:szCs w:val="4"/>
                <w:color w:val="auto"/>
              </w:rPr>
            </w:pPr>
          </w:p>
        </w:tc>
        <w:tc>
          <w:tcPr>
            <w:tcW w:w="8600" w:type="dxa"/>
            <w:vAlign w:val="bottom"/>
            <w:tcBorders>
              <w:bottom w:val="single" w:sz="8" w:color="00C1DE"/>
            </w:tcBorders>
          </w:tcPr>
          <w:p>
            <w:pPr>
              <w:spacing w:after="0"/>
              <w:rPr>
                <w:sz w:val="4"/>
                <w:szCs w:val="4"/>
                <w:color w:val="auto"/>
              </w:rPr>
            </w:pPr>
          </w:p>
        </w:tc>
      </w:tr>
      <w:tr>
        <w:trPr>
          <w:trHeight w:val="255"/>
        </w:trPr>
        <w:tc>
          <w:tcPr>
            <w:tcW w:w="2420" w:type="dxa"/>
            <w:vAlign w:val="bottom"/>
          </w:tcPr>
          <w:p>
            <w:pPr>
              <w:ind w:left="80"/>
              <w:spacing w:after="0"/>
              <w:rPr>
                <w:sz w:val="20"/>
                <w:szCs w:val="20"/>
                <w:color w:val="auto"/>
              </w:rPr>
            </w:pPr>
            <w:r>
              <w:rPr>
                <w:rFonts w:ascii="Arial" w:cs="Arial" w:eastAsia="Arial" w:hAnsi="Arial"/>
                <w:sz w:val="20"/>
                <w:szCs w:val="20"/>
                <w:b w:val="1"/>
                <w:bCs w:val="1"/>
                <w:color w:val="3E3935"/>
              </w:rPr>
              <w:t>Performance Measures</w:t>
            </w:r>
          </w:p>
        </w:tc>
        <w:tc>
          <w:tcPr>
            <w:tcW w:w="8600" w:type="dxa"/>
            <w:vAlign w:val="bottom"/>
          </w:tcPr>
          <w:p>
            <w:pPr>
              <w:ind w:left="120"/>
              <w:spacing w:after="0"/>
              <w:rPr>
                <w:sz w:val="20"/>
                <w:szCs w:val="20"/>
                <w:color w:val="auto"/>
              </w:rPr>
            </w:pPr>
            <w:r>
              <w:rPr>
                <w:rFonts w:ascii="Arial" w:cs="Arial" w:eastAsia="Arial" w:hAnsi="Arial"/>
                <w:sz w:val="20"/>
                <w:szCs w:val="20"/>
                <w:color w:val="3E3935"/>
              </w:rPr>
              <w:t>A performance award may be subject to a formula established in advance based on the</w:t>
            </w:r>
          </w:p>
        </w:tc>
      </w:tr>
      <w:tr>
        <w:trPr>
          <w:trHeight w:val="216"/>
        </w:trPr>
        <w:tc>
          <w:tcPr>
            <w:tcW w:w="2420" w:type="dxa"/>
            <w:vAlign w:val="bottom"/>
          </w:tcPr>
          <w:p>
            <w:pPr>
              <w:spacing w:after="0"/>
              <w:rPr>
                <w:sz w:val="18"/>
                <w:szCs w:val="18"/>
                <w:color w:val="auto"/>
              </w:rPr>
            </w:pPr>
          </w:p>
        </w:tc>
        <w:tc>
          <w:tcPr>
            <w:tcW w:w="8600" w:type="dxa"/>
            <w:vAlign w:val="bottom"/>
          </w:tcPr>
          <w:p>
            <w:pPr>
              <w:ind w:left="120"/>
              <w:spacing w:after="0" w:line="216" w:lineRule="exact"/>
              <w:rPr>
                <w:sz w:val="20"/>
                <w:szCs w:val="20"/>
                <w:color w:val="auto"/>
              </w:rPr>
            </w:pPr>
            <w:r>
              <w:rPr>
                <w:rFonts w:ascii="Arial" w:cs="Arial" w:eastAsia="Arial" w:hAnsi="Arial"/>
                <w:sz w:val="20"/>
                <w:szCs w:val="20"/>
                <w:color w:val="3E3935"/>
                <w:w w:val="99"/>
              </w:rPr>
              <w:t>achievement during the performance period of one or more of the following performance criteria,</w:t>
            </w:r>
          </w:p>
        </w:tc>
      </w:tr>
      <w:tr>
        <w:trPr>
          <w:trHeight w:val="216"/>
        </w:trPr>
        <w:tc>
          <w:tcPr>
            <w:tcW w:w="2420" w:type="dxa"/>
            <w:vAlign w:val="bottom"/>
          </w:tcPr>
          <w:p>
            <w:pPr>
              <w:spacing w:after="0"/>
              <w:rPr>
                <w:sz w:val="18"/>
                <w:szCs w:val="18"/>
                <w:color w:val="auto"/>
              </w:rPr>
            </w:pPr>
          </w:p>
        </w:tc>
        <w:tc>
          <w:tcPr>
            <w:tcW w:w="8600" w:type="dxa"/>
            <w:vAlign w:val="bottom"/>
          </w:tcPr>
          <w:p>
            <w:pPr>
              <w:ind w:left="120"/>
              <w:spacing w:after="0" w:line="216" w:lineRule="exact"/>
              <w:rPr>
                <w:sz w:val="20"/>
                <w:szCs w:val="20"/>
                <w:color w:val="auto"/>
              </w:rPr>
            </w:pPr>
            <w:r>
              <w:rPr>
                <w:rFonts w:ascii="Arial" w:cs="Arial" w:eastAsia="Arial" w:hAnsi="Arial"/>
                <w:sz w:val="20"/>
                <w:szCs w:val="20"/>
                <w:color w:val="3E3935"/>
              </w:rPr>
              <w:t>expressed on an absolute or an adjusted basis, and which may be based on an absolute or</w:t>
            </w:r>
          </w:p>
        </w:tc>
      </w:tr>
      <w:tr>
        <w:trPr>
          <w:trHeight w:val="261"/>
        </w:trPr>
        <w:tc>
          <w:tcPr>
            <w:tcW w:w="2420" w:type="dxa"/>
            <w:vAlign w:val="bottom"/>
          </w:tcPr>
          <w:p>
            <w:pPr>
              <w:spacing w:after="0"/>
              <w:rPr>
                <w:sz w:val="22"/>
                <w:szCs w:val="22"/>
                <w:color w:val="auto"/>
              </w:rPr>
            </w:pPr>
          </w:p>
        </w:tc>
        <w:tc>
          <w:tcPr>
            <w:tcW w:w="8600" w:type="dxa"/>
            <w:vAlign w:val="bottom"/>
          </w:tcPr>
          <w:p>
            <w:pPr>
              <w:ind w:left="120"/>
              <w:spacing w:after="0"/>
              <w:rPr>
                <w:sz w:val="20"/>
                <w:szCs w:val="20"/>
                <w:color w:val="auto"/>
              </w:rPr>
            </w:pPr>
            <w:r>
              <w:rPr>
                <w:rFonts w:ascii="Arial" w:cs="Arial" w:eastAsia="Arial" w:hAnsi="Arial"/>
                <w:sz w:val="20"/>
                <w:szCs w:val="20"/>
                <w:color w:val="3E3935"/>
              </w:rPr>
              <w:t>relative measure (e.g., relative to the performance of other companies or an index):</w:t>
            </w:r>
          </w:p>
        </w:tc>
      </w:tr>
      <w:tr>
        <w:trPr>
          <w:trHeight w:val="333"/>
        </w:trPr>
        <w:tc>
          <w:tcPr>
            <w:tcW w:w="2420" w:type="dxa"/>
            <w:vAlign w:val="bottom"/>
          </w:tcPr>
          <w:p>
            <w:pPr>
              <w:spacing w:after="0"/>
              <w:rPr>
                <w:sz w:val="24"/>
                <w:szCs w:val="24"/>
                <w:color w:val="auto"/>
              </w:rPr>
            </w:pPr>
          </w:p>
        </w:tc>
        <w:tc>
          <w:tcPr>
            <w:tcW w:w="8600" w:type="dxa"/>
            <w:vAlign w:val="bottom"/>
          </w:tcPr>
          <w:p>
            <w:pPr>
              <w:ind w:left="120"/>
              <w:spacing w:after="0"/>
              <w:rPr>
                <w:sz w:val="20"/>
                <w:szCs w:val="20"/>
                <w:color w:val="auto"/>
              </w:rPr>
            </w:pPr>
            <w:r>
              <w:rPr>
                <w:rFonts w:ascii="Arial" w:cs="Arial" w:eastAsia="Arial" w:hAnsi="Arial"/>
                <w:sz w:val="20"/>
                <w:szCs w:val="20"/>
                <w:color w:val="3E3935"/>
              </w:rPr>
              <w:t>Asset turnover, cash flow, contribution margin, cost objectives, cost reduction, earnings before</w:t>
            </w:r>
          </w:p>
        </w:tc>
      </w:tr>
      <w:tr>
        <w:trPr>
          <w:trHeight w:val="216"/>
        </w:trPr>
        <w:tc>
          <w:tcPr>
            <w:tcW w:w="2420" w:type="dxa"/>
            <w:vAlign w:val="bottom"/>
          </w:tcPr>
          <w:p>
            <w:pPr>
              <w:spacing w:after="0"/>
              <w:rPr>
                <w:sz w:val="18"/>
                <w:szCs w:val="18"/>
                <w:color w:val="auto"/>
              </w:rPr>
            </w:pPr>
          </w:p>
        </w:tc>
        <w:tc>
          <w:tcPr>
            <w:tcW w:w="8600" w:type="dxa"/>
            <w:vAlign w:val="bottom"/>
          </w:tcPr>
          <w:p>
            <w:pPr>
              <w:ind w:left="120"/>
              <w:spacing w:after="0" w:line="216" w:lineRule="exact"/>
              <w:rPr>
                <w:sz w:val="20"/>
                <w:szCs w:val="20"/>
                <w:color w:val="auto"/>
              </w:rPr>
            </w:pPr>
            <w:r>
              <w:rPr>
                <w:rFonts w:ascii="Arial" w:cs="Arial" w:eastAsia="Arial" w:hAnsi="Arial"/>
                <w:sz w:val="20"/>
                <w:szCs w:val="20"/>
                <w:color w:val="3E3935"/>
              </w:rPr>
              <w:t>interest and taxes (EBIT), earnings before interest, taxes, depreciation and amortization</w:t>
            </w:r>
          </w:p>
        </w:tc>
      </w:tr>
      <w:tr>
        <w:trPr>
          <w:trHeight w:val="216"/>
        </w:trPr>
        <w:tc>
          <w:tcPr>
            <w:tcW w:w="2420" w:type="dxa"/>
            <w:vAlign w:val="bottom"/>
          </w:tcPr>
          <w:p>
            <w:pPr>
              <w:spacing w:after="0"/>
              <w:rPr>
                <w:sz w:val="18"/>
                <w:szCs w:val="18"/>
                <w:color w:val="auto"/>
              </w:rPr>
            </w:pPr>
          </w:p>
        </w:tc>
        <w:tc>
          <w:tcPr>
            <w:tcW w:w="8600" w:type="dxa"/>
            <w:vAlign w:val="bottom"/>
          </w:tcPr>
          <w:p>
            <w:pPr>
              <w:ind w:left="120"/>
              <w:spacing w:after="0" w:line="216" w:lineRule="exact"/>
              <w:rPr>
                <w:sz w:val="20"/>
                <w:szCs w:val="20"/>
                <w:color w:val="auto"/>
              </w:rPr>
            </w:pPr>
            <w:r>
              <w:rPr>
                <w:rFonts w:ascii="Arial" w:cs="Arial" w:eastAsia="Arial" w:hAnsi="Arial"/>
                <w:sz w:val="20"/>
                <w:szCs w:val="20"/>
                <w:color w:val="3E3935"/>
              </w:rPr>
              <w:t>(EBITDA), earnings per share, economic value added, free cash flow, increase in customer</w:t>
            </w:r>
          </w:p>
        </w:tc>
      </w:tr>
      <w:tr>
        <w:trPr>
          <w:trHeight w:val="216"/>
        </w:trPr>
        <w:tc>
          <w:tcPr>
            <w:tcW w:w="2420" w:type="dxa"/>
            <w:vAlign w:val="bottom"/>
          </w:tcPr>
          <w:p>
            <w:pPr>
              <w:spacing w:after="0"/>
              <w:rPr>
                <w:sz w:val="18"/>
                <w:szCs w:val="18"/>
                <w:color w:val="auto"/>
              </w:rPr>
            </w:pPr>
          </w:p>
        </w:tc>
        <w:tc>
          <w:tcPr>
            <w:tcW w:w="8600" w:type="dxa"/>
            <w:vAlign w:val="bottom"/>
          </w:tcPr>
          <w:p>
            <w:pPr>
              <w:ind w:left="120"/>
              <w:spacing w:after="0" w:line="216" w:lineRule="exact"/>
              <w:rPr>
                <w:sz w:val="20"/>
                <w:szCs w:val="20"/>
                <w:color w:val="auto"/>
              </w:rPr>
            </w:pPr>
            <w:r>
              <w:rPr>
                <w:rFonts w:ascii="Arial" w:cs="Arial" w:eastAsia="Arial" w:hAnsi="Arial"/>
                <w:sz w:val="20"/>
                <w:szCs w:val="20"/>
                <w:color w:val="3E3935"/>
                <w:w w:val="99"/>
              </w:rPr>
              <w:t>base, inventory turnover, liquidity, market share, net income, net income margin, operating cash</w:t>
            </w:r>
          </w:p>
        </w:tc>
      </w:tr>
      <w:tr>
        <w:trPr>
          <w:trHeight w:val="216"/>
        </w:trPr>
        <w:tc>
          <w:tcPr>
            <w:tcW w:w="2420" w:type="dxa"/>
            <w:vAlign w:val="bottom"/>
          </w:tcPr>
          <w:p>
            <w:pPr>
              <w:spacing w:after="0"/>
              <w:rPr>
                <w:sz w:val="18"/>
                <w:szCs w:val="18"/>
                <w:color w:val="auto"/>
              </w:rPr>
            </w:pPr>
          </w:p>
        </w:tc>
        <w:tc>
          <w:tcPr>
            <w:tcW w:w="8600" w:type="dxa"/>
            <w:vAlign w:val="bottom"/>
          </w:tcPr>
          <w:p>
            <w:pPr>
              <w:ind w:left="120"/>
              <w:spacing w:after="0" w:line="216" w:lineRule="exact"/>
              <w:rPr>
                <w:sz w:val="20"/>
                <w:szCs w:val="20"/>
                <w:color w:val="auto"/>
              </w:rPr>
            </w:pPr>
            <w:r>
              <w:rPr>
                <w:rFonts w:ascii="Arial" w:cs="Arial" w:eastAsia="Arial" w:hAnsi="Arial"/>
                <w:sz w:val="20"/>
                <w:szCs w:val="20"/>
                <w:color w:val="3E3935"/>
              </w:rPr>
              <w:t>flow, operating profit, operating profit margin, pre-tax income, productivity, profit margin, quality</w:t>
            </w:r>
          </w:p>
        </w:tc>
      </w:tr>
      <w:tr>
        <w:trPr>
          <w:trHeight w:val="216"/>
        </w:trPr>
        <w:tc>
          <w:tcPr>
            <w:tcW w:w="2420" w:type="dxa"/>
            <w:vAlign w:val="bottom"/>
          </w:tcPr>
          <w:p>
            <w:pPr>
              <w:spacing w:after="0"/>
              <w:rPr>
                <w:sz w:val="18"/>
                <w:szCs w:val="18"/>
                <w:color w:val="auto"/>
              </w:rPr>
            </w:pPr>
          </w:p>
        </w:tc>
        <w:tc>
          <w:tcPr>
            <w:tcW w:w="8600" w:type="dxa"/>
            <w:vAlign w:val="bottom"/>
          </w:tcPr>
          <w:p>
            <w:pPr>
              <w:ind w:left="120"/>
              <w:spacing w:after="0" w:line="216" w:lineRule="exact"/>
              <w:rPr>
                <w:sz w:val="20"/>
                <w:szCs w:val="20"/>
                <w:color w:val="auto"/>
              </w:rPr>
            </w:pPr>
            <w:r>
              <w:rPr>
                <w:rFonts w:ascii="Arial" w:cs="Arial" w:eastAsia="Arial" w:hAnsi="Arial"/>
                <w:sz w:val="20"/>
                <w:szCs w:val="20"/>
                <w:color w:val="3E3935"/>
              </w:rPr>
              <w:t>(internal or external measures), return on assets, return on net assets, return on capital, return</w:t>
            </w:r>
          </w:p>
        </w:tc>
      </w:tr>
      <w:tr>
        <w:trPr>
          <w:trHeight w:val="216"/>
        </w:trPr>
        <w:tc>
          <w:tcPr>
            <w:tcW w:w="2420" w:type="dxa"/>
            <w:vAlign w:val="bottom"/>
          </w:tcPr>
          <w:p>
            <w:pPr>
              <w:spacing w:after="0"/>
              <w:rPr>
                <w:sz w:val="18"/>
                <w:szCs w:val="18"/>
                <w:color w:val="auto"/>
              </w:rPr>
            </w:pPr>
          </w:p>
        </w:tc>
        <w:tc>
          <w:tcPr>
            <w:tcW w:w="8600" w:type="dxa"/>
            <w:vAlign w:val="bottom"/>
          </w:tcPr>
          <w:p>
            <w:pPr>
              <w:ind w:left="120"/>
              <w:spacing w:after="0" w:line="216" w:lineRule="exact"/>
              <w:rPr>
                <w:sz w:val="20"/>
                <w:szCs w:val="20"/>
                <w:color w:val="auto"/>
              </w:rPr>
            </w:pPr>
            <w:r>
              <w:rPr>
                <w:rFonts w:ascii="Arial" w:cs="Arial" w:eastAsia="Arial" w:hAnsi="Arial"/>
                <w:sz w:val="20"/>
                <w:szCs w:val="20"/>
                <w:color w:val="3E3935"/>
              </w:rPr>
              <w:t>on invested capital, return on equity, revenue, revenue growth, stockholder value, stock price,</w:t>
            </w:r>
          </w:p>
        </w:tc>
      </w:tr>
      <w:tr>
        <w:trPr>
          <w:trHeight w:val="216"/>
        </w:trPr>
        <w:tc>
          <w:tcPr>
            <w:tcW w:w="2420" w:type="dxa"/>
            <w:vAlign w:val="bottom"/>
          </w:tcPr>
          <w:p>
            <w:pPr>
              <w:spacing w:after="0"/>
              <w:rPr>
                <w:sz w:val="18"/>
                <w:szCs w:val="18"/>
                <w:color w:val="auto"/>
              </w:rPr>
            </w:pPr>
          </w:p>
        </w:tc>
        <w:tc>
          <w:tcPr>
            <w:tcW w:w="8600" w:type="dxa"/>
            <w:vAlign w:val="bottom"/>
          </w:tcPr>
          <w:p>
            <w:pPr>
              <w:ind w:left="120"/>
              <w:spacing w:after="0" w:line="216" w:lineRule="exact"/>
              <w:rPr>
                <w:sz w:val="20"/>
                <w:szCs w:val="20"/>
                <w:color w:val="auto"/>
              </w:rPr>
            </w:pPr>
            <w:r>
              <w:rPr>
                <w:rFonts w:ascii="Arial" w:cs="Arial" w:eastAsia="Arial" w:hAnsi="Arial"/>
                <w:sz w:val="20"/>
                <w:szCs w:val="20"/>
                <w:color w:val="3E3935"/>
              </w:rPr>
              <w:t>total shareholder return, warranty experience, and/or any other objective or subjective measure</w:t>
            </w:r>
          </w:p>
        </w:tc>
      </w:tr>
      <w:tr>
        <w:trPr>
          <w:trHeight w:val="261"/>
        </w:trPr>
        <w:tc>
          <w:tcPr>
            <w:tcW w:w="2420" w:type="dxa"/>
            <w:vAlign w:val="bottom"/>
          </w:tcPr>
          <w:p>
            <w:pPr>
              <w:spacing w:after="0"/>
              <w:rPr>
                <w:sz w:val="22"/>
                <w:szCs w:val="22"/>
                <w:color w:val="auto"/>
              </w:rPr>
            </w:pPr>
          </w:p>
        </w:tc>
        <w:tc>
          <w:tcPr>
            <w:tcW w:w="8600" w:type="dxa"/>
            <w:vAlign w:val="bottom"/>
          </w:tcPr>
          <w:p>
            <w:pPr>
              <w:ind w:left="120"/>
              <w:spacing w:after="0"/>
              <w:rPr>
                <w:sz w:val="20"/>
                <w:szCs w:val="20"/>
                <w:color w:val="auto"/>
              </w:rPr>
            </w:pPr>
            <w:r>
              <w:rPr>
                <w:rFonts w:ascii="Arial" w:cs="Arial" w:eastAsia="Arial" w:hAnsi="Arial"/>
                <w:sz w:val="20"/>
                <w:szCs w:val="20"/>
                <w:color w:val="3E3935"/>
              </w:rPr>
              <w:t>determined by the Compensation Committee in its sole discretion.</w:t>
            </w:r>
          </w:p>
        </w:tc>
      </w:tr>
      <w:tr>
        <w:trPr>
          <w:trHeight w:val="71"/>
        </w:trPr>
        <w:tc>
          <w:tcPr>
            <w:tcW w:w="2420" w:type="dxa"/>
            <w:vAlign w:val="bottom"/>
            <w:tcBorders>
              <w:bottom w:val="single" w:sz="8" w:color="3E3935"/>
            </w:tcBorders>
          </w:tcPr>
          <w:p>
            <w:pPr>
              <w:spacing w:after="0"/>
              <w:rPr>
                <w:sz w:val="6"/>
                <w:szCs w:val="6"/>
                <w:color w:val="auto"/>
              </w:rPr>
            </w:pPr>
          </w:p>
        </w:tc>
        <w:tc>
          <w:tcPr>
            <w:tcW w:w="8600" w:type="dxa"/>
            <w:vAlign w:val="bottom"/>
            <w:tcBorders>
              <w:bottom w:val="single" w:sz="8" w:color="3E3935"/>
            </w:tcBorders>
          </w:tcPr>
          <w:p>
            <w:pPr>
              <w:spacing w:after="0"/>
              <w:rPr>
                <w:sz w:val="6"/>
                <w:szCs w:val="6"/>
                <w:color w:val="auto"/>
              </w:rPr>
            </w:pPr>
          </w:p>
        </w:tc>
      </w:tr>
      <w:tr>
        <w:trPr>
          <w:trHeight w:val="255"/>
        </w:trPr>
        <w:tc>
          <w:tcPr>
            <w:tcW w:w="2420" w:type="dxa"/>
            <w:vAlign w:val="bottom"/>
          </w:tcPr>
          <w:p>
            <w:pPr>
              <w:ind w:left="80"/>
              <w:spacing w:after="0"/>
              <w:rPr>
                <w:sz w:val="20"/>
                <w:szCs w:val="20"/>
                <w:color w:val="auto"/>
              </w:rPr>
            </w:pPr>
            <w:r>
              <w:rPr>
                <w:rFonts w:ascii="Arial" w:cs="Arial" w:eastAsia="Arial" w:hAnsi="Arial"/>
                <w:sz w:val="20"/>
                <w:szCs w:val="20"/>
                <w:b w:val="1"/>
                <w:bCs w:val="1"/>
                <w:color w:val="3E3935"/>
              </w:rPr>
              <w:t>Adjustments</w:t>
            </w:r>
          </w:p>
        </w:tc>
        <w:tc>
          <w:tcPr>
            <w:tcW w:w="8600" w:type="dxa"/>
            <w:vAlign w:val="bottom"/>
          </w:tcPr>
          <w:p>
            <w:pPr>
              <w:ind w:left="120"/>
              <w:spacing w:after="0"/>
              <w:rPr>
                <w:sz w:val="20"/>
                <w:szCs w:val="20"/>
                <w:color w:val="auto"/>
              </w:rPr>
            </w:pPr>
            <w:r>
              <w:rPr>
                <w:rFonts w:ascii="Arial" w:cs="Arial" w:eastAsia="Arial" w:hAnsi="Arial"/>
                <w:sz w:val="20"/>
                <w:szCs w:val="20"/>
                <w:color w:val="3E3935"/>
              </w:rPr>
              <w:t>With respect to the applicable performance period, if the Compensation Committee determines</w:t>
            </w:r>
          </w:p>
        </w:tc>
      </w:tr>
      <w:tr>
        <w:trPr>
          <w:trHeight w:val="216"/>
        </w:trPr>
        <w:tc>
          <w:tcPr>
            <w:tcW w:w="2420" w:type="dxa"/>
            <w:vAlign w:val="bottom"/>
          </w:tcPr>
          <w:p>
            <w:pPr>
              <w:spacing w:after="0"/>
              <w:rPr>
                <w:sz w:val="18"/>
                <w:szCs w:val="18"/>
                <w:color w:val="auto"/>
              </w:rPr>
            </w:pPr>
          </w:p>
        </w:tc>
        <w:tc>
          <w:tcPr>
            <w:tcW w:w="8600" w:type="dxa"/>
            <w:vAlign w:val="bottom"/>
          </w:tcPr>
          <w:p>
            <w:pPr>
              <w:ind w:left="120"/>
              <w:spacing w:after="0" w:line="216" w:lineRule="exact"/>
              <w:rPr>
                <w:sz w:val="20"/>
                <w:szCs w:val="20"/>
                <w:color w:val="auto"/>
              </w:rPr>
            </w:pPr>
            <w:r>
              <w:rPr>
                <w:rFonts w:ascii="Arial" w:cs="Arial" w:eastAsia="Arial" w:hAnsi="Arial"/>
                <w:sz w:val="20"/>
                <w:szCs w:val="20"/>
                <w:color w:val="3E3935"/>
              </w:rPr>
              <w:t>that a change in the business, operations, corporate structure, or capital structure of the</w:t>
            </w:r>
          </w:p>
        </w:tc>
      </w:tr>
      <w:tr>
        <w:trPr>
          <w:trHeight w:val="216"/>
        </w:trPr>
        <w:tc>
          <w:tcPr>
            <w:tcW w:w="2420" w:type="dxa"/>
            <w:vAlign w:val="bottom"/>
          </w:tcPr>
          <w:p>
            <w:pPr>
              <w:spacing w:after="0"/>
              <w:rPr>
                <w:sz w:val="18"/>
                <w:szCs w:val="18"/>
                <w:color w:val="auto"/>
              </w:rPr>
            </w:pPr>
          </w:p>
        </w:tc>
        <w:tc>
          <w:tcPr>
            <w:tcW w:w="8600" w:type="dxa"/>
            <w:vAlign w:val="bottom"/>
          </w:tcPr>
          <w:p>
            <w:pPr>
              <w:ind w:left="120"/>
              <w:spacing w:after="0" w:line="216" w:lineRule="exact"/>
              <w:rPr>
                <w:sz w:val="20"/>
                <w:szCs w:val="20"/>
                <w:color w:val="auto"/>
              </w:rPr>
            </w:pPr>
            <w:r>
              <w:rPr>
                <w:rFonts w:ascii="Arial" w:cs="Arial" w:eastAsia="Arial" w:hAnsi="Arial"/>
                <w:sz w:val="20"/>
                <w:szCs w:val="20"/>
                <w:color w:val="3E3935"/>
              </w:rPr>
              <w:t>Company, or the manner in which it conducts its business, or other events or circumstances</w:t>
            </w:r>
          </w:p>
        </w:tc>
      </w:tr>
      <w:tr>
        <w:trPr>
          <w:trHeight w:val="216"/>
        </w:trPr>
        <w:tc>
          <w:tcPr>
            <w:tcW w:w="2420" w:type="dxa"/>
            <w:vAlign w:val="bottom"/>
          </w:tcPr>
          <w:p>
            <w:pPr>
              <w:spacing w:after="0"/>
              <w:rPr>
                <w:sz w:val="18"/>
                <w:szCs w:val="18"/>
                <w:color w:val="auto"/>
              </w:rPr>
            </w:pPr>
          </w:p>
        </w:tc>
        <w:tc>
          <w:tcPr>
            <w:tcW w:w="8600" w:type="dxa"/>
            <w:vAlign w:val="bottom"/>
          </w:tcPr>
          <w:p>
            <w:pPr>
              <w:ind w:left="120"/>
              <w:spacing w:after="0" w:line="216" w:lineRule="exact"/>
              <w:rPr>
                <w:sz w:val="20"/>
                <w:szCs w:val="20"/>
                <w:color w:val="auto"/>
              </w:rPr>
            </w:pPr>
            <w:r>
              <w:rPr>
                <w:rFonts w:ascii="Arial" w:cs="Arial" w:eastAsia="Arial" w:hAnsi="Arial"/>
                <w:sz w:val="20"/>
                <w:szCs w:val="20"/>
                <w:color w:val="3E3935"/>
              </w:rPr>
              <w:t>render the applicable performance measures unsuitable, the Compensation Committee may in</w:t>
            </w:r>
          </w:p>
        </w:tc>
      </w:tr>
      <w:tr>
        <w:trPr>
          <w:trHeight w:val="216"/>
        </w:trPr>
        <w:tc>
          <w:tcPr>
            <w:tcW w:w="2420" w:type="dxa"/>
            <w:vAlign w:val="bottom"/>
          </w:tcPr>
          <w:p>
            <w:pPr>
              <w:spacing w:after="0"/>
              <w:rPr>
                <w:sz w:val="18"/>
                <w:szCs w:val="18"/>
                <w:color w:val="auto"/>
              </w:rPr>
            </w:pPr>
          </w:p>
        </w:tc>
        <w:tc>
          <w:tcPr>
            <w:tcW w:w="8600" w:type="dxa"/>
            <w:vAlign w:val="bottom"/>
          </w:tcPr>
          <w:p>
            <w:pPr>
              <w:ind w:left="120"/>
              <w:spacing w:after="0" w:line="216" w:lineRule="exact"/>
              <w:rPr>
                <w:sz w:val="20"/>
                <w:szCs w:val="20"/>
                <w:color w:val="auto"/>
              </w:rPr>
            </w:pPr>
            <w:r>
              <w:rPr>
                <w:rFonts w:ascii="Arial" w:cs="Arial" w:eastAsia="Arial" w:hAnsi="Arial"/>
                <w:sz w:val="20"/>
                <w:szCs w:val="20"/>
                <w:color w:val="3E3935"/>
              </w:rPr>
              <w:t>its discretion modify such performance objectives or the related minimum acceptable level of</w:t>
            </w:r>
          </w:p>
        </w:tc>
      </w:tr>
      <w:tr>
        <w:trPr>
          <w:trHeight w:val="216"/>
        </w:trPr>
        <w:tc>
          <w:tcPr>
            <w:tcW w:w="2420" w:type="dxa"/>
            <w:vAlign w:val="bottom"/>
          </w:tcPr>
          <w:p>
            <w:pPr>
              <w:spacing w:after="0"/>
              <w:rPr>
                <w:sz w:val="18"/>
                <w:szCs w:val="18"/>
                <w:color w:val="auto"/>
              </w:rPr>
            </w:pPr>
          </w:p>
        </w:tc>
        <w:tc>
          <w:tcPr>
            <w:tcW w:w="8600" w:type="dxa"/>
            <w:vAlign w:val="bottom"/>
          </w:tcPr>
          <w:p>
            <w:pPr>
              <w:ind w:left="120"/>
              <w:spacing w:after="0" w:line="216" w:lineRule="exact"/>
              <w:rPr>
                <w:sz w:val="20"/>
                <w:szCs w:val="20"/>
                <w:color w:val="auto"/>
              </w:rPr>
            </w:pPr>
            <w:r>
              <w:rPr>
                <w:rFonts w:ascii="Arial" w:cs="Arial" w:eastAsia="Arial" w:hAnsi="Arial"/>
                <w:sz w:val="20"/>
                <w:szCs w:val="20"/>
                <w:color w:val="3E3935"/>
              </w:rPr>
              <w:t>achievement, in whole or part, as the Compensation Committee deems appropriate and</w:t>
            </w:r>
          </w:p>
        </w:tc>
      </w:tr>
      <w:tr>
        <w:trPr>
          <w:trHeight w:val="261"/>
        </w:trPr>
        <w:tc>
          <w:tcPr>
            <w:tcW w:w="2420" w:type="dxa"/>
            <w:vAlign w:val="bottom"/>
          </w:tcPr>
          <w:p>
            <w:pPr>
              <w:spacing w:after="0"/>
              <w:rPr>
                <w:sz w:val="22"/>
                <w:szCs w:val="22"/>
                <w:color w:val="auto"/>
              </w:rPr>
            </w:pPr>
          </w:p>
        </w:tc>
        <w:tc>
          <w:tcPr>
            <w:tcW w:w="8600" w:type="dxa"/>
            <w:vAlign w:val="bottom"/>
          </w:tcPr>
          <w:p>
            <w:pPr>
              <w:ind w:left="120"/>
              <w:spacing w:after="0"/>
              <w:rPr>
                <w:sz w:val="20"/>
                <w:szCs w:val="20"/>
                <w:color w:val="auto"/>
              </w:rPr>
            </w:pPr>
            <w:r>
              <w:rPr>
                <w:rFonts w:ascii="Arial" w:cs="Arial" w:eastAsia="Arial" w:hAnsi="Arial"/>
                <w:sz w:val="20"/>
                <w:szCs w:val="20"/>
                <w:color w:val="3E3935"/>
              </w:rPr>
              <w:t>equitable.</w:t>
            </w:r>
          </w:p>
        </w:tc>
      </w:tr>
      <w:tr>
        <w:trPr>
          <w:trHeight w:val="58"/>
        </w:trPr>
        <w:tc>
          <w:tcPr>
            <w:tcW w:w="2420" w:type="dxa"/>
            <w:vAlign w:val="bottom"/>
            <w:tcBorders>
              <w:bottom w:val="single" w:sz="8" w:color="3E3935"/>
            </w:tcBorders>
          </w:tcPr>
          <w:p>
            <w:pPr>
              <w:spacing w:after="0"/>
              <w:rPr>
                <w:sz w:val="5"/>
                <w:szCs w:val="5"/>
                <w:color w:val="auto"/>
              </w:rPr>
            </w:pPr>
          </w:p>
        </w:tc>
        <w:tc>
          <w:tcPr>
            <w:tcW w:w="8600" w:type="dxa"/>
            <w:vAlign w:val="bottom"/>
            <w:tcBorders>
              <w:bottom w:val="single" w:sz="8" w:color="3E3935"/>
            </w:tcBorders>
          </w:tcPr>
          <w:p>
            <w:pPr>
              <w:spacing w:after="0"/>
              <w:rPr>
                <w:sz w:val="5"/>
                <w:szCs w:val="5"/>
                <w:color w:val="auto"/>
              </w:rPr>
            </w:pPr>
          </w:p>
        </w:tc>
      </w:tr>
      <w:tr>
        <w:trPr>
          <w:trHeight w:val="253"/>
        </w:trPr>
        <w:tc>
          <w:tcPr>
            <w:tcW w:w="2420" w:type="dxa"/>
            <w:vAlign w:val="bottom"/>
          </w:tcPr>
          <w:p>
            <w:pPr>
              <w:ind w:left="80"/>
              <w:spacing w:after="0"/>
              <w:rPr>
                <w:sz w:val="20"/>
                <w:szCs w:val="20"/>
                <w:color w:val="auto"/>
              </w:rPr>
            </w:pPr>
            <w:r>
              <w:rPr>
                <w:rFonts w:ascii="Arial" w:cs="Arial" w:eastAsia="Arial" w:hAnsi="Arial"/>
                <w:sz w:val="20"/>
                <w:szCs w:val="20"/>
                <w:b w:val="1"/>
                <w:bCs w:val="1"/>
                <w:color w:val="3E3935"/>
              </w:rPr>
              <w:t>Dividend Equivalent</w:t>
            </w:r>
          </w:p>
        </w:tc>
        <w:tc>
          <w:tcPr>
            <w:tcW w:w="8600" w:type="dxa"/>
            <w:vAlign w:val="bottom"/>
          </w:tcPr>
          <w:p>
            <w:pPr>
              <w:ind w:left="120"/>
              <w:spacing w:after="0"/>
              <w:rPr>
                <w:sz w:val="20"/>
                <w:szCs w:val="20"/>
                <w:color w:val="auto"/>
              </w:rPr>
            </w:pPr>
            <w:r>
              <w:rPr>
                <w:rFonts w:ascii="Arial" w:cs="Arial" w:eastAsia="Arial" w:hAnsi="Arial"/>
                <w:sz w:val="20"/>
                <w:szCs w:val="20"/>
                <w:color w:val="3E3935"/>
              </w:rPr>
              <w:t>Restricted stock, RSUs, performance awards, and other stock-based awards will generally</w:t>
            </w:r>
          </w:p>
        </w:tc>
      </w:tr>
      <w:tr>
        <w:trPr>
          <w:trHeight w:val="218"/>
        </w:trPr>
        <w:tc>
          <w:tcPr>
            <w:tcW w:w="2420" w:type="dxa"/>
            <w:vAlign w:val="bottom"/>
          </w:tcPr>
          <w:p>
            <w:pPr>
              <w:ind w:left="80"/>
              <w:spacing w:after="0" w:line="218" w:lineRule="exact"/>
              <w:rPr>
                <w:sz w:val="20"/>
                <w:szCs w:val="20"/>
                <w:color w:val="auto"/>
              </w:rPr>
            </w:pPr>
            <w:r>
              <w:rPr>
                <w:rFonts w:ascii="Arial" w:cs="Arial" w:eastAsia="Arial" w:hAnsi="Arial"/>
                <w:sz w:val="20"/>
                <w:szCs w:val="20"/>
                <w:b w:val="1"/>
                <w:bCs w:val="1"/>
                <w:color w:val="3E3935"/>
              </w:rPr>
              <w:t>Rights</w:t>
            </w:r>
          </w:p>
        </w:tc>
        <w:tc>
          <w:tcPr>
            <w:tcW w:w="8600" w:type="dxa"/>
            <w:vAlign w:val="bottom"/>
          </w:tcPr>
          <w:p>
            <w:pPr>
              <w:ind w:left="120"/>
              <w:spacing w:after="0" w:line="218" w:lineRule="exact"/>
              <w:rPr>
                <w:sz w:val="20"/>
                <w:szCs w:val="20"/>
                <w:color w:val="auto"/>
              </w:rPr>
            </w:pPr>
            <w:r>
              <w:rPr>
                <w:rFonts w:ascii="Arial" w:cs="Arial" w:eastAsia="Arial" w:hAnsi="Arial"/>
                <w:sz w:val="20"/>
                <w:szCs w:val="20"/>
                <w:color w:val="3E3935"/>
              </w:rPr>
              <w:t>provide dividend equivalent rights, which will accrue and be paid upon vesting or settlement of</w:t>
            </w:r>
          </w:p>
        </w:tc>
      </w:tr>
      <w:tr>
        <w:trPr>
          <w:trHeight w:val="216"/>
        </w:trPr>
        <w:tc>
          <w:tcPr>
            <w:tcW w:w="2420" w:type="dxa"/>
            <w:vAlign w:val="bottom"/>
          </w:tcPr>
          <w:p>
            <w:pPr>
              <w:spacing w:after="0"/>
              <w:rPr>
                <w:sz w:val="18"/>
                <w:szCs w:val="18"/>
                <w:color w:val="auto"/>
              </w:rPr>
            </w:pPr>
          </w:p>
        </w:tc>
        <w:tc>
          <w:tcPr>
            <w:tcW w:w="8600" w:type="dxa"/>
            <w:vAlign w:val="bottom"/>
          </w:tcPr>
          <w:p>
            <w:pPr>
              <w:ind w:left="120"/>
              <w:spacing w:after="0" w:line="216" w:lineRule="exact"/>
              <w:rPr>
                <w:sz w:val="20"/>
                <w:szCs w:val="20"/>
                <w:color w:val="auto"/>
              </w:rPr>
            </w:pPr>
            <w:r>
              <w:rPr>
                <w:rFonts w:ascii="Arial" w:cs="Arial" w:eastAsia="Arial" w:hAnsi="Arial"/>
                <w:sz w:val="20"/>
                <w:szCs w:val="20"/>
                <w:color w:val="3E3935"/>
              </w:rPr>
              <w:t>awards, provided that no dividend payments will be made with respect to shares that are not</w:t>
            </w:r>
          </w:p>
        </w:tc>
      </w:tr>
      <w:tr>
        <w:trPr>
          <w:trHeight w:val="216"/>
        </w:trPr>
        <w:tc>
          <w:tcPr>
            <w:tcW w:w="2420" w:type="dxa"/>
            <w:vAlign w:val="bottom"/>
          </w:tcPr>
          <w:p>
            <w:pPr>
              <w:spacing w:after="0"/>
              <w:rPr>
                <w:sz w:val="18"/>
                <w:szCs w:val="18"/>
                <w:color w:val="auto"/>
              </w:rPr>
            </w:pPr>
          </w:p>
        </w:tc>
        <w:tc>
          <w:tcPr>
            <w:tcW w:w="8600" w:type="dxa"/>
            <w:vAlign w:val="bottom"/>
          </w:tcPr>
          <w:p>
            <w:pPr>
              <w:ind w:left="120"/>
              <w:spacing w:after="0" w:line="216" w:lineRule="exact"/>
              <w:rPr>
                <w:sz w:val="20"/>
                <w:szCs w:val="20"/>
                <w:color w:val="auto"/>
              </w:rPr>
            </w:pPr>
            <w:r>
              <w:rPr>
                <w:rFonts w:ascii="Arial" w:cs="Arial" w:eastAsia="Arial" w:hAnsi="Arial"/>
                <w:sz w:val="20"/>
                <w:szCs w:val="20"/>
                <w:color w:val="3E3935"/>
              </w:rPr>
              <w:t>ultimately earned and settled unless otherwise determined by the Compensation Committee.</w:t>
            </w:r>
          </w:p>
        </w:tc>
      </w:tr>
      <w:tr>
        <w:trPr>
          <w:trHeight w:val="216"/>
        </w:trPr>
        <w:tc>
          <w:tcPr>
            <w:tcW w:w="2420" w:type="dxa"/>
            <w:vAlign w:val="bottom"/>
          </w:tcPr>
          <w:p>
            <w:pPr>
              <w:spacing w:after="0"/>
              <w:rPr>
                <w:sz w:val="18"/>
                <w:szCs w:val="18"/>
                <w:color w:val="auto"/>
              </w:rPr>
            </w:pPr>
          </w:p>
        </w:tc>
        <w:tc>
          <w:tcPr>
            <w:tcW w:w="8600" w:type="dxa"/>
            <w:vAlign w:val="bottom"/>
          </w:tcPr>
          <w:p>
            <w:pPr>
              <w:ind w:left="120"/>
              <w:spacing w:after="0" w:line="216" w:lineRule="exact"/>
              <w:rPr>
                <w:sz w:val="20"/>
                <w:szCs w:val="20"/>
                <w:color w:val="auto"/>
              </w:rPr>
            </w:pPr>
            <w:r>
              <w:rPr>
                <w:rFonts w:ascii="Arial" w:cs="Arial" w:eastAsia="Arial" w:hAnsi="Arial"/>
                <w:sz w:val="20"/>
                <w:szCs w:val="20"/>
                <w:color w:val="3E3935"/>
              </w:rPr>
              <w:t>Stock options and SARs will not be eligible for dividend equivalent rights unless otherwise</w:t>
            </w:r>
          </w:p>
        </w:tc>
      </w:tr>
      <w:tr>
        <w:trPr>
          <w:trHeight w:val="261"/>
        </w:trPr>
        <w:tc>
          <w:tcPr>
            <w:tcW w:w="2420" w:type="dxa"/>
            <w:vAlign w:val="bottom"/>
          </w:tcPr>
          <w:p>
            <w:pPr>
              <w:spacing w:after="0"/>
              <w:rPr>
                <w:sz w:val="22"/>
                <w:szCs w:val="22"/>
                <w:color w:val="auto"/>
              </w:rPr>
            </w:pPr>
          </w:p>
        </w:tc>
        <w:tc>
          <w:tcPr>
            <w:tcW w:w="8600" w:type="dxa"/>
            <w:vAlign w:val="bottom"/>
          </w:tcPr>
          <w:p>
            <w:pPr>
              <w:ind w:left="120"/>
              <w:spacing w:after="0"/>
              <w:rPr>
                <w:sz w:val="20"/>
                <w:szCs w:val="20"/>
                <w:color w:val="auto"/>
              </w:rPr>
            </w:pPr>
            <w:r>
              <w:rPr>
                <w:rFonts w:ascii="Arial" w:cs="Arial" w:eastAsia="Arial" w:hAnsi="Arial"/>
                <w:sz w:val="20"/>
                <w:szCs w:val="20"/>
                <w:color w:val="3E3935"/>
              </w:rPr>
              <w:t>determined by the Compensation Committee.</w:t>
            </w:r>
          </w:p>
        </w:tc>
      </w:tr>
      <w:tr>
        <w:trPr>
          <w:trHeight w:val="57"/>
        </w:trPr>
        <w:tc>
          <w:tcPr>
            <w:tcW w:w="2420" w:type="dxa"/>
            <w:vAlign w:val="bottom"/>
            <w:tcBorders>
              <w:bottom w:val="single" w:sz="8" w:color="3E3935"/>
            </w:tcBorders>
          </w:tcPr>
          <w:p>
            <w:pPr>
              <w:spacing w:after="0"/>
              <w:rPr>
                <w:sz w:val="5"/>
                <w:szCs w:val="5"/>
                <w:color w:val="auto"/>
              </w:rPr>
            </w:pPr>
          </w:p>
        </w:tc>
        <w:tc>
          <w:tcPr>
            <w:tcW w:w="8600" w:type="dxa"/>
            <w:vAlign w:val="bottom"/>
            <w:tcBorders>
              <w:bottom w:val="single" w:sz="8" w:color="3E3935"/>
            </w:tcBorders>
          </w:tcPr>
          <w:p>
            <w:pPr>
              <w:spacing w:after="0"/>
              <w:rPr>
                <w:sz w:val="5"/>
                <w:szCs w:val="5"/>
                <w:color w:val="auto"/>
              </w:rPr>
            </w:pPr>
          </w:p>
        </w:tc>
      </w:tr>
      <w:tr>
        <w:trPr>
          <w:trHeight w:val="253"/>
        </w:trPr>
        <w:tc>
          <w:tcPr>
            <w:tcW w:w="2420" w:type="dxa"/>
            <w:vAlign w:val="bottom"/>
          </w:tcPr>
          <w:p>
            <w:pPr>
              <w:ind w:left="80"/>
              <w:spacing w:after="0"/>
              <w:rPr>
                <w:sz w:val="20"/>
                <w:szCs w:val="20"/>
                <w:color w:val="auto"/>
              </w:rPr>
            </w:pPr>
            <w:r>
              <w:rPr>
                <w:rFonts w:ascii="Arial" w:cs="Arial" w:eastAsia="Arial" w:hAnsi="Arial"/>
                <w:sz w:val="20"/>
                <w:szCs w:val="20"/>
                <w:b w:val="1"/>
                <w:bCs w:val="1"/>
                <w:color w:val="3E3935"/>
              </w:rPr>
              <w:t>Minimum Vesting</w:t>
            </w:r>
          </w:p>
        </w:tc>
        <w:tc>
          <w:tcPr>
            <w:tcW w:w="8600" w:type="dxa"/>
            <w:vAlign w:val="bottom"/>
          </w:tcPr>
          <w:p>
            <w:pPr>
              <w:ind w:left="120"/>
              <w:spacing w:after="0"/>
              <w:rPr>
                <w:sz w:val="20"/>
                <w:szCs w:val="20"/>
                <w:color w:val="auto"/>
              </w:rPr>
            </w:pPr>
            <w:r>
              <w:rPr>
                <w:rFonts w:ascii="Arial" w:cs="Arial" w:eastAsia="Arial" w:hAnsi="Arial"/>
                <w:sz w:val="20"/>
                <w:szCs w:val="20"/>
                <w:i w:val="1"/>
                <w:iCs w:val="1"/>
                <w:color w:val="3E3935"/>
              </w:rPr>
              <w:t>Stock options and SARs</w:t>
            </w:r>
            <w:r>
              <w:rPr>
                <w:rFonts w:ascii="Arial" w:cs="Arial" w:eastAsia="Arial" w:hAnsi="Arial"/>
                <w:sz w:val="20"/>
                <w:szCs w:val="20"/>
                <w:color w:val="3E3935"/>
              </w:rPr>
              <w:t>: In general, no portion of an award is intended to vest prior to the first</w:t>
            </w:r>
          </w:p>
        </w:tc>
      </w:tr>
      <w:tr>
        <w:trPr>
          <w:trHeight w:val="218"/>
        </w:trPr>
        <w:tc>
          <w:tcPr>
            <w:tcW w:w="2420" w:type="dxa"/>
            <w:vAlign w:val="bottom"/>
          </w:tcPr>
          <w:p>
            <w:pPr>
              <w:ind w:left="80"/>
              <w:spacing w:after="0" w:line="218" w:lineRule="exact"/>
              <w:rPr>
                <w:sz w:val="20"/>
                <w:szCs w:val="20"/>
                <w:color w:val="auto"/>
              </w:rPr>
            </w:pPr>
            <w:r>
              <w:rPr>
                <w:rFonts w:ascii="Arial" w:cs="Arial" w:eastAsia="Arial" w:hAnsi="Arial"/>
                <w:sz w:val="20"/>
                <w:szCs w:val="20"/>
                <w:b w:val="1"/>
                <w:bCs w:val="1"/>
                <w:color w:val="3E3935"/>
              </w:rPr>
              <w:t>Period</w:t>
            </w:r>
          </w:p>
        </w:tc>
        <w:tc>
          <w:tcPr>
            <w:tcW w:w="8600" w:type="dxa"/>
            <w:vAlign w:val="bottom"/>
          </w:tcPr>
          <w:p>
            <w:pPr>
              <w:ind w:left="120"/>
              <w:spacing w:after="0" w:line="218" w:lineRule="exact"/>
              <w:rPr>
                <w:sz w:val="20"/>
                <w:szCs w:val="20"/>
                <w:color w:val="auto"/>
              </w:rPr>
            </w:pPr>
            <w:r>
              <w:rPr>
                <w:rFonts w:ascii="Arial" w:cs="Arial" w:eastAsia="Arial" w:hAnsi="Arial"/>
                <w:sz w:val="20"/>
                <w:szCs w:val="20"/>
                <w:color w:val="3E3935"/>
              </w:rPr>
              <w:t>anniversary of the vesting commencement date; however, the Compensation Committee may</w:t>
            </w:r>
          </w:p>
        </w:tc>
      </w:tr>
      <w:tr>
        <w:trPr>
          <w:trHeight w:val="261"/>
        </w:trPr>
        <w:tc>
          <w:tcPr>
            <w:tcW w:w="2420" w:type="dxa"/>
            <w:vAlign w:val="bottom"/>
          </w:tcPr>
          <w:p>
            <w:pPr>
              <w:spacing w:after="0"/>
              <w:rPr>
                <w:sz w:val="22"/>
                <w:szCs w:val="22"/>
                <w:color w:val="auto"/>
              </w:rPr>
            </w:pPr>
          </w:p>
        </w:tc>
        <w:tc>
          <w:tcPr>
            <w:tcW w:w="8600" w:type="dxa"/>
            <w:vAlign w:val="bottom"/>
          </w:tcPr>
          <w:p>
            <w:pPr>
              <w:ind w:left="120"/>
              <w:spacing w:after="0"/>
              <w:rPr>
                <w:sz w:val="20"/>
                <w:szCs w:val="20"/>
                <w:color w:val="auto"/>
              </w:rPr>
            </w:pPr>
            <w:r>
              <w:rPr>
                <w:rFonts w:ascii="Arial" w:cs="Arial" w:eastAsia="Arial" w:hAnsi="Arial"/>
                <w:sz w:val="20"/>
                <w:szCs w:val="20"/>
                <w:color w:val="3E3935"/>
              </w:rPr>
              <w:t>provide for shorter vesting if appropriate under the circumstances.</w:t>
            </w:r>
          </w:p>
        </w:tc>
      </w:tr>
      <w:tr>
        <w:trPr>
          <w:trHeight w:val="333"/>
        </w:trPr>
        <w:tc>
          <w:tcPr>
            <w:tcW w:w="2420" w:type="dxa"/>
            <w:vAlign w:val="bottom"/>
          </w:tcPr>
          <w:p>
            <w:pPr>
              <w:spacing w:after="0"/>
              <w:rPr>
                <w:sz w:val="24"/>
                <w:szCs w:val="24"/>
                <w:color w:val="auto"/>
              </w:rPr>
            </w:pPr>
          </w:p>
        </w:tc>
        <w:tc>
          <w:tcPr>
            <w:tcW w:w="8600" w:type="dxa"/>
            <w:vAlign w:val="bottom"/>
          </w:tcPr>
          <w:p>
            <w:pPr>
              <w:ind w:left="120"/>
              <w:spacing w:after="0"/>
              <w:rPr>
                <w:sz w:val="20"/>
                <w:szCs w:val="20"/>
                <w:color w:val="auto"/>
              </w:rPr>
            </w:pPr>
            <w:r>
              <w:rPr>
                <w:rFonts w:ascii="Arial" w:cs="Arial" w:eastAsia="Arial" w:hAnsi="Arial"/>
                <w:sz w:val="20"/>
                <w:szCs w:val="20"/>
                <w:i w:val="1"/>
                <w:iCs w:val="1"/>
                <w:color w:val="3E3935"/>
                <w:w w:val="99"/>
              </w:rPr>
              <w:t>Restricted Stock, RSUs, and Performance Awards</w:t>
            </w:r>
            <w:r>
              <w:rPr>
                <w:rFonts w:ascii="Arial" w:cs="Arial" w:eastAsia="Arial" w:hAnsi="Arial"/>
                <w:sz w:val="20"/>
                <w:szCs w:val="20"/>
                <w:color w:val="3E3935"/>
                <w:w w:val="99"/>
              </w:rPr>
              <w:t>: Awards will generally vest in whole or in part</w:t>
            </w:r>
          </w:p>
        </w:tc>
      </w:tr>
      <w:tr>
        <w:trPr>
          <w:trHeight w:val="216"/>
        </w:trPr>
        <w:tc>
          <w:tcPr>
            <w:tcW w:w="2420" w:type="dxa"/>
            <w:vAlign w:val="bottom"/>
          </w:tcPr>
          <w:p>
            <w:pPr>
              <w:spacing w:after="0"/>
              <w:rPr>
                <w:sz w:val="18"/>
                <w:szCs w:val="18"/>
                <w:color w:val="auto"/>
              </w:rPr>
            </w:pPr>
          </w:p>
        </w:tc>
        <w:tc>
          <w:tcPr>
            <w:tcW w:w="8600" w:type="dxa"/>
            <w:vAlign w:val="bottom"/>
          </w:tcPr>
          <w:p>
            <w:pPr>
              <w:ind w:left="120"/>
              <w:spacing w:after="0" w:line="216" w:lineRule="exact"/>
              <w:rPr>
                <w:sz w:val="20"/>
                <w:szCs w:val="20"/>
                <w:color w:val="auto"/>
              </w:rPr>
            </w:pPr>
            <w:r>
              <w:rPr>
                <w:rFonts w:ascii="Arial" w:cs="Arial" w:eastAsia="Arial" w:hAnsi="Arial"/>
                <w:sz w:val="20"/>
                <w:szCs w:val="20"/>
                <w:color w:val="3E3935"/>
              </w:rPr>
              <w:t>over a period of not less than three years from the vesting commencement date; however, the</w:t>
            </w:r>
          </w:p>
        </w:tc>
      </w:tr>
      <w:tr>
        <w:trPr>
          <w:trHeight w:val="216"/>
        </w:trPr>
        <w:tc>
          <w:tcPr>
            <w:tcW w:w="2420" w:type="dxa"/>
            <w:vAlign w:val="bottom"/>
          </w:tcPr>
          <w:p>
            <w:pPr>
              <w:spacing w:after="0"/>
              <w:rPr>
                <w:sz w:val="18"/>
                <w:szCs w:val="18"/>
                <w:color w:val="auto"/>
              </w:rPr>
            </w:pPr>
          </w:p>
        </w:tc>
        <w:tc>
          <w:tcPr>
            <w:tcW w:w="8600" w:type="dxa"/>
            <w:vAlign w:val="bottom"/>
          </w:tcPr>
          <w:p>
            <w:pPr>
              <w:ind w:left="120"/>
              <w:spacing w:after="0" w:line="216" w:lineRule="exact"/>
              <w:rPr>
                <w:sz w:val="20"/>
                <w:szCs w:val="20"/>
                <w:color w:val="auto"/>
              </w:rPr>
            </w:pPr>
            <w:r>
              <w:rPr>
                <w:rFonts w:ascii="Arial" w:cs="Arial" w:eastAsia="Arial" w:hAnsi="Arial"/>
                <w:sz w:val="20"/>
                <w:szCs w:val="20"/>
                <w:color w:val="3E3935"/>
              </w:rPr>
              <w:t>Compensation  Committee  may  provide  for  shorter  vesting  if  appropriate  under  the</w:t>
            </w:r>
          </w:p>
        </w:tc>
      </w:tr>
      <w:tr>
        <w:trPr>
          <w:trHeight w:val="261"/>
        </w:trPr>
        <w:tc>
          <w:tcPr>
            <w:tcW w:w="2420" w:type="dxa"/>
            <w:vAlign w:val="bottom"/>
          </w:tcPr>
          <w:p>
            <w:pPr>
              <w:spacing w:after="0"/>
              <w:rPr>
                <w:sz w:val="22"/>
                <w:szCs w:val="22"/>
                <w:color w:val="auto"/>
              </w:rPr>
            </w:pPr>
          </w:p>
        </w:tc>
        <w:tc>
          <w:tcPr>
            <w:tcW w:w="8600" w:type="dxa"/>
            <w:vAlign w:val="bottom"/>
          </w:tcPr>
          <w:p>
            <w:pPr>
              <w:ind w:left="120"/>
              <w:spacing w:after="0"/>
              <w:rPr>
                <w:sz w:val="20"/>
                <w:szCs w:val="20"/>
                <w:color w:val="auto"/>
              </w:rPr>
            </w:pPr>
            <w:r>
              <w:rPr>
                <w:rFonts w:ascii="Arial" w:cs="Arial" w:eastAsia="Arial" w:hAnsi="Arial"/>
                <w:sz w:val="20"/>
                <w:szCs w:val="20"/>
                <w:color w:val="3E3935"/>
              </w:rPr>
              <w:t>circumstances.</w:t>
            </w:r>
          </w:p>
        </w:tc>
      </w:tr>
      <w:tr>
        <w:trPr>
          <w:trHeight w:val="71"/>
        </w:trPr>
        <w:tc>
          <w:tcPr>
            <w:tcW w:w="2420" w:type="dxa"/>
            <w:vAlign w:val="bottom"/>
            <w:tcBorders>
              <w:bottom w:val="single" w:sz="8" w:color="3E3935"/>
            </w:tcBorders>
          </w:tcPr>
          <w:p>
            <w:pPr>
              <w:spacing w:after="0"/>
              <w:rPr>
                <w:sz w:val="6"/>
                <w:szCs w:val="6"/>
                <w:color w:val="auto"/>
              </w:rPr>
            </w:pPr>
          </w:p>
        </w:tc>
        <w:tc>
          <w:tcPr>
            <w:tcW w:w="8600" w:type="dxa"/>
            <w:vAlign w:val="bottom"/>
            <w:tcBorders>
              <w:bottom w:val="single" w:sz="8" w:color="3E3935"/>
            </w:tcBorders>
          </w:tcPr>
          <w:p>
            <w:pPr>
              <w:spacing w:after="0"/>
              <w:rPr>
                <w:sz w:val="6"/>
                <w:szCs w:val="6"/>
                <w:color w:val="auto"/>
              </w:rPr>
            </w:pPr>
          </w:p>
        </w:tc>
      </w:tr>
      <w:tr>
        <w:trPr>
          <w:trHeight w:val="253"/>
        </w:trPr>
        <w:tc>
          <w:tcPr>
            <w:tcW w:w="2420" w:type="dxa"/>
            <w:vAlign w:val="bottom"/>
          </w:tcPr>
          <w:p>
            <w:pPr>
              <w:ind w:left="80"/>
              <w:spacing w:after="0"/>
              <w:rPr>
                <w:sz w:val="20"/>
                <w:szCs w:val="20"/>
                <w:color w:val="auto"/>
              </w:rPr>
            </w:pPr>
            <w:r>
              <w:rPr>
                <w:rFonts w:ascii="Arial" w:cs="Arial" w:eastAsia="Arial" w:hAnsi="Arial"/>
                <w:sz w:val="20"/>
                <w:szCs w:val="20"/>
                <w:b w:val="1"/>
                <w:bCs w:val="1"/>
                <w:color w:val="3E3935"/>
              </w:rPr>
              <w:t>Effect of Termination of</w:t>
            </w:r>
          </w:p>
        </w:tc>
        <w:tc>
          <w:tcPr>
            <w:tcW w:w="8600" w:type="dxa"/>
            <w:vAlign w:val="bottom"/>
          </w:tcPr>
          <w:p>
            <w:pPr>
              <w:ind w:left="120"/>
              <w:spacing w:after="0"/>
              <w:rPr>
                <w:sz w:val="20"/>
                <w:szCs w:val="20"/>
                <w:color w:val="auto"/>
              </w:rPr>
            </w:pPr>
            <w:r>
              <w:rPr>
                <w:rFonts w:ascii="Arial" w:cs="Arial" w:eastAsia="Arial" w:hAnsi="Arial"/>
                <w:sz w:val="20"/>
                <w:szCs w:val="20"/>
                <w:color w:val="3E3935"/>
              </w:rPr>
              <w:t>Except as otherwise provided for in an award agreement, or as the Compensation Committee</w:t>
            </w:r>
          </w:p>
        </w:tc>
      </w:tr>
      <w:tr>
        <w:trPr>
          <w:trHeight w:val="218"/>
        </w:trPr>
        <w:tc>
          <w:tcPr>
            <w:tcW w:w="2420" w:type="dxa"/>
            <w:vAlign w:val="bottom"/>
          </w:tcPr>
          <w:p>
            <w:pPr>
              <w:ind w:left="80"/>
              <w:spacing w:after="0" w:line="218" w:lineRule="exact"/>
              <w:rPr>
                <w:sz w:val="20"/>
                <w:szCs w:val="20"/>
                <w:color w:val="auto"/>
              </w:rPr>
            </w:pPr>
            <w:r>
              <w:rPr>
                <w:rFonts w:ascii="Arial" w:cs="Arial" w:eastAsia="Arial" w:hAnsi="Arial"/>
                <w:sz w:val="20"/>
                <w:szCs w:val="20"/>
                <w:b w:val="1"/>
                <w:bCs w:val="1"/>
                <w:color w:val="3E3935"/>
              </w:rPr>
              <w:t>Service</w:t>
            </w:r>
          </w:p>
        </w:tc>
        <w:tc>
          <w:tcPr>
            <w:tcW w:w="8600" w:type="dxa"/>
            <w:vAlign w:val="bottom"/>
          </w:tcPr>
          <w:p>
            <w:pPr>
              <w:ind w:left="120"/>
              <w:spacing w:after="0" w:line="218" w:lineRule="exact"/>
              <w:rPr>
                <w:sz w:val="20"/>
                <w:szCs w:val="20"/>
                <w:color w:val="auto"/>
              </w:rPr>
            </w:pPr>
            <w:r>
              <w:rPr>
                <w:rFonts w:ascii="Arial" w:cs="Arial" w:eastAsia="Arial" w:hAnsi="Arial"/>
                <w:sz w:val="20"/>
                <w:szCs w:val="20"/>
                <w:color w:val="3E3935"/>
              </w:rPr>
              <w:t>may determine in any individual case, a participant’s outstanding awards will be treated as set</w:t>
            </w:r>
          </w:p>
        </w:tc>
      </w:tr>
      <w:tr>
        <w:trPr>
          <w:trHeight w:val="261"/>
        </w:trPr>
        <w:tc>
          <w:tcPr>
            <w:tcW w:w="2420" w:type="dxa"/>
            <w:vAlign w:val="bottom"/>
          </w:tcPr>
          <w:p>
            <w:pPr>
              <w:spacing w:after="0"/>
              <w:rPr>
                <w:sz w:val="22"/>
                <w:szCs w:val="22"/>
                <w:color w:val="auto"/>
              </w:rPr>
            </w:pPr>
          </w:p>
        </w:tc>
        <w:tc>
          <w:tcPr>
            <w:tcW w:w="8600" w:type="dxa"/>
            <w:vAlign w:val="bottom"/>
          </w:tcPr>
          <w:p>
            <w:pPr>
              <w:ind w:left="120"/>
              <w:spacing w:after="0"/>
              <w:rPr>
                <w:sz w:val="20"/>
                <w:szCs w:val="20"/>
                <w:color w:val="auto"/>
              </w:rPr>
            </w:pPr>
            <w:r>
              <w:rPr>
                <w:rFonts w:ascii="Arial" w:cs="Arial" w:eastAsia="Arial" w:hAnsi="Arial"/>
                <w:sz w:val="20"/>
                <w:szCs w:val="20"/>
                <w:color w:val="3E3935"/>
              </w:rPr>
              <w:t>forth below upon his or her termination of service:</w:t>
            </w:r>
          </w:p>
        </w:tc>
      </w:tr>
      <w:tr>
        <w:trPr>
          <w:trHeight w:val="378"/>
        </w:trPr>
        <w:tc>
          <w:tcPr>
            <w:tcW w:w="2420" w:type="dxa"/>
            <w:vAlign w:val="bottom"/>
          </w:tcPr>
          <w:p>
            <w:pPr>
              <w:spacing w:after="0"/>
              <w:rPr>
                <w:sz w:val="24"/>
                <w:szCs w:val="24"/>
                <w:color w:val="auto"/>
              </w:rPr>
            </w:pPr>
          </w:p>
        </w:tc>
        <w:tc>
          <w:tcPr>
            <w:tcW w:w="8600" w:type="dxa"/>
            <w:vAlign w:val="bottom"/>
          </w:tcPr>
          <w:p>
            <w:pPr>
              <w:ind w:left="120"/>
              <w:spacing w:after="0"/>
              <w:rPr>
                <w:sz w:val="20"/>
                <w:szCs w:val="20"/>
                <w:color w:val="auto"/>
              </w:rPr>
            </w:pPr>
            <w:r>
              <w:rPr>
                <w:rFonts w:ascii="Arial" w:cs="Arial" w:eastAsia="Arial" w:hAnsi="Arial"/>
                <w:sz w:val="20"/>
                <w:szCs w:val="20"/>
                <w:color w:val="3E3935"/>
              </w:rPr>
              <w:t>Death:</w:t>
            </w:r>
          </w:p>
        </w:tc>
      </w:tr>
      <w:tr>
        <w:trPr>
          <w:trHeight w:val="292"/>
        </w:trPr>
        <w:tc>
          <w:tcPr>
            <w:tcW w:w="2420" w:type="dxa"/>
            <w:vAlign w:val="bottom"/>
          </w:tcPr>
          <w:p>
            <w:pPr>
              <w:spacing w:after="0"/>
              <w:rPr>
                <w:sz w:val="24"/>
                <w:szCs w:val="24"/>
                <w:color w:val="auto"/>
              </w:rPr>
            </w:pPr>
          </w:p>
        </w:tc>
        <w:tc>
          <w:tcPr>
            <w:tcW w:w="8600" w:type="dxa"/>
            <w:vAlign w:val="bottom"/>
          </w:tcPr>
          <w:p>
            <w:pPr>
              <w:ind w:left="120"/>
              <w:spacing w:after="0"/>
              <w:rPr>
                <w:sz w:val="20"/>
                <w:szCs w:val="20"/>
                <w:color w:val="auto"/>
              </w:rPr>
            </w:pPr>
            <w:r>
              <w:rPr>
                <w:rFonts w:ascii="Arial" w:cs="Arial" w:eastAsia="Arial" w:hAnsi="Arial"/>
                <w:sz w:val="18"/>
                <w:szCs w:val="18"/>
                <w:color w:val="00C1DE"/>
              </w:rPr>
              <w:t>•</w:t>
            </w:r>
            <w:r>
              <w:rPr>
                <w:rFonts w:ascii="Arial" w:cs="Arial" w:eastAsia="Arial" w:hAnsi="Arial"/>
                <w:sz w:val="19"/>
                <w:szCs w:val="19"/>
                <w:color w:val="3E3935"/>
              </w:rPr>
              <w:t xml:space="preserve">   Stock options and SARs immediately vest and remain exercisable until the earlier of three</w:t>
            </w:r>
          </w:p>
        </w:tc>
      </w:tr>
      <w:tr>
        <w:trPr>
          <w:trHeight w:val="261"/>
        </w:trPr>
        <w:tc>
          <w:tcPr>
            <w:tcW w:w="2420" w:type="dxa"/>
            <w:vAlign w:val="bottom"/>
          </w:tcPr>
          <w:p>
            <w:pPr>
              <w:spacing w:after="0"/>
              <w:rPr>
                <w:sz w:val="22"/>
                <w:szCs w:val="22"/>
                <w:color w:val="auto"/>
              </w:rPr>
            </w:pPr>
          </w:p>
        </w:tc>
        <w:tc>
          <w:tcPr>
            <w:tcW w:w="8600" w:type="dxa"/>
            <w:vAlign w:val="bottom"/>
          </w:tcPr>
          <w:p>
            <w:pPr>
              <w:ind w:left="320"/>
              <w:spacing w:after="0"/>
              <w:rPr>
                <w:sz w:val="20"/>
                <w:szCs w:val="20"/>
                <w:color w:val="auto"/>
              </w:rPr>
            </w:pPr>
            <w:r>
              <w:rPr>
                <w:rFonts w:ascii="Arial" w:cs="Arial" w:eastAsia="Arial" w:hAnsi="Arial"/>
                <w:sz w:val="20"/>
                <w:szCs w:val="20"/>
                <w:color w:val="3E3935"/>
              </w:rPr>
              <w:t>years after death or the original expiration date.</w:t>
            </w:r>
          </w:p>
        </w:tc>
      </w:tr>
      <w:tr>
        <w:trPr>
          <w:trHeight w:val="297"/>
        </w:trPr>
        <w:tc>
          <w:tcPr>
            <w:tcW w:w="2420" w:type="dxa"/>
            <w:vAlign w:val="bottom"/>
          </w:tcPr>
          <w:p>
            <w:pPr>
              <w:spacing w:after="0"/>
              <w:rPr>
                <w:sz w:val="24"/>
                <w:szCs w:val="24"/>
                <w:color w:val="auto"/>
              </w:rPr>
            </w:pPr>
          </w:p>
        </w:tc>
        <w:tc>
          <w:tcPr>
            <w:tcW w:w="8600" w:type="dxa"/>
            <w:vAlign w:val="bottom"/>
          </w:tcPr>
          <w:p>
            <w:pPr>
              <w:ind w:left="120"/>
              <w:spacing w:after="0"/>
              <w:rPr>
                <w:sz w:val="20"/>
                <w:szCs w:val="20"/>
                <w:color w:val="auto"/>
              </w:rPr>
            </w:pPr>
            <w:r>
              <w:rPr>
                <w:rFonts w:ascii="Arial" w:cs="Arial" w:eastAsia="Arial" w:hAnsi="Arial"/>
                <w:sz w:val="18"/>
                <w:szCs w:val="18"/>
                <w:color w:val="00C1DE"/>
              </w:rPr>
              <w:t>•</w:t>
            </w:r>
            <w:r>
              <w:rPr>
                <w:rFonts w:ascii="Arial" w:cs="Arial" w:eastAsia="Arial" w:hAnsi="Arial"/>
                <w:sz w:val="19"/>
                <w:szCs w:val="19"/>
                <w:color w:val="3E3935"/>
              </w:rPr>
              <w:t xml:space="preserve">   Restricted stock and RSUs vest and are settled within 90 days after death.</w:t>
            </w:r>
          </w:p>
        </w:tc>
      </w:tr>
      <w:tr>
        <w:trPr>
          <w:trHeight w:val="252"/>
        </w:trPr>
        <w:tc>
          <w:tcPr>
            <w:tcW w:w="2420" w:type="dxa"/>
            <w:vAlign w:val="bottom"/>
          </w:tcPr>
          <w:p>
            <w:pPr>
              <w:spacing w:after="0"/>
              <w:rPr>
                <w:sz w:val="21"/>
                <w:szCs w:val="21"/>
                <w:color w:val="auto"/>
              </w:rPr>
            </w:pPr>
          </w:p>
        </w:tc>
        <w:tc>
          <w:tcPr>
            <w:tcW w:w="8600" w:type="dxa"/>
            <w:vAlign w:val="bottom"/>
          </w:tcPr>
          <w:p>
            <w:pPr>
              <w:ind w:left="120"/>
              <w:spacing w:after="0"/>
              <w:rPr>
                <w:sz w:val="20"/>
                <w:szCs w:val="20"/>
                <w:color w:val="auto"/>
              </w:rPr>
            </w:pPr>
            <w:r>
              <w:rPr>
                <w:rFonts w:ascii="Arial" w:cs="Arial" w:eastAsia="Arial" w:hAnsi="Arial"/>
                <w:sz w:val="18"/>
                <w:szCs w:val="18"/>
                <w:color w:val="00C1DE"/>
              </w:rPr>
              <w:t>•</w:t>
            </w:r>
            <w:r>
              <w:rPr>
                <w:rFonts w:ascii="Arial" w:cs="Arial" w:eastAsia="Arial" w:hAnsi="Arial"/>
                <w:sz w:val="19"/>
                <w:szCs w:val="19"/>
                <w:color w:val="3E3935"/>
              </w:rPr>
              <w:t xml:space="preserve">   Performance awards will have any service-based vesting waived, will be earned based upon</w:t>
            </w:r>
          </w:p>
        </w:tc>
      </w:tr>
      <w:tr>
        <w:trPr>
          <w:trHeight w:val="216"/>
        </w:trPr>
        <w:tc>
          <w:tcPr>
            <w:tcW w:w="2420" w:type="dxa"/>
            <w:vAlign w:val="bottom"/>
          </w:tcPr>
          <w:p>
            <w:pPr>
              <w:spacing w:after="0"/>
              <w:rPr>
                <w:sz w:val="18"/>
                <w:szCs w:val="18"/>
                <w:color w:val="auto"/>
              </w:rPr>
            </w:pPr>
          </w:p>
        </w:tc>
        <w:tc>
          <w:tcPr>
            <w:tcW w:w="8600" w:type="dxa"/>
            <w:vAlign w:val="bottom"/>
          </w:tcPr>
          <w:p>
            <w:pPr>
              <w:ind w:left="320"/>
              <w:spacing w:after="0" w:line="216" w:lineRule="exact"/>
              <w:rPr>
                <w:sz w:val="20"/>
                <w:szCs w:val="20"/>
                <w:color w:val="auto"/>
              </w:rPr>
            </w:pPr>
            <w:r>
              <w:rPr>
                <w:rFonts w:ascii="Arial" w:cs="Arial" w:eastAsia="Arial" w:hAnsi="Arial"/>
                <w:sz w:val="20"/>
                <w:szCs w:val="20"/>
                <w:color w:val="3E3935"/>
              </w:rPr>
              <w:t>the achievement of the applicable performance conditions, and will be paid or settled on the</w:t>
            </w:r>
          </w:p>
        </w:tc>
      </w:tr>
      <w:tr>
        <w:trPr>
          <w:trHeight w:val="261"/>
        </w:trPr>
        <w:tc>
          <w:tcPr>
            <w:tcW w:w="2420" w:type="dxa"/>
            <w:vAlign w:val="bottom"/>
          </w:tcPr>
          <w:p>
            <w:pPr>
              <w:spacing w:after="0"/>
              <w:rPr>
                <w:sz w:val="22"/>
                <w:szCs w:val="22"/>
                <w:color w:val="auto"/>
              </w:rPr>
            </w:pPr>
          </w:p>
        </w:tc>
        <w:tc>
          <w:tcPr>
            <w:tcW w:w="8600" w:type="dxa"/>
            <w:vAlign w:val="bottom"/>
          </w:tcPr>
          <w:p>
            <w:pPr>
              <w:ind w:left="320"/>
              <w:spacing w:after="0"/>
              <w:rPr>
                <w:sz w:val="20"/>
                <w:szCs w:val="20"/>
                <w:color w:val="auto"/>
              </w:rPr>
            </w:pPr>
            <w:r>
              <w:rPr>
                <w:rFonts w:ascii="Arial" w:cs="Arial" w:eastAsia="Arial" w:hAnsi="Arial"/>
                <w:sz w:val="20"/>
                <w:szCs w:val="20"/>
                <w:color w:val="3E3935"/>
              </w:rPr>
              <w:t>scheduled settlement date(s).</w:t>
            </w:r>
          </w:p>
        </w:tc>
      </w:tr>
      <w:tr>
        <w:trPr>
          <w:trHeight w:val="482"/>
        </w:trPr>
        <w:tc>
          <w:tcPr>
            <w:tcW w:w="2420" w:type="dxa"/>
            <w:vAlign w:val="bottom"/>
          </w:tcPr>
          <w:p>
            <w:pPr>
              <w:spacing w:after="0"/>
              <w:rPr>
                <w:sz w:val="24"/>
                <w:szCs w:val="24"/>
                <w:color w:val="auto"/>
              </w:rPr>
            </w:pPr>
          </w:p>
        </w:tc>
        <w:tc>
          <w:tcPr>
            <w:tcW w:w="8600" w:type="dxa"/>
            <w:vAlign w:val="bottom"/>
          </w:tcPr>
          <w:p>
            <w:pPr>
              <w:ind w:left="8120"/>
              <w:spacing w:after="0"/>
              <w:rPr>
                <w:sz w:val="20"/>
                <w:szCs w:val="20"/>
                <w:color w:val="auto"/>
              </w:rPr>
            </w:pPr>
            <w:r>
              <w:rPr>
                <w:rFonts w:ascii="Arial" w:cs="Arial" w:eastAsia="Arial" w:hAnsi="Arial"/>
                <w:sz w:val="14"/>
                <w:szCs w:val="14"/>
                <w:color w:val="0071CE"/>
              </w:rPr>
              <w:t>93</w:t>
            </w:r>
          </w:p>
        </w:tc>
      </w:tr>
    </w:tbl>
    <w:p>
      <w:pPr>
        <w:sectPr>
          <w:pgSz w:w="11900" w:h="16838" w:orient="portrait"/>
          <w:cols w:equalWidth="0" w:num="1">
            <w:col w:w="11140"/>
          </w:cols>
          <w:pgMar w:left="320" w:top="482" w:right="43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208280</wp:posOffset>
            </wp:positionV>
            <wp:extent cx="6995160" cy="825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65" w:lineRule="exact"/>
        <w:rPr>
          <w:sz w:val="20"/>
          <w:szCs w:val="20"/>
          <w:color w:val="auto"/>
        </w:rPr>
      </w:pPr>
    </w:p>
    <w:tbl>
      <w:tblPr>
        <w:tblLayout w:type="fixed"/>
        <w:tblInd w:w="120" w:type="dxa"/>
        <w:tblCellMar>
          <w:top w:w="0" w:type="dxa"/>
          <w:left w:w="0" w:type="dxa"/>
          <w:bottom w:w="0" w:type="dxa"/>
          <w:right w:w="0" w:type="dxa"/>
        </w:tblCellMar>
      </w:tblPr>
      <w:tr>
        <w:trPr>
          <w:trHeight w:val="273"/>
        </w:trPr>
        <w:tc>
          <w:tcPr>
            <w:tcW w:w="2160" w:type="dxa"/>
            <w:vAlign w:val="bottom"/>
          </w:tcPr>
          <w:p>
            <w:pPr>
              <w:ind w:left="100"/>
              <w:spacing w:after="0"/>
              <w:rPr>
                <w:sz w:val="20"/>
                <w:szCs w:val="20"/>
                <w:color w:val="auto"/>
              </w:rPr>
            </w:pPr>
            <w:r>
              <w:rPr>
                <w:rFonts w:ascii="Arial" w:cs="Arial" w:eastAsia="Arial" w:hAnsi="Arial"/>
                <w:sz w:val="20"/>
                <w:szCs w:val="20"/>
                <w:b w:val="1"/>
                <w:bCs w:val="1"/>
                <w:color w:val="00C1DE"/>
              </w:rPr>
              <w:t>Key Provisions</w:t>
            </w:r>
          </w:p>
        </w:tc>
        <w:tc>
          <w:tcPr>
            <w:tcW w:w="8860" w:type="dxa"/>
            <w:vAlign w:val="bottom"/>
          </w:tcPr>
          <w:p>
            <w:pPr>
              <w:ind w:left="380"/>
              <w:spacing w:after="0"/>
              <w:rPr>
                <w:sz w:val="20"/>
                <w:szCs w:val="20"/>
                <w:color w:val="auto"/>
              </w:rPr>
            </w:pPr>
            <w:r>
              <w:rPr>
                <w:rFonts w:ascii="Arial" w:cs="Arial" w:eastAsia="Arial" w:hAnsi="Arial"/>
                <w:sz w:val="20"/>
                <w:szCs w:val="20"/>
                <w:b w:val="1"/>
                <w:bCs w:val="1"/>
                <w:color w:val="00C1DE"/>
              </w:rPr>
              <w:t>Description</w:t>
            </w:r>
          </w:p>
        </w:tc>
      </w:tr>
      <w:tr>
        <w:trPr>
          <w:trHeight w:val="48"/>
        </w:trPr>
        <w:tc>
          <w:tcPr>
            <w:tcW w:w="2160" w:type="dxa"/>
            <w:vAlign w:val="bottom"/>
            <w:tcBorders>
              <w:bottom w:val="single" w:sz="8" w:color="00C1DE"/>
            </w:tcBorders>
          </w:tcPr>
          <w:p>
            <w:pPr>
              <w:spacing w:after="0"/>
              <w:rPr>
                <w:sz w:val="4"/>
                <w:szCs w:val="4"/>
                <w:color w:val="auto"/>
              </w:rPr>
            </w:pPr>
          </w:p>
        </w:tc>
        <w:tc>
          <w:tcPr>
            <w:tcW w:w="8860" w:type="dxa"/>
            <w:vAlign w:val="bottom"/>
            <w:tcBorders>
              <w:bottom w:val="single" w:sz="8" w:color="00C1DE"/>
            </w:tcBorders>
          </w:tcPr>
          <w:p>
            <w:pPr>
              <w:spacing w:after="0"/>
              <w:rPr>
                <w:sz w:val="4"/>
                <w:szCs w:val="4"/>
                <w:color w:val="auto"/>
              </w:rPr>
            </w:pPr>
          </w:p>
        </w:tc>
      </w:tr>
      <w:tr>
        <w:trPr>
          <w:trHeight w:val="300"/>
        </w:trPr>
        <w:tc>
          <w:tcPr>
            <w:tcW w:w="2160" w:type="dxa"/>
            <w:vAlign w:val="bottom"/>
          </w:tcPr>
          <w:p>
            <w:pPr>
              <w:spacing w:after="0"/>
              <w:rPr>
                <w:sz w:val="24"/>
                <w:szCs w:val="24"/>
                <w:color w:val="auto"/>
              </w:rPr>
            </w:pPr>
          </w:p>
        </w:tc>
        <w:tc>
          <w:tcPr>
            <w:tcW w:w="8860" w:type="dxa"/>
            <w:vAlign w:val="bottom"/>
          </w:tcPr>
          <w:p>
            <w:pPr>
              <w:ind w:left="380"/>
              <w:spacing w:after="0"/>
              <w:rPr>
                <w:sz w:val="20"/>
                <w:szCs w:val="20"/>
                <w:color w:val="auto"/>
              </w:rPr>
            </w:pPr>
            <w:r>
              <w:rPr>
                <w:rFonts w:ascii="Arial" w:cs="Arial" w:eastAsia="Arial" w:hAnsi="Arial"/>
                <w:sz w:val="20"/>
                <w:szCs w:val="20"/>
                <w:color w:val="3E3935"/>
              </w:rPr>
              <w:t>Disability:</w:t>
            </w:r>
          </w:p>
        </w:tc>
      </w:tr>
      <w:tr>
        <w:trPr>
          <w:trHeight w:val="292"/>
        </w:trPr>
        <w:tc>
          <w:tcPr>
            <w:tcW w:w="2160" w:type="dxa"/>
            <w:vAlign w:val="bottom"/>
          </w:tcPr>
          <w:p>
            <w:pPr>
              <w:spacing w:after="0"/>
              <w:rPr>
                <w:sz w:val="24"/>
                <w:szCs w:val="24"/>
                <w:color w:val="auto"/>
              </w:rPr>
            </w:pPr>
          </w:p>
        </w:tc>
        <w:tc>
          <w:tcPr>
            <w:tcW w:w="8860" w:type="dxa"/>
            <w:vAlign w:val="bottom"/>
          </w:tcPr>
          <w:p>
            <w:pPr>
              <w:ind w:left="380"/>
              <w:spacing w:after="0"/>
              <w:rPr>
                <w:sz w:val="20"/>
                <w:szCs w:val="20"/>
                <w:color w:val="auto"/>
              </w:rPr>
            </w:pPr>
            <w:r>
              <w:rPr>
                <w:rFonts w:ascii="Arial" w:cs="Arial" w:eastAsia="Arial" w:hAnsi="Arial"/>
                <w:sz w:val="18"/>
                <w:szCs w:val="18"/>
                <w:color w:val="00C1DE"/>
              </w:rPr>
              <w:t>•</w:t>
            </w:r>
            <w:r>
              <w:rPr>
                <w:rFonts w:ascii="Arial" w:cs="Arial" w:eastAsia="Arial" w:hAnsi="Arial"/>
                <w:sz w:val="19"/>
                <w:szCs w:val="19"/>
                <w:color w:val="3E3935"/>
              </w:rPr>
              <w:t xml:space="preserve">   Stock options and SARs continue to vest and become exercisable in accordance with the</w:t>
            </w:r>
          </w:p>
        </w:tc>
      </w:tr>
      <w:tr>
        <w:trPr>
          <w:trHeight w:val="261"/>
        </w:trPr>
        <w:tc>
          <w:tcPr>
            <w:tcW w:w="2160" w:type="dxa"/>
            <w:vAlign w:val="bottom"/>
          </w:tcPr>
          <w:p>
            <w:pPr>
              <w:spacing w:after="0"/>
              <w:rPr>
                <w:sz w:val="22"/>
                <w:szCs w:val="22"/>
                <w:color w:val="auto"/>
              </w:rPr>
            </w:pPr>
          </w:p>
        </w:tc>
        <w:tc>
          <w:tcPr>
            <w:tcW w:w="8860" w:type="dxa"/>
            <w:vAlign w:val="bottom"/>
          </w:tcPr>
          <w:p>
            <w:pPr>
              <w:ind w:left="580"/>
              <w:spacing w:after="0"/>
              <w:rPr>
                <w:sz w:val="20"/>
                <w:szCs w:val="20"/>
                <w:color w:val="auto"/>
              </w:rPr>
            </w:pPr>
            <w:r>
              <w:rPr>
                <w:rFonts w:ascii="Arial" w:cs="Arial" w:eastAsia="Arial" w:hAnsi="Arial"/>
                <w:sz w:val="20"/>
                <w:szCs w:val="20"/>
                <w:color w:val="3E3935"/>
              </w:rPr>
              <w:t>vesting schedule and remain exercisable until the original expiration date.</w:t>
            </w:r>
          </w:p>
        </w:tc>
      </w:tr>
      <w:tr>
        <w:trPr>
          <w:trHeight w:val="297"/>
        </w:trPr>
        <w:tc>
          <w:tcPr>
            <w:tcW w:w="2160" w:type="dxa"/>
            <w:vAlign w:val="bottom"/>
          </w:tcPr>
          <w:p>
            <w:pPr>
              <w:spacing w:after="0"/>
              <w:rPr>
                <w:sz w:val="24"/>
                <w:szCs w:val="24"/>
                <w:color w:val="auto"/>
              </w:rPr>
            </w:pPr>
          </w:p>
        </w:tc>
        <w:tc>
          <w:tcPr>
            <w:tcW w:w="8860" w:type="dxa"/>
            <w:vAlign w:val="bottom"/>
          </w:tcPr>
          <w:p>
            <w:pPr>
              <w:ind w:left="380"/>
              <w:spacing w:after="0"/>
              <w:rPr>
                <w:sz w:val="20"/>
                <w:szCs w:val="20"/>
                <w:color w:val="auto"/>
              </w:rPr>
            </w:pPr>
            <w:r>
              <w:rPr>
                <w:rFonts w:ascii="Arial" w:cs="Arial" w:eastAsia="Arial" w:hAnsi="Arial"/>
                <w:sz w:val="18"/>
                <w:szCs w:val="18"/>
                <w:color w:val="00C1DE"/>
              </w:rPr>
              <w:t>•</w:t>
            </w:r>
            <w:r>
              <w:rPr>
                <w:rFonts w:ascii="Arial" w:cs="Arial" w:eastAsia="Arial" w:hAnsi="Arial"/>
                <w:sz w:val="19"/>
                <w:szCs w:val="19"/>
                <w:color w:val="3E3935"/>
              </w:rPr>
              <w:t xml:space="preserve">   Restricted stock and RSUs continue to vest and settle on the scheduled settlement date(s).</w:t>
            </w:r>
          </w:p>
        </w:tc>
      </w:tr>
      <w:tr>
        <w:trPr>
          <w:trHeight w:val="252"/>
        </w:trPr>
        <w:tc>
          <w:tcPr>
            <w:tcW w:w="2160" w:type="dxa"/>
            <w:vAlign w:val="bottom"/>
          </w:tcPr>
          <w:p>
            <w:pPr>
              <w:spacing w:after="0"/>
              <w:rPr>
                <w:sz w:val="21"/>
                <w:szCs w:val="21"/>
                <w:color w:val="auto"/>
              </w:rPr>
            </w:pPr>
          </w:p>
        </w:tc>
        <w:tc>
          <w:tcPr>
            <w:tcW w:w="8860" w:type="dxa"/>
            <w:vAlign w:val="bottom"/>
          </w:tcPr>
          <w:p>
            <w:pPr>
              <w:ind w:left="380"/>
              <w:spacing w:after="0"/>
              <w:rPr>
                <w:sz w:val="20"/>
                <w:szCs w:val="20"/>
                <w:color w:val="auto"/>
              </w:rPr>
            </w:pPr>
            <w:r>
              <w:rPr>
                <w:rFonts w:ascii="Arial" w:cs="Arial" w:eastAsia="Arial" w:hAnsi="Arial"/>
                <w:sz w:val="18"/>
                <w:szCs w:val="18"/>
                <w:color w:val="00C1DE"/>
              </w:rPr>
              <w:t>•</w:t>
            </w:r>
            <w:r>
              <w:rPr>
                <w:rFonts w:ascii="Arial" w:cs="Arial" w:eastAsia="Arial" w:hAnsi="Arial"/>
                <w:sz w:val="19"/>
                <w:szCs w:val="19"/>
                <w:color w:val="3E3935"/>
              </w:rPr>
              <w:t xml:space="preserve">   Performance awards will have any service-based vesting waived, will be earned based upon</w:t>
            </w:r>
          </w:p>
        </w:tc>
      </w:tr>
      <w:tr>
        <w:trPr>
          <w:trHeight w:val="216"/>
        </w:trPr>
        <w:tc>
          <w:tcPr>
            <w:tcW w:w="2160" w:type="dxa"/>
            <w:vAlign w:val="bottom"/>
          </w:tcPr>
          <w:p>
            <w:pPr>
              <w:spacing w:after="0"/>
              <w:rPr>
                <w:sz w:val="18"/>
                <w:szCs w:val="18"/>
                <w:color w:val="auto"/>
              </w:rPr>
            </w:pPr>
          </w:p>
        </w:tc>
        <w:tc>
          <w:tcPr>
            <w:tcW w:w="8860" w:type="dxa"/>
            <w:vAlign w:val="bottom"/>
          </w:tcPr>
          <w:p>
            <w:pPr>
              <w:ind w:left="580"/>
              <w:spacing w:after="0" w:line="216" w:lineRule="exact"/>
              <w:rPr>
                <w:sz w:val="20"/>
                <w:szCs w:val="20"/>
                <w:color w:val="auto"/>
              </w:rPr>
            </w:pPr>
            <w:r>
              <w:rPr>
                <w:rFonts w:ascii="Arial" w:cs="Arial" w:eastAsia="Arial" w:hAnsi="Arial"/>
                <w:sz w:val="20"/>
                <w:szCs w:val="20"/>
                <w:color w:val="3E3935"/>
              </w:rPr>
              <w:t>the achievement of the applicable performance conditions, and will be paid or settled on the</w:t>
            </w:r>
          </w:p>
        </w:tc>
      </w:tr>
      <w:tr>
        <w:trPr>
          <w:trHeight w:val="261"/>
        </w:trPr>
        <w:tc>
          <w:tcPr>
            <w:tcW w:w="2160" w:type="dxa"/>
            <w:vAlign w:val="bottom"/>
          </w:tcPr>
          <w:p>
            <w:pPr>
              <w:spacing w:after="0"/>
              <w:rPr>
                <w:sz w:val="22"/>
                <w:szCs w:val="22"/>
                <w:color w:val="auto"/>
              </w:rPr>
            </w:pPr>
          </w:p>
        </w:tc>
        <w:tc>
          <w:tcPr>
            <w:tcW w:w="8860" w:type="dxa"/>
            <w:vAlign w:val="bottom"/>
          </w:tcPr>
          <w:p>
            <w:pPr>
              <w:ind w:left="580"/>
              <w:spacing w:after="0"/>
              <w:rPr>
                <w:sz w:val="20"/>
                <w:szCs w:val="20"/>
                <w:color w:val="auto"/>
              </w:rPr>
            </w:pPr>
            <w:r>
              <w:rPr>
                <w:rFonts w:ascii="Arial" w:cs="Arial" w:eastAsia="Arial" w:hAnsi="Arial"/>
                <w:sz w:val="20"/>
                <w:szCs w:val="20"/>
                <w:color w:val="3E3935"/>
              </w:rPr>
              <w:t>scheduled settlement date(s).</w:t>
            </w:r>
          </w:p>
        </w:tc>
      </w:tr>
      <w:tr>
        <w:trPr>
          <w:trHeight w:val="333"/>
        </w:trPr>
        <w:tc>
          <w:tcPr>
            <w:tcW w:w="2160" w:type="dxa"/>
            <w:vAlign w:val="bottom"/>
          </w:tcPr>
          <w:p>
            <w:pPr>
              <w:spacing w:after="0"/>
              <w:rPr>
                <w:sz w:val="24"/>
                <w:szCs w:val="24"/>
                <w:color w:val="auto"/>
              </w:rPr>
            </w:pPr>
          </w:p>
        </w:tc>
        <w:tc>
          <w:tcPr>
            <w:tcW w:w="8860" w:type="dxa"/>
            <w:vAlign w:val="bottom"/>
          </w:tcPr>
          <w:p>
            <w:pPr>
              <w:ind w:left="380"/>
              <w:spacing w:after="0"/>
              <w:rPr>
                <w:sz w:val="20"/>
                <w:szCs w:val="20"/>
                <w:color w:val="auto"/>
              </w:rPr>
            </w:pPr>
            <w:r>
              <w:rPr>
                <w:rFonts w:ascii="Arial" w:cs="Arial" w:eastAsia="Arial" w:hAnsi="Arial"/>
                <w:sz w:val="20"/>
                <w:szCs w:val="20"/>
                <w:color w:val="3E3935"/>
              </w:rPr>
              <w:t>Full Career Status Termination (age 55 or older with ten or more years of continuous service or</w:t>
            </w:r>
          </w:p>
        </w:tc>
      </w:tr>
      <w:tr>
        <w:trPr>
          <w:trHeight w:val="261"/>
        </w:trPr>
        <w:tc>
          <w:tcPr>
            <w:tcW w:w="2160" w:type="dxa"/>
            <w:vAlign w:val="bottom"/>
          </w:tcPr>
          <w:p>
            <w:pPr>
              <w:spacing w:after="0"/>
              <w:rPr>
                <w:sz w:val="22"/>
                <w:szCs w:val="22"/>
                <w:color w:val="auto"/>
              </w:rPr>
            </w:pPr>
          </w:p>
        </w:tc>
        <w:tc>
          <w:tcPr>
            <w:tcW w:w="8860" w:type="dxa"/>
            <w:vAlign w:val="bottom"/>
          </w:tcPr>
          <w:p>
            <w:pPr>
              <w:ind w:left="380"/>
              <w:spacing w:after="0"/>
              <w:rPr>
                <w:sz w:val="20"/>
                <w:szCs w:val="20"/>
                <w:color w:val="auto"/>
              </w:rPr>
            </w:pPr>
            <w:r>
              <w:rPr>
                <w:rFonts w:ascii="Arial" w:cs="Arial" w:eastAsia="Arial" w:hAnsi="Arial"/>
                <w:sz w:val="20"/>
                <w:szCs w:val="20"/>
                <w:color w:val="3E3935"/>
              </w:rPr>
              <w:t>age 62 or older):</w:t>
            </w:r>
          </w:p>
        </w:tc>
      </w:tr>
      <w:tr>
        <w:trPr>
          <w:trHeight w:val="292"/>
        </w:trPr>
        <w:tc>
          <w:tcPr>
            <w:tcW w:w="2160" w:type="dxa"/>
            <w:vAlign w:val="bottom"/>
          </w:tcPr>
          <w:p>
            <w:pPr>
              <w:spacing w:after="0"/>
              <w:rPr>
                <w:sz w:val="24"/>
                <w:szCs w:val="24"/>
                <w:color w:val="auto"/>
              </w:rPr>
            </w:pPr>
          </w:p>
        </w:tc>
        <w:tc>
          <w:tcPr>
            <w:tcW w:w="8860" w:type="dxa"/>
            <w:vAlign w:val="bottom"/>
          </w:tcPr>
          <w:p>
            <w:pPr>
              <w:ind w:left="380"/>
              <w:spacing w:after="0"/>
              <w:rPr>
                <w:sz w:val="20"/>
                <w:szCs w:val="20"/>
                <w:color w:val="auto"/>
              </w:rPr>
            </w:pPr>
            <w:r>
              <w:rPr>
                <w:rFonts w:ascii="Arial" w:cs="Arial" w:eastAsia="Arial" w:hAnsi="Arial"/>
                <w:sz w:val="18"/>
                <w:szCs w:val="18"/>
                <w:color w:val="00C1DE"/>
              </w:rPr>
              <w:t>•</w:t>
            </w:r>
            <w:r>
              <w:rPr>
                <w:rFonts w:ascii="Arial" w:cs="Arial" w:eastAsia="Arial" w:hAnsi="Arial"/>
                <w:sz w:val="19"/>
                <w:szCs w:val="19"/>
                <w:color w:val="3E3935"/>
              </w:rPr>
              <w:t xml:space="preserve">   Stock options and SARs continue to vest and become exercisable in accordance with the</w:t>
            </w:r>
          </w:p>
        </w:tc>
      </w:tr>
      <w:tr>
        <w:trPr>
          <w:trHeight w:val="216"/>
        </w:trPr>
        <w:tc>
          <w:tcPr>
            <w:tcW w:w="2160" w:type="dxa"/>
            <w:vAlign w:val="bottom"/>
          </w:tcPr>
          <w:p>
            <w:pPr>
              <w:spacing w:after="0"/>
              <w:rPr>
                <w:sz w:val="18"/>
                <w:szCs w:val="18"/>
                <w:color w:val="auto"/>
              </w:rPr>
            </w:pPr>
          </w:p>
        </w:tc>
        <w:tc>
          <w:tcPr>
            <w:tcW w:w="8860" w:type="dxa"/>
            <w:vAlign w:val="bottom"/>
          </w:tcPr>
          <w:p>
            <w:pPr>
              <w:ind w:left="580"/>
              <w:spacing w:after="0" w:line="216" w:lineRule="exact"/>
              <w:rPr>
                <w:sz w:val="20"/>
                <w:szCs w:val="20"/>
                <w:color w:val="auto"/>
              </w:rPr>
            </w:pPr>
            <w:r>
              <w:rPr>
                <w:rFonts w:ascii="Arial" w:cs="Arial" w:eastAsia="Arial" w:hAnsi="Arial"/>
                <w:sz w:val="20"/>
                <w:szCs w:val="20"/>
                <w:color w:val="3E3935"/>
              </w:rPr>
              <w:t>vesting schedule and remain exercisable until the original expiration date; provided that the</w:t>
            </w:r>
          </w:p>
        </w:tc>
      </w:tr>
      <w:tr>
        <w:trPr>
          <w:trHeight w:val="216"/>
        </w:trPr>
        <w:tc>
          <w:tcPr>
            <w:tcW w:w="2160" w:type="dxa"/>
            <w:vAlign w:val="bottom"/>
          </w:tcPr>
          <w:p>
            <w:pPr>
              <w:spacing w:after="0"/>
              <w:rPr>
                <w:sz w:val="18"/>
                <w:szCs w:val="18"/>
                <w:color w:val="auto"/>
              </w:rPr>
            </w:pPr>
          </w:p>
        </w:tc>
        <w:tc>
          <w:tcPr>
            <w:tcW w:w="8860" w:type="dxa"/>
            <w:vAlign w:val="bottom"/>
          </w:tcPr>
          <w:p>
            <w:pPr>
              <w:ind w:left="580"/>
              <w:spacing w:after="0" w:line="216" w:lineRule="exact"/>
              <w:rPr>
                <w:sz w:val="20"/>
                <w:szCs w:val="20"/>
                <w:color w:val="auto"/>
              </w:rPr>
            </w:pPr>
            <w:r>
              <w:rPr>
                <w:rFonts w:ascii="Arial" w:cs="Arial" w:eastAsia="Arial" w:hAnsi="Arial"/>
                <w:sz w:val="20"/>
                <w:szCs w:val="20"/>
                <w:color w:val="3E3935"/>
              </w:rPr>
              <w:t>amount of the award will be prorated if termination occurs prior to the one-year anniversary of</w:t>
            </w:r>
          </w:p>
        </w:tc>
      </w:tr>
      <w:tr>
        <w:trPr>
          <w:trHeight w:val="261"/>
        </w:trPr>
        <w:tc>
          <w:tcPr>
            <w:tcW w:w="2160" w:type="dxa"/>
            <w:vAlign w:val="bottom"/>
          </w:tcPr>
          <w:p>
            <w:pPr>
              <w:spacing w:after="0"/>
              <w:rPr>
                <w:sz w:val="22"/>
                <w:szCs w:val="22"/>
                <w:color w:val="auto"/>
              </w:rPr>
            </w:pPr>
          </w:p>
        </w:tc>
        <w:tc>
          <w:tcPr>
            <w:tcW w:w="8860" w:type="dxa"/>
            <w:vAlign w:val="bottom"/>
          </w:tcPr>
          <w:p>
            <w:pPr>
              <w:ind w:left="580"/>
              <w:spacing w:after="0"/>
              <w:rPr>
                <w:sz w:val="20"/>
                <w:szCs w:val="20"/>
                <w:color w:val="auto"/>
              </w:rPr>
            </w:pPr>
            <w:r>
              <w:rPr>
                <w:rFonts w:ascii="Arial" w:cs="Arial" w:eastAsia="Arial" w:hAnsi="Arial"/>
                <w:sz w:val="20"/>
                <w:szCs w:val="20"/>
                <w:color w:val="3E3935"/>
              </w:rPr>
              <w:t>the grant.</w:t>
            </w:r>
          </w:p>
        </w:tc>
      </w:tr>
      <w:tr>
        <w:trPr>
          <w:trHeight w:val="252"/>
        </w:trPr>
        <w:tc>
          <w:tcPr>
            <w:tcW w:w="2160" w:type="dxa"/>
            <w:vAlign w:val="bottom"/>
          </w:tcPr>
          <w:p>
            <w:pPr>
              <w:spacing w:after="0"/>
              <w:rPr>
                <w:sz w:val="21"/>
                <w:szCs w:val="21"/>
                <w:color w:val="auto"/>
              </w:rPr>
            </w:pPr>
          </w:p>
        </w:tc>
        <w:tc>
          <w:tcPr>
            <w:tcW w:w="8860" w:type="dxa"/>
            <w:vAlign w:val="bottom"/>
          </w:tcPr>
          <w:p>
            <w:pPr>
              <w:ind w:left="380"/>
              <w:spacing w:after="0"/>
              <w:rPr>
                <w:sz w:val="20"/>
                <w:szCs w:val="20"/>
                <w:color w:val="auto"/>
              </w:rPr>
            </w:pPr>
            <w:r>
              <w:rPr>
                <w:rFonts w:ascii="Arial" w:cs="Arial" w:eastAsia="Arial" w:hAnsi="Arial"/>
                <w:sz w:val="18"/>
                <w:szCs w:val="18"/>
                <w:color w:val="00C1DE"/>
              </w:rPr>
              <w:t>•</w:t>
            </w:r>
            <w:r>
              <w:rPr>
                <w:rFonts w:ascii="Arial" w:cs="Arial" w:eastAsia="Arial" w:hAnsi="Arial"/>
                <w:sz w:val="19"/>
                <w:szCs w:val="19"/>
                <w:color w:val="3E3935"/>
              </w:rPr>
              <w:t xml:space="preserve">   Restricted stock and RSUs continue to vest and settle on the scheduled settlement date(s);</w:t>
            </w:r>
          </w:p>
        </w:tc>
      </w:tr>
      <w:tr>
        <w:trPr>
          <w:trHeight w:val="216"/>
        </w:trPr>
        <w:tc>
          <w:tcPr>
            <w:tcW w:w="2160" w:type="dxa"/>
            <w:vAlign w:val="bottom"/>
          </w:tcPr>
          <w:p>
            <w:pPr>
              <w:spacing w:after="0"/>
              <w:rPr>
                <w:sz w:val="18"/>
                <w:szCs w:val="18"/>
                <w:color w:val="auto"/>
              </w:rPr>
            </w:pPr>
          </w:p>
        </w:tc>
        <w:tc>
          <w:tcPr>
            <w:tcW w:w="8860" w:type="dxa"/>
            <w:vAlign w:val="bottom"/>
          </w:tcPr>
          <w:p>
            <w:pPr>
              <w:ind w:left="580"/>
              <w:spacing w:after="0" w:line="216" w:lineRule="exact"/>
              <w:rPr>
                <w:sz w:val="20"/>
                <w:szCs w:val="20"/>
                <w:color w:val="auto"/>
              </w:rPr>
            </w:pPr>
            <w:r>
              <w:rPr>
                <w:rFonts w:ascii="Arial" w:cs="Arial" w:eastAsia="Arial" w:hAnsi="Arial"/>
                <w:sz w:val="20"/>
                <w:szCs w:val="20"/>
                <w:color w:val="3E3935"/>
              </w:rPr>
              <w:t>provided that the amount of the award will be prorated if termination occurs prior to the</w:t>
            </w:r>
          </w:p>
        </w:tc>
      </w:tr>
      <w:tr>
        <w:trPr>
          <w:trHeight w:val="261"/>
        </w:trPr>
        <w:tc>
          <w:tcPr>
            <w:tcW w:w="2160" w:type="dxa"/>
            <w:vAlign w:val="bottom"/>
          </w:tcPr>
          <w:p>
            <w:pPr>
              <w:spacing w:after="0"/>
              <w:rPr>
                <w:sz w:val="22"/>
                <w:szCs w:val="22"/>
                <w:color w:val="auto"/>
              </w:rPr>
            </w:pPr>
          </w:p>
        </w:tc>
        <w:tc>
          <w:tcPr>
            <w:tcW w:w="8860" w:type="dxa"/>
            <w:vAlign w:val="bottom"/>
          </w:tcPr>
          <w:p>
            <w:pPr>
              <w:ind w:left="580"/>
              <w:spacing w:after="0"/>
              <w:rPr>
                <w:sz w:val="20"/>
                <w:szCs w:val="20"/>
                <w:color w:val="auto"/>
              </w:rPr>
            </w:pPr>
            <w:r>
              <w:rPr>
                <w:rFonts w:ascii="Arial" w:cs="Arial" w:eastAsia="Arial" w:hAnsi="Arial"/>
                <w:sz w:val="20"/>
                <w:szCs w:val="20"/>
                <w:color w:val="3E3935"/>
              </w:rPr>
              <w:t>one-year anniversary of the grant.</w:t>
            </w:r>
          </w:p>
        </w:tc>
      </w:tr>
      <w:tr>
        <w:trPr>
          <w:trHeight w:val="252"/>
        </w:trPr>
        <w:tc>
          <w:tcPr>
            <w:tcW w:w="2160" w:type="dxa"/>
            <w:vAlign w:val="bottom"/>
          </w:tcPr>
          <w:p>
            <w:pPr>
              <w:spacing w:after="0"/>
              <w:rPr>
                <w:sz w:val="21"/>
                <w:szCs w:val="21"/>
                <w:color w:val="auto"/>
              </w:rPr>
            </w:pPr>
          </w:p>
        </w:tc>
        <w:tc>
          <w:tcPr>
            <w:tcW w:w="8860" w:type="dxa"/>
            <w:vAlign w:val="bottom"/>
          </w:tcPr>
          <w:p>
            <w:pPr>
              <w:ind w:left="380"/>
              <w:spacing w:after="0"/>
              <w:rPr>
                <w:sz w:val="20"/>
                <w:szCs w:val="20"/>
                <w:color w:val="auto"/>
              </w:rPr>
            </w:pPr>
            <w:r>
              <w:rPr>
                <w:rFonts w:ascii="Arial" w:cs="Arial" w:eastAsia="Arial" w:hAnsi="Arial"/>
                <w:sz w:val="18"/>
                <w:szCs w:val="18"/>
                <w:color w:val="00C1DE"/>
              </w:rPr>
              <w:t>•</w:t>
            </w:r>
            <w:r>
              <w:rPr>
                <w:rFonts w:ascii="Arial" w:cs="Arial" w:eastAsia="Arial" w:hAnsi="Arial"/>
                <w:sz w:val="19"/>
                <w:szCs w:val="19"/>
                <w:color w:val="3E3935"/>
              </w:rPr>
              <w:t xml:space="preserve">   Performance awards will have any service-based vesting waived, will be earned based upon</w:t>
            </w:r>
          </w:p>
        </w:tc>
      </w:tr>
      <w:tr>
        <w:trPr>
          <w:trHeight w:val="216"/>
        </w:trPr>
        <w:tc>
          <w:tcPr>
            <w:tcW w:w="2160" w:type="dxa"/>
            <w:vAlign w:val="bottom"/>
          </w:tcPr>
          <w:p>
            <w:pPr>
              <w:spacing w:after="0"/>
              <w:rPr>
                <w:sz w:val="18"/>
                <w:szCs w:val="18"/>
                <w:color w:val="auto"/>
              </w:rPr>
            </w:pPr>
          </w:p>
        </w:tc>
        <w:tc>
          <w:tcPr>
            <w:tcW w:w="8860" w:type="dxa"/>
            <w:vAlign w:val="bottom"/>
          </w:tcPr>
          <w:p>
            <w:pPr>
              <w:ind w:left="580"/>
              <w:spacing w:after="0" w:line="216" w:lineRule="exact"/>
              <w:rPr>
                <w:sz w:val="20"/>
                <w:szCs w:val="20"/>
                <w:color w:val="auto"/>
              </w:rPr>
            </w:pPr>
            <w:r>
              <w:rPr>
                <w:rFonts w:ascii="Arial" w:cs="Arial" w:eastAsia="Arial" w:hAnsi="Arial"/>
                <w:sz w:val="20"/>
                <w:szCs w:val="20"/>
                <w:color w:val="3E3935"/>
              </w:rPr>
              <w:t>the achievement of the applicable performance conditions, and will be paid or settled on the</w:t>
            </w:r>
          </w:p>
        </w:tc>
      </w:tr>
      <w:tr>
        <w:trPr>
          <w:trHeight w:val="216"/>
        </w:trPr>
        <w:tc>
          <w:tcPr>
            <w:tcW w:w="2160" w:type="dxa"/>
            <w:vAlign w:val="bottom"/>
          </w:tcPr>
          <w:p>
            <w:pPr>
              <w:spacing w:after="0"/>
              <w:rPr>
                <w:sz w:val="18"/>
                <w:szCs w:val="18"/>
                <w:color w:val="auto"/>
              </w:rPr>
            </w:pPr>
          </w:p>
        </w:tc>
        <w:tc>
          <w:tcPr>
            <w:tcW w:w="8860" w:type="dxa"/>
            <w:vAlign w:val="bottom"/>
          </w:tcPr>
          <w:p>
            <w:pPr>
              <w:ind w:left="580"/>
              <w:spacing w:after="0" w:line="216" w:lineRule="exact"/>
              <w:rPr>
                <w:sz w:val="20"/>
                <w:szCs w:val="20"/>
                <w:color w:val="auto"/>
              </w:rPr>
            </w:pPr>
            <w:r>
              <w:rPr>
                <w:rFonts w:ascii="Arial" w:cs="Arial" w:eastAsia="Arial" w:hAnsi="Arial"/>
                <w:sz w:val="20"/>
                <w:szCs w:val="20"/>
                <w:color w:val="3E3935"/>
              </w:rPr>
              <w:t>schedules settlement date(s); provided that the award will be prorated if termination occurs</w:t>
            </w:r>
          </w:p>
        </w:tc>
      </w:tr>
      <w:tr>
        <w:trPr>
          <w:trHeight w:val="261"/>
        </w:trPr>
        <w:tc>
          <w:tcPr>
            <w:tcW w:w="2160" w:type="dxa"/>
            <w:vAlign w:val="bottom"/>
          </w:tcPr>
          <w:p>
            <w:pPr>
              <w:spacing w:after="0"/>
              <w:rPr>
                <w:sz w:val="22"/>
                <w:szCs w:val="22"/>
                <w:color w:val="auto"/>
              </w:rPr>
            </w:pPr>
          </w:p>
        </w:tc>
        <w:tc>
          <w:tcPr>
            <w:tcW w:w="8860" w:type="dxa"/>
            <w:vAlign w:val="bottom"/>
          </w:tcPr>
          <w:p>
            <w:pPr>
              <w:ind w:left="580"/>
              <w:spacing w:after="0"/>
              <w:rPr>
                <w:sz w:val="20"/>
                <w:szCs w:val="20"/>
                <w:color w:val="auto"/>
              </w:rPr>
            </w:pPr>
            <w:r>
              <w:rPr>
                <w:rFonts w:ascii="Arial" w:cs="Arial" w:eastAsia="Arial" w:hAnsi="Arial"/>
                <w:sz w:val="20"/>
                <w:szCs w:val="20"/>
                <w:color w:val="3E3935"/>
              </w:rPr>
              <w:t>within the first year of the performance period.</w:t>
            </w:r>
          </w:p>
        </w:tc>
      </w:tr>
      <w:tr>
        <w:trPr>
          <w:trHeight w:val="333"/>
        </w:trPr>
        <w:tc>
          <w:tcPr>
            <w:tcW w:w="2160" w:type="dxa"/>
            <w:vAlign w:val="bottom"/>
          </w:tcPr>
          <w:p>
            <w:pPr>
              <w:spacing w:after="0"/>
              <w:rPr>
                <w:sz w:val="24"/>
                <w:szCs w:val="24"/>
                <w:color w:val="auto"/>
              </w:rPr>
            </w:pPr>
          </w:p>
        </w:tc>
        <w:tc>
          <w:tcPr>
            <w:tcW w:w="8860" w:type="dxa"/>
            <w:vAlign w:val="bottom"/>
          </w:tcPr>
          <w:p>
            <w:pPr>
              <w:ind w:left="380"/>
              <w:spacing w:after="0"/>
              <w:rPr>
                <w:sz w:val="20"/>
                <w:szCs w:val="20"/>
                <w:color w:val="auto"/>
              </w:rPr>
            </w:pPr>
            <w:r>
              <w:rPr>
                <w:rFonts w:ascii="Arial" w:cs="Arial" w:eastAsia="Arial" w:hAnsi="Arial"/>
                <w:sz w:val="20"/>
                <w:szCs w:val="20"/>
                <w:color w:val="3E3935"/>
              </w:rPr>
              <w:t>Other Terminations, including Termination Pursuant to an Approved Separation Agreement or</w:t>
            </w:r>
          </w:p>
        </w:tc>
      </w:tr>
      <w:tr>
        <w:trPr>
          <w:trHeight w:val="261"/>
        </w:trPr>
        <w:tc>
          <w:tcPr>
            <w:tcW w:w="2160" w:type="dxa"/>
            <w:vAlign w:val="bottom"/>
          </w:tcPr>
          <w:p>
            <w:pPr>
              <w:spacing w:after="0"/>
              <w:rPr>
                <w:sz w:val="22"/>
                <w:szCs w:val="22"/>
                <w:color w:val="auto"/>
              </w:rPr>
            </w:pPr>
          </w:p>
        </w:tc>
        <w:tc>
          <w:tcPr>
            <w:tcW w:w="8860" w:type="dxa"/>
            <w:vAlign w:val="bottom"/>
          </w:tcPr>
          <w:p>
            <w:pPr>
              <w:ind w:left="380"/>
              <w:spacing w:after="0"/>
              <w:rPr>
                <w:sz w:val="20"/>
                <w:szCs w:val="20"/>
                <w:color w:val="auto"/>
              </w:rPr>
            </w:pPr>
            <w:r>
              <w:rPr>
                <w:rFonts w:ascii="Arial" w:cs="Arial" w:eastAsia="Arial" w:hAnsi="Arial"/>
                <w:sz w:val="20"/>
                <w:szCs w:val="20"/>
                <w:color w:val="3E3935"/>
              </w:rPr>
              <w:t>Program:</w:t>
            </w:r>
          </w:p>
        </w:tc>
      </w:tr>
      <w:tr>
        <w:trPr>
          <w:trHeight w:val="292"/>
        </w:trPr>
        <w:tc>
          <w:tcPr>
            <w:tcW w:w="2160" w:type="dxa"/>
            <w:vAlign w:val="bottom"/>
          </w:tcPr>
          <w:p>
            <w:pPr>
              <w:spacing w:after="0"/>
              <w:rPr>
                <w:sz w:val="24"/>
                <w:szCs w:val="24"/>
                <w:color w:val="auto"/>
              </w:rPr>
            </w:pPr>
          </w:p>
        </w:tc>
        <w:tc>
          <w:tcPr>
            <w:tcW w:w="8860" w:type="dxa"/>
            <w:vAlign w:val="bottom"/>
          </w:tcPr>
          <w:p>
            <w:pPr>
              <w:ind w:left="380"/>
              <w:spacing w:after="0"/>
              <w:rPr>
                <w:sz w:val="20"/>
                <w:szCs w:val="20"/>
                <w:color w:val="auto"/>
              </w:rPr>
            </w:pPr>
            <w:r>
              <w:rPr>
                <w:rFonts w:ascii="Arial" w:cs="Arial" w:eastAsia="Arial" w:hAnsi="Arial"/>
                <w:sz w:val="18"/>
                <w:szCs w:val="18"/>
                <w:color w:val="00C1DE"/>
              </w:rPr>
              <w:t>•</w:t>
            </w:r>
            <w:r>
              <w:rPr>
                <w:rFonts w:ascii="Arial" w:cs="Arial" w:eastAsia="Arial" w:hAnsi="Arial"/>
                <w:sz w:val="19"/>
                <w:szCs w:val="19"/>
                <w:color w:val="3E3935"/>
              </w:rPr>
              <w:t xml:space="preserve">   The participant will not be entitled to retain any portion of an award; provided that any vested</w:t>
            </w:r>
          </w:p>
        </w:tc>
      </w:tr>
      <w:tr>
        <w:trPr>
          <w:trHeight w:val="216"/>
        </w:trPr>
        <w:tc>
          <w:tcPr>
            <w:tcW w:w="2160" w:type="dxa"/>
            <w:vAlign w:val="bottom"/>
          </w:tcPr>
          <w:p>
            <w:pPr>
              <w:spacing w:after="0"/>
              <w:rPr>
                <w:sz w:val="18"/>
                <w:szCs w:val="18"/>
                <w:color w:val="auto"/>
              </w:rPr>
            </w:pPr>
          </w:p>
        </w:tc>
        <w:tc>
          <w:tcPr>
            <w:tcW w:w="8860" w:type="dxa"/>
            <w:vAlign w:val="bottom"/>
          </w:tcPr>
          <w:p>
            <w:pPr>
              <w:ind w:left="580"/>
              <w:spacing w:after="0" w:line="216" w:lineRule="exact"/>
              <w:rPr>
                <w:sz w:val="20"/>
                <w:szCs w:val="20"/>
                <w:color w:val="auto"/>
              </w:rPr>
            </w:pPr>
            <w:r>
              <w:rPr>
                <w:rFonts w:ascii="Arial" w:cs="Arial" w:eastAsia="Arial" w:hAnsi="Arial"/>
                <w:sz w:val="20"/>
                <w:szCs w:val="20"/>
                <w:color w:val="3E3935"/>
              </w:rPr>
              <w:t>stock options or SARs shall remain exercisable until the earlier of 90 days after termination or</w:t>
            </w:r>
          </w:p>
        </w:tc>
      </w:tr>
      <w:tr>
        <w:trPr>
          <w:trHeight w:val="261"/>
        </w:trPr>
        <w:tc>
          <w:tcPr>
            <w:tcW w:w="2160" w:type="dxa"/>
            <w:vAlign w:val="bottom"/>
          </w:tcPr>
          <w:p>
            <w:pPr>
              <w:spacing w:after="0"/>
              <w:rPr>
                <w:sz w:val="22"/>
                <w:szCs w:val="22"/>
                <w:color w:val="auto"/>
              </w:rPr>
            </w:pPr>
          </w:p>
        </w:tc>
        <w:tc>
          <w:tcPr>
            <w:tcW w:w="8860" w:type="dxa"/>
            <w:vAlign w:val="bottom"/>
          </w:tcPr>
          <w:p>
            <w:pPr>
              <w:ind w:left="580"/>
              <w:spacing w:after="0"/>
              <w:rPr>
                <w:sz w:val="20"/>
                <w:szCs w:val="20"/>
                <w:color w:val="auto"/>
              </w:rPr>
            </w:pPr>
            <w:r>
              <w:rPr>
                <w:rFonts w:ascii="Arial" w:cs="Arial" w:eastAsia="Arial" w:hAnsi="Arial"/>
                <w:sz w:val="20"/>
                <w:szCs w:val="20"/>
                <w:color w:val="3E3935"/>
              </w:rPr>
              <w:t>the original expiration date.</w:t>
            </w:r>
          </w:p>
        </w:tc>
      </w:tr>
      <w:tr>
        <w:trPr>
          <w:trHeight w:val="71"/>
        </w:trPr>
        <w:tc>
          <w:tcPr>
            <w:tcW w:w="2160" w:type="dxa"/>
            <w:vAlign w:val="bottom"/>
            <w:tcBorders>
              <w:bottom w:val="single" w:sz="8" w:color="3E3935"/>
            </w:tcBorders>
          </w:tcPr>
          <w:p>
            <w:pPr>
              <w:spacing w:after="0"/>
              <w:rPr>
                <w:sz w:val="6"/>
                <w:szCs w:val="6"/>
                <w:color w:val="auto"/>
              </w:rPr>
            </w:pPr>
          </w:p>
        </w:tc>
        <w:tc>
          <w:tcPr>
            <w:tcW w:w="8860" w:type="dxa"/>
            <w:vAlign w:val="bottom"/>
            <w:tcBorders>
              <w:bottom w:val="single" w:sz="8" w:color="3E3935"/>
            </w:tcBorders>
          </w:tcPr>
          <w:p>
            <w:pPr>
              <w:spacing w:after="0"/>
              <w:rPr>
                <w:sz w:val="6"/>
                <w:szCs w:val="6"/>
                <w:color w:val="auto"/>
              </w:rPr>
            </w:pPr>
          </w:p>
        </w:tc>
      </w:tr>
      <w:tr>
        <w:trPr>
          <w:trHeight w:val="255"/>
        </w:trPr>
        <w:tc>
          <w:tcPr>
            <w:tcW w:w="2160" w:type="dxa"/>
            <w:vAlign w:val="bottom"/>
          </w:tcPr>
          <w:p>
            <w:pPr>
              <w:ind w:left="80"/>
              <w:spacing w:after="0"/>
              <w:rPr>
                <w:sz w:val="20"/>
                <w:szCs w:val="20"/>
                <w:color w:val="auto"/>
              </w:rPr>
            </w:pPr>
            <w:r>
              <w:rPr>
                <w:rFonts w:ascii="Arial" w:cs="Arial" w:eastAsia="Arial" w:hAnsi="Arial"/>
                <w:sz w:val="20"/>
                <w:szCs w:val="20"/>
                <w:b w:val="1"/>
                <w:bCs w:val="1"/>
                <w:color w:val="3E3935"/>
              </w:rPr>
              <w:t>Change in Control</w:t>
            </w:r>
          </w:p>
        </w:tc>
        <w:tc>
          <w:tcPr>
            <w:tcW w:w="8860" w:type="dxa"/>
            <w:vAlign w:val="bottom"/>
          </w:tcPr>
          <w:p>
            <w:pPr>
              <w:ind w:left="380"/>
              <w:spacing w:after="0"/>
              <w:rPr>
                <w:sz w:val="20"/>
                <w:szCs w:val="20"/>
                <w:color w:val="auto"/>
              </w:rPr>
            </w:pPr>
            <w:r>
              <w:rPr>
                <w:rFonts w:ascii="Arial" w:cs="Arial" w:eastAsia="Arial" w:hAnsi="Arial"/>
                <w:sz w:val="20"/>
                <w:szCs w:val="20"/>
                <w:color w:val="3E3935"/>
              </w:rPr>
              <w:t>The 2020 LTIP generally provides for double-trigger change in control vesting provisions such</w:t>
            </w:r>
          </w:p>
        </w:tc>
      </w:tr>
      <w:tr>
        <w:trPr>
          <w:trHeight w:val="216"/>
        </w:trPr>
        <w:tc>
          <w:tcPr>
            <w:tcW w:w="2160" w:type="dxa"/>
            <w:vAlign w:val="bottom"/>
          </w:tcPr>
          <w:p>
            <w:pPr>
              <w:spacing w:after="0"/>
              <w:rPr>
                <w:sz w:val="18"/>
                <w:szCs w:val="18"/>
                <w:color w:val="auto"/>
              </w:rPr>
            </w:pPr>
          </w:p>
        </w:tc>
        <w:tc>
          <w:tcPr>
            <w:tcW w:w="8860" w:type="dxa"/>
            <w:vAlign w:val="bottom"/>
          </w:tcPr>
          <w:p>
            <w:pPr>
              <w:ind w:left="380"/>
              <w:spacing w:after="0" w:line="216" w:lineRule="exact"/>
              <w:rPr>
                <w:sz w:val="20"/>
                <w:szCs w:val="20"/>
                <w:color w:val="auto"/>
              </w:rPr>
            </w:pPr>
            <w:r>
              <w:rPr>
                <w:rFonts w:ascii="Arial" w:cs="Arial" w:eastAsia="Arial" w:hAnsi="Arial"/>
                <w:sz w:val="20"/>
                <w:szCs w:val="20"/>
                <w:color w:val="3E3935"/>
              </w:rPr>
              <w:t>that if awards are continued or converted into similar awards of the successor company, the</w:t>
            </w:r>
          </w:p>
        </w:tc>
      </w:tr>
      <w:tr>
        <w:trPr>
          <w:trHeight w:val="216"/>
        </w:trPr>
        <w:tc>
          <w:tcPr>
            <w:tcW w:w="2160" w:type="dxa"/>
            <w:vAlign w:val="bottom"/>
          </w:tcPr>
          <w:p>
            <w:pPr>
              <w:spacing w:after="0"/>
              <w:rPr>
                <w:sz w:val="18"/>
                <w:szCs w:val="18"/>
                <w:color w:val="auto"/>
              </w:rPr>
            </w:pPr>
          </w:p>
        </w:tc>
        <w:tc>
          <w:tcPr>
            <w:tcW w:w="8860" w:type="dxa"/>
            <w:vAlign w:val="bottom"/>
          </w:tcPr>
          <w:p>
            <w:pPr>
              <w:ind w:left="380"/>
              <w:spacing w:after="0" w:line="216" w:lineRule="exact"/>
              <w:rPr>
                <w:sz w:val="20"/>
                <w:szCs w:val="20"/>
                <w:color w:val="auto"/>
              </w:rPr>
            </w:pPr>
            <w:r>
              <w:rPr>
                <w:rFonts w:ascii="Arial" w:cs="Arial" w:eastAsia="Arial" w:hAnsi="Arial"/>
                <w:sz w:val="20"/>
                <w:szCs w:val="20"/>
                <w:color w:val="3E3935"/>
                <w:w w:val="99"/>
              </w:rPr>
              <w:t>awards will be subject to accelerated vesting in the event of a participant’s termination of service</w:t>
            </w:r>
          </w:p>
        </w:tc>
      </w:tr>
      <w:tr>
        <w:trPr>
          <w:trHeight w:val="216"/>
        </w:trPr>
        <w:tc>
          <w:tcPr>
            <w:tcW w:w="2160" w:type="dxa"/>
            <w:vAlign w:val="bottom"/>
          </w:tcPr>
          <w:p>
            <w:pPr>
              <w:spacing w:after="0"/>
              <w:rPr>
                <w:sz w:val="18"/>
                <w:szCs w:val="18"/>
                <w:color w:val="auto"/>
              </w:rPr>
            </w:pPr>
          </w:p>
        </w:tc>
        <w:tc>
          <w:tcPr>
            <w:tcW w:w="8860" w:type="dxa"/>
            <w:vAlign w:val="bottom"/>
          </w:tcPr>
          <w:p>
            <w:pPr>
              <w:ind w:left="380"/>
              <w:spacing w:after="0" w:line="216" w:lineRule="exact"/>
              <w:rPr>
                <w:sz w:val="20"/>
                <w:szCs w:val="20"/>
                <w:color w:val="auto"/>
              </w:rPr>
            </w:pPr>
            <w:r>
              <w:rPr>
                <w:rFonts w:ascii="Arial" w:cs="Arial" w:eastAsia="Arial" w:hAnsi="Arial"/>
                <w:sz w:val="20"/>
                <w:szCs w:val="20"/>
                <w:color w:val="3E3935"/>
              </w:rPr>
              <w:t>by the Company without cause or by the participant for good reason within 24 months after the</w:t>
            </w:r>
          </w:p>
        </w:tc>
      </w:tr>
      <w:tr>
        <w:trPr>
          <w:trHeight w:val="216"/>
        </w:trPr>
        <w:tc>
          <w:tcPr>
            <w:tcW w:w="2160" w:type="dxa"/>
            <w:vAlign w:val="bottom"/>
          </w:tcPr>
          <w:p>
            <w:pPr>
              <w:spacing w:after="0"/>
              <w:rPr>
                <w:sz w:val="18"/>
                <w:szCs w:val="18"/>
                <w:color w:val="auto"/>
              </w:rPr>
            </w:pPr>
          </w:p>
        </w:tc>
        <w:tc>
          <w:tcPr>
            <w:tcW w:w="8860" w:type="dxa"/>
            <w:vAlign w:val="bottom"/>
          </w:tcPr>
          <w:p>
            <w:pPr>
              <w:ind w:left="380"/>
              <w:spacing w:after="0" w:line="216" w:lineRule="exact"/>
              <w:rPr>
                <w:sz w:val="20"/>
                <w:szCs w:val="20"/>
                <w:color w:val="auto"/>
              </w:rPr>
            </w:pPr>
            <w:r>
              <w:rPr>
                <w:rFonts w:ascii="Arial" w:cs="Arial" w:eastAsia="Arial" w:hAnsi="Arial"/>
                <w:sz w:val="20"/>
                <w:szCs w:val="20"/>
                <w:color w:val="3E3935"/>
              </w:rPr>
              <w:t>change in control. If awards are not continued or converted into similar awards of the successor</w:t>
            </w:r>
          </w:p>
        </w:tc>
      </w:tr>
      <w:tr>
        <w:trPr>
          <w:trHeight w:val="216"/>
        </w:trPr>
        <w:tc>
          <w:tcPr>
            <w:tcW w:w="2160" w:type="dxa"/>
            <w:vAlign w:val="bottom"/>
          </w:tcPr>
          <w:p>
            <w:pPr>
              <w:spacing w:after="0"/>
              <w:rPr>
                <w:sz w:val="18"/>
                <w:szCs w:val="18"/>
                <w:color w:val="auto"/>
              </w:rPr>
            </w:pPr>
          </w:p>
        </w:tc>
        <w:tc>
          <w:tcPr>
            <w:tcW w:w="8860" w:type="dxa"/>
            <w:vAlign w:val="bottom"/>
          </w:tcPr>
          <w:p>
            <w:pPr>
              <w:ind w:left="380"/>
              <w:spacing w:after="0" w:line="216" w:lineRule="exact"/>
              <w:rPr>
                <w:sz w:val="20"/>
                <w:szCs w:val="20"/>
                <w:color w:val="auto"/>
              </w:rPr>
            </w:pPr>
            <w:r>
              <w:rPr>
                <w:rFonts w:ascii="Arial" w:cs="Arial" w:eastAsia="Arial" w:hAnsi="Arial"/>
                <w:sz w:val="20"/>
                <w:szCs w:val="20"/>
                <w:color w:val="3E3935"/>
              </w:rPr>
              <w:t>company, then the awards will have accelerated vesting immediately prior to the change in</w:t>
            </w:r>
          </w:p>
        </w:tc>
      </w:tr>
      <w:tr>
        <w:trPr>
          <w:trHeight w:val="261"/>
        </w:trPr>
        <w:tc>
          <w:tcPr>
            <w:tcW w:w="2160" w:type="dxa"/>
            <w:vAlign w:val="bottom"/>
          </w:tcPr>
          <w:p>
            <w:pPr>
              <w:spacing w:after="0"/>
              <w:rPr>
                <w:sz w:val="22"/>
                <w:szCs w:val="22"/>
                <w:color w:val="auto"/>
              </w:rPr>
            </w:pPr>
          </w:p>
        </w:tc>
        <w:tc>
          <w:tcPr>
            <w:tcW w:w="8860" w:type="dxa"/>
            <w:vAlign w:val="bottom"/>
          </w:tcPr>
          <w:p>
            <w:pPr>
              <w:ind w:left="380"/>
              <w:spacing w:after="0"/>
              <w:rPr>
                <w:sz w:val="20"/>
                <w:szCs w:val="20"/>
                <w:color w:val="auto"/>
              </w:rPr>
            </w:pPr>
            <w:r>
              <w:rPr>
                <w:rFonts w:ascii="Arial" w:cs="Arial" w:eastAsia="Arial" w:hAnsi="Arial"/>
                <w:sz w:val="20"/>
                <w:szCs w:val="20"/>
                <w:color w:val="3E3935"/>
              </w:rPr>
              <w:t>control.</w:t>
            </w:r>
          </w:p>
        </w:tc>
      </w:tr>
      <w:tr>
        <w:trPr>
          <w:trHeight w:val="333"/>
        </w:trPr>
        <w:tc>
          <w:tcPr>
            <w:tcW w:w="2160" w:type="dxa"/>
            <w:vAlign w:val="bottom"/>
          </w:tcPr>
          <w:p>
            <w:pPr>
              <w:spacing w:after="0"/>
              <w:rPr>
                <w:sz w:val="24"/>
                <w:szCs w:val="24"/>
                <w:color w:val="auto"/>
              </w:rPr>
            </w:pPr>
          </w:p>
        </w:tc>
        <w:tc>
          <w:tcPr>
            <w:tcW w:w="8860" w:type="dxa"/>
            <w:vAlign w:val="bottom"/>
          </w:tcPr>
          <w:p>
            <w:pPr>
              <w:ind w:left="380"/>
              <w:spacing w:after="0"/>
              <w:rPr>
                <w:sz w:val="20"/>
                <w:szCs w:val="20"/>
                <w:color w:val="auto"/>
              </w:rPr>
            </w:pPr>
            <w:r>
              <w:rPr>
                <w:rFonts w:ascii="Arial" w:cs="Arial" w:eastAsia="Arial" w:hAnsi="Arial"/>
                <w:sz w:val="20"/>
                <w:szCs w:val="20"/>
                <w:color w:val="3E3935"/>
              </w:rPr>
              <w:t>With respect to any outstanding performance awards, the performance period will end</w:t>
            </w:r>
          </w:p>
        </w:tc>
      </w:tr>
      <w:tr>
        <w:trPr>
          <w:trHeight w:val="216"/>
        </w:trPr>
        <w:tc>
          <w:tcPr>
            <w:tcW w:w="2160" w:type="dxa"/>
            <w:vAlign w:val="bottom"/>
          </w:tcPr>
          <w:p>
            <w:pPr>
              <w:spacing w:after="0"/>
              <w:rPr>
                <w:sz w:val="18"/>
                <w:szCs w:val="18"/>
                <w:color w:val="auto"/>
              </w:rPr>
            </w:pPr>
          </w:p>
        </w:tc>
        <w:tc>
          <w:tcPr>
            <w:tcW w:w="8860" w:type="dxa"/>
            <w:vAlign w:val="bottom"/>
          </w:tcPr>
          <w:p>
            <w:pPr>
              <w:ind w:left="380"/>
              <w:spacing w:after="0" w:line="216" w:lineRule="exact"/>
              <w:rPr>
                <w:sz w:val="20"/>
                <w:szCs w:val="20"/>
                <w:color w:val="auto"/>
              </w:rPr>
            </w:pPr>
            <w:r>
              <w:rPr>
                <w:rFonts w:ascii="Arial" w:cs="Arial" w:eastAsia="Arial" w:hAnsi="Arial"/>
                <w:sz w:val="20"/>
                <w:szCs w:val="20"/>
                <w:color w:val="3E3935"/>
              </w:rPr>
              <w:t>immediately prior to such change in control, achievement of the applicable performance criteria</w:t>
            </w:r>
          </w:p>
        </w:tc>
      </w:tr>
      <w:tr>
        <w:trPr>
          <w:trHeight w:val="216"/>
        </w:trPr>
        <w:tc>
          <w:tcPr>
            <w:tcW w:w="2160" w:type="dxa"/>
            <w:vAlign w:val="bottom"/>
          </w:tcPr>
          <w:p>
            <w:pPr>
              <w:spacing w:after="0"/>
              <w:rPr>
                <w:sz w:val="18"/>
                <w:szCs w:val="18"/>
                <w:color w:val="auto"/>
              </w:rPr>
            </w:pPr>
          </w:p>
        </w:tc>
        <w:tc>
          <w:tcPr>
            <w:tcW w:w="8860" w:type="dxa"/>
            <w:vAlign w:val="bottom"/>
          </w:tcPr>
          <w:p>
            <w:pPr>
              <w:ind w:left="380"/>
              <w:spacing w:after="0" w:line="216" w:lineRule="exact"/>
              <w:rPr>
                <w:sz w:val="20"/>
                <w:szCs w:val="20"/>
                <w:color w:val="auto"/>
              </w:rPr>
            </w:pPr>
            <w:r>
              <w:rPr>
                <w:rFonts w:ascii="Arial" w:cs="Arial" w:eastAsia="Arial" w:hAnsi="Arial"/>
                <w:sz w:val="20"/>
                <w:szCs w:val="20"/>
                <w:color w:val="3E3935"/>
                <w:w w:val="99"/>
              </w:rPr>
              <w:t>will be determined at such time, and the number of shares deemed earned will be converted into</w:t>
            </w:r>
          </w:p>
        </w:tc>
      </w:tr>
      <w:tr>
        <w:trPr>
          <w:trHeight w:val="216"/>
        </w:trPr>
        <w:tc>
          <w:tcPr>
            <w:tcW w:w="2160" w:type="dxa"/>
            <w:vAlign w:val="bottom"/>
          </w:tcPr>
          <w:p>
            <w:pPr>
              <w:spacing w:after="0"/>
              <w:rPr>
                <w:sz w:val="18"/>
                <w:szCs w:val="18"/>
                <w:color w:val="auto"/>
              </w:rPr>
            </w:pPr>
          </w:p>
        </w:tc>
        <w:tc>
          <w:tcPr>
            <w:tcW w:w="8860" w:type="dxa"/>
            <w:vAlign w:val="bottom"/>
          </w:tcPr>
          <w:p>
            <w:pPr>
              <w:ind w:left="380"/>
              <w:spacing w:after="0" w:line="216" w:lineRule="exact"/>
              <w:rPr>
                <w:sz w:val="20"/>
                <w:szCs w:val="20"/>
                <w:color w:val="auto"/>
              </w:rPr>
            </w:pPr>
            <w:r>
              <w:rPr>
                <w:rFonts w:ascii="Arial" w:cs="Arial" w:eastAsia="Arial" w:hAnsi="Arial"/>
                <w:sz w:val="20"/>
                <w:szCs w:val="20"/>
                <w:color w:val="3E3935"/>
              </w:rPr>
              <w:t>a time vesting award that will be paid or settled on the scheduled settlement date(s), provided</w:t>
            </w:r>
          </w:p>
        </w:tc>
      </w:tr>
      <w:tr>
        <w:trPr>
          <w:trHeight w:val="216"/>
        </w:trPr>
        <w:tc>
          <w:tcPr>
            <w:tcW w:w="2160" w:type="dxa"/>
            <w:vAlign w:val="bottom"/>
          </w:tcPr>
          <w:p>
            <w:pPr>
              <w:spacing w:after="0"/>
              <w:rPr>
                <w:sz w:val="18"/>
                <w:szCs w:val="18"/>
                <w:color w:val="auto"/>
              </w:rPr>
            </w:pPr>
          </w:p>
        </w:tc>
        <w:tc>
          <w:tcPr>
            <w:tcW w:w="8860" w:type="dxa"/>
            <w:vAlign w:val="bottom"/>
          </w:tcPr>
          <w:p>
            <w:pPr>
              <w:ind w:left="380"/>
              <w:spacing w:after="0" w:line="216" w:lineRule="exact"/>
              <w:rPr>
                <w:sz w:val="20"/>
                <w:szCs w:val="20"/>
                <w:color w:val="auto"/>
              </w:rPr>
            </w:pPr>
            <w:r>
              <w:rPr>
                <w:rFonts w:ascii="Arial" w:cs="Arial" w:eastAsia="Arial" w:hAnsi="Arial"/>
                <w:sz w:val="20"/>
                <w:szCs w:val="20"/>
                <w:color w:val="3E3935"/>
              </w:rPr>
              <w:t>that such awards will be subject to accelerated vesting in the event of the participant’s</w:t>
            </w:r>
          </w:p>
        </w:tc>
      </w:tr>
      <w:tr>
        <w:trPr>
          <w:trHeight w:val="216"/>
        </w:trPr>
        <w:tc>
          <w:tcPr>
            <w:tcW w:w="2160" w:type="dxa"/>
            <w:vAlign w:val="bottom"/>
          </w:tcPr>
          <w:p>
            <w:pPr>
              <w:spacing w:after="0"/>
              <w:rPr>
                <w:sz w:val="18"/>
                <w:szCs w:val="18"/>
                <w:color w:val="auto"/>
              </w:rPr>
            </w:pPr>
          </w:p>
        </w:tc>
        <w:tc>
          <w:tcPr>
            <w:tcW w:w="8860" w:type="dxa"/>
            <w:vAlign w:val="bottom"/>
          </w:tcPr>
          <w:p>
            <w:pPr>
              <w:ind w:left="380"/>
              <w:spacing w:after="0" w:line="216" w:lineRule="exact"/>
              <w:rPr>
                <w:sz w:val="20"/>
                <w:szCs w:val="20"/>
                <w:color w:val="auto"/>
              </w:rPr>
            </w:pPr>
            <w:r>
              <w:rPr>
                <w:rFonts w:ascii="Arial" w:cs="Arial" w:eastAsia="Arial" w:hAnsi="Arial"/>
                <w:sz w:val="20"/>
                <w:szCs w:val="20"/>
                <w:color w:val="3E3935"/>
                <w:w w:val="99"/>
              </w:rPr>
              <w:t>termination of service by the Company without cause or by the participant for good reason within</w:t>
            </w:r>
          </w:p>
        </w:tc>
      </w:tr>
      <w:tr>
        <w:trPr>
          <w:trHeight w:val="261"/>
        </w:trPr>
        <w:tc>
          <w:tcPr>
            <w:tcW w:w="2160" w:type="dxa"/>
            <w:vAlign w:val="bottom"/>
          </w:tcPr>
          <w:p>
            <w:pPr>
              <w:spacing w:after="0"/>
              <w:rPr>
                <w:sz w:val="22"/>
                <w:szCs w:val="22"/>
                <w:color w:val="auto"/>
              </w:rPr>
            </w:pPr>
          </w:p>
        </w:tc>
        <w:tc>
          <w:tcPr>
            <w:tcW w:w="8860" w:type="dxa"/>
            <w:vAlign w:val="bottom"/>
          </w:tcPr>
          <w:p>
            <w:pPr>
              <w:ind w:left="380"/>
              <w:spacing w:after="0"/>
              <w:rPr>
                <w:sz w:val="20"/>
                <w:szCs w:val="20"/>
                <w:color w:val="auto"/>
              </w:rPr>
            </w:pPr>
            <w:r>
              <w:rPr>
                <w:rFonts w:ascii="Arial" w:cs="Arial" w:eastAsia="Arial" w:hAnsi="Arial"/>
                <w:sz w:val="20"/>
                <w:szCs w:val="20"/>
                <w:color w:val="3E3935"/>
              </w:rPr>
              <w:t>24 months after the change in control.</w:t>
            </w:r>
          </w:p>
        </w:tc>
      </w:tr>
      <w:tr>
        <w:trPr>
          <w:trHeight w:val="71"/>
        </w:trPr>
        <w:tc>
          <w:tcPr>
            <w:tcW w:w="2160" w:type="dxa"/>
            <w:vAlign w:val="bottom"/>
            <w:tcBorders>
              <w:bottom w:val="single" w:sz="8" w:color="3E3935"/>
            </w:tcBorders>
          </w:tcPr>
          <w:p>
            <w:pPr>
              <w:spacing w:after="0"/>
              <w:rPr>
                <w:sz w:val="6"/>
                <w:szCs w:val="6"/>
                <w:color w:val="auto"/>
              </w:rPr>
            </w:pPr>
          </w:p>
        </w:tc>
        <w:tc>
          <w:tcPr>
            <w:tcW w:w="8860" w:type="dxa"/>
            <w:vAlign w:val="bottom"/>
            <w:tcBorders>
              <w:bottom w:val="single" w:sz="8" w:color="3E3935"/>
            </w:tcBorders>
          </w:tcPr>
          <w:p>
            <w:pPr>
              <w:spacing w:after="0"/>
              <w:rPr>
                <w:sz w:val="6"/>
                <w:szCs w:val="6"/>
                <w:color w:val="auto"/>
              </w:rPr>
            </w:pPr>
          </w:p>
        </w:tc>
      </w:tr>
      <w:tr>
        <w:trPr>
          <w:trHeight w:val="253"/>
        </w:trPr>
        <w:tc>
          <w:tcPr>
            <w:tcW w:w="2160" w:type="dxa"/>
            <w:vAlign w:val="bottom"/>
          </w:tcPr>
          <w:p>
            <w:pPr>
              <w:ind w:left="80"/>
              <w:spacing w:after="0"/>
              <w:rPr>
                <w:sz w:val="20"/>
                <w:szCs w:val="20"/>
                <w:color w:val="auto"/>
              </w:rPr>
            </w:pPr>
            <w:r>
              <w:rPr>
                <w:rFonts w:ascii="Arial" w:cs="Arial" w:eastAsia="Arial" w:hAnsi="Arial"/>
                <w:sz w:val="20"/>
                <w:szCs w:val="20"/>
                <w:b w:val="1"/>
                <w:bCs w:val="1"/>
                <w:color w:val="3E3935"/>
              </w:rPr>
              <w:t>Clawback /</w:t>
            </w:r>
          </w:p>
        </w:tc>
        <w:tc>
          <w:tcPr>
            <w:tcW w:w="8860" w:type="dxa"/>
            <w:vAlign w:val="bottom"/>
          </w:tcPr>
          <w:p>
            <w:pPr>
              <w:ind w:left="380"/>
              <w:spacing w:after="0"/>
              <w:rPr>
                <w:sz w:val="20"/>
                <w:szCs w:val="20"/>
                <w:color w:val="auto"/>
              </w:rPr>
            </w:pPr>
            <w:r>
              <w:rPr>
                <w:rFonts w:ascii="Arial" w:cs="Arial" w:eastAsia="Arial" w:hAnsi="Arial"/>
                <w:sz w:val="20"/>
                <w:szCs w:val="20"/>
                <w:color w:val="3E3935"/>
                <w:w w:val="98"/>
              </w:rPr>
              <w:t>Any awards granted under the 2020 LTIP (including any amounts or benefits payable under such</w:t>
            </w:r>
          </w:p>
        </w:tc>
      </w:tr>
      <w:tr>
        <w:trPr>
          <w:trHeight w:val="218"/>
        </w:trPr>
        <w:tc>
          <w:tcPr>
            <w:tcW w:w="2160" w:type="dxa"/>
            <w:vAlign w:val="bottom"/>
          </w:tcPr>
          <w:p>
            <w:pPr>
              <w:ind w:left="80"/>
              <w:spacing w:after="0" w:line="218" w:lineRule="exact"/>
              <w:rPr>
                <w:sz w:val="20"/>
                <w:szCs w:val="20"/>
                <w:color w:val="auto"/>
              </w:rPr>
            </w:pPr>
            <w:r>
              <w:rPr>
                <w:rFonts w:ascii="Arial" w:cs="Arial" w:eastAsia="Arial" w:hAnsi="Arial"/>
                <w:sz w:val="20"/>
                <w:szCs w:val="20"/>
                <w:b w:val="1"/>
                <w:bCs w:val="1"/>
                <w:color w:val="3E3935"/>
              </w:rPr>
              <w:t>Recoupment</w:t>
            </w:r>
          </w:p>
        </w:tc>
        <w:tc>
          <w:tcPr>
            <w:tcW w:w="8860" w:type="dxa"/>
            <w:vAlign w:val="bottom"/>
          </w:tcPr>
          <w:p>
            <w:pPr>
              <w:ind w:left="380"/>
              <w:spacing w:after="0" w:line="218" w:lineRule="exact"/>
              <w:rPr>
                <w:sz w:val="20"/>
                <w:szCs w:val="20"/>
                <w:color w:val="auto"/>
              </w:rPr>
            </w:pPr>
            <w:r>
              <w:rPr>
                <w:rFonts w:ascii="Arial" w:cs="Arial" w:eastAsia="Arial" w:hAnsi="Arial"/>
                <w:sz w:val="20"/>
                <w:szCs w:val="20"/>
                <w:color w:val="3E3935"/>
              </w:rPr>
              <w:t>awards) will be subject to the Company’s clawback or recoupment policies. The Company</w:t>
            </w:r>
          </w:p>
        </w:tc>
      </w:tr>
      <w:tr>
        <w:trPr>
          <w:trHeight w:val="216"/>
        </w:trPr>
        <w:tc>
          <w:tcPr>
            <w:tcW w:w="2160" w:type="dxa"/>
            <w:vAlign w:val="bottom"/>
          </w:tcPr>
          <w:p>
            <w:pPr>
              <w:spacing w:after="0"/>
              <w:rPr>
                <w:sz w:val="18"/>
                <w:szCs w:val="18"/>
                <w:color w:val="auto"/>
              </w:rPr>
            </w:pPr>
          </w:p>
        </w:tc>
        <w:tc>
          <w:tcPr>
            <w:tcW w:w="8860" w:type="dxa"/>
            <w:vAlign w:val="bottom"/>
          </w:tcPr>
          <w:p>
            <w:pPr>
              <w:ind w:left="380"/>
              <w:spacing w:after="0" w:line="216" w:lineRule="exact"/>
              <w:rPr>
                <w:sz w:val="20"/>
                <w:szCs w:val="20"/>
                <w:color w:val="auto"/>
              </w:rPr>
            </w:pPr>
            <w:r>
              <w:rPr>
                <w:rFonts w:ascii="Arial" w:cs="Arial" w:eastAsia="Arial" w:hAnsi="Arial"/>
                <w:sz w:val="20"/>
                <w:szCs w:val="20"/>
                <w:color w:val="3E3935"/>
                <w:w w:val="98"/>
              </w:rPr>
              <w:t>currently maintains the General Motors Policy on Recoupment of Incentive Compensation, which</w:t>
            </w:r>
          </w:p>
        </w:tc>
      </w:tr>
      <w:tr>
        <w:trPr>
          <w:trHeight w:val="261"/>
        </w:trPr>
        <w:tc>
          <w:tcPr>
            <w:tcW w:w="2160" w:type="dxa"/>
            <w:vAlign w:val="bottom"/>
          </w:tcPr>
          <w:p>
            <w:pPr>
              <w:spacing w:after="0"/>
              <w:rPr>
                <w:sz w:val="22"/>
                <w:szCs w:val="22"/>
                <w:color w:val="auto"/>
              </w:rPr>
            </w:pPr>
          </w:p>
        </w:tc>
        <w:tc>
          <w:tcPr>
            <w:tcW w:w="8860" w:type="dxa"/>
            <w:vAlign w:val="bottom"/>
          </w:tcPr>
          <w:p>
            <w:pPr>
              <w:ind w:left="380"/>
              <w:spacing w:after="0"/>
              <w:rPr>
                <w:sz w:val="20"/>
                <w:szCs w:val="20"/>
                <w:color w:val="auto"/>
              </w:rPr>
            </w:pPr>
            <w:r>
              <w:rPr>
                <w:rFonts w:ascii="Arial" w:cs="Arial" w:eastAsia="Arial" w:hAnsi="Arial"/>
                <w:sz w:val="20"/>
                <w:szCs w:val="20"/>
                <w:color w:val="3E3935"/>
              </w:rPr>
              <w:t xml:space="preserve">is available at </w:t>
            </w:r>
            <w:r>
              <w:rPr>
                <w:rFonts w:ascii="Arial" w:cs="Arial" w:eastAsia="Arial" w:hAnsi="Arial"/>
                <w:sz w:val="20"/>
                <w:szCs w:val="20"/>
                <w:i w:val="1"/>
                <w:iCs w:val="1"/>
                <w:color w:val="00C1DE"/>
              </w:rPr>
              <w:t>investor.gm.com/esg</w:t>
            </w:r>
            <w:r>
              <w:rPr>
                <w:rFonts w:ascii="Arial" w:cs="Arial" w:eastAsia="Arial" w:hAnsi="Arial"/>
                <w:sz w:val="20"/>
                <w:szCs w:val="20"/>
                <w:color w:val="3E3935"/>
              </w:rPr>
              <w:t>.</w:t>
            </w:r>
          </w:p>
        </w:tc>
      </w:tr>
      <w:tr>
        <w:trPr>
          <w:trHeight w:val="58"/>
        </w:trPr>
        <w:tc>
          <w:tcPr>
            <w:tcW w:w="2160" w:type="dxa"/>
            <w:vAlign w:val="bottom"/>
            <w:tcBorders>
              <w:bottom w:val="single" w:sz="8" w:color="3E3935"/>
            </w:tcBorders>
          </w:tcPr>
          <w:p>
            <w:pPr>
              <w:spacing w:after="0"/>
              <w:rPr>
                <w:sz w:val="5"/>
                <w:szCs w:val="5"/>
                <w:color w:val="auto"/>
              </w:rPr>
            </w:pPr>
          </w:p>
        </w:tc>
        <w:tc>
          <w:tcPr>
            <w:tcW w:w="8860" w:type="dxa"/>
            <w:vAlign w:val="bottom"/>
            <w:tcBorders>
              <w:bottom w:val="single" w:sz="8" w:color="3E3935"/>
            </w:tcBorders>
          </w:tcPr>
          <w:p>
            <w:pPr>
              <w:spacing w:after="0"/>
              <w:rPr>
                <w:sz w:val="5"/>
                <w:szCs w:val="5"/>
                <w:color w:val="auto"/>
              </w:rPr>
            </w:pPr>
          </w:p>
        </w:tc>
      </w:tr>
    </w:tbl>
    <w:p>
      <w:pPr>
        <w:spacing w:after="0" w:line="139" w:lineRule="exact"/>
        <w:rPr>
          <w:sz w:val="20"/>
          <w:szCs w:val="20"/>
          <w:color w:val="auto"/>
        </w:rPr>
      </w:pPr>
    </w:p>
    <w:p>
      <w:pPr>
        <w:ind w:left="120"/>
        <w:spacing w:after="0"/>
        <w:rPr>
          <w:sz w:val="20"/>
          <w:szCs w:val="20"/>
          <w:color w:val="auto"/>
        </w:rPr>
      </w:pPr>
      <w:r>
        <w:rPr>
          <w:rFonts w:ascii="Arial" w:cs="Arial" w:eastAsia="Arial" w:hAnsi="Arial"/>
          <w:sz w:val="14"/>
          <w:szCs w:val="14"/>
          <w:color w:val="0071CE"/>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wp:posOffset>
            </wp:positionH>
            <wp:positionV relativeFrom="paragraph">
              <wp:posOffset>-95885</wp:posOffset>
            </wp:positionV>
            <wp:extent cx="5983605" cy="10287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5983605" cy="102870"/>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208280</wp:posOffset>
            </wp:positionV>
            <wp:extent cx="6995160" cy="825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65" w:lineRule="exact"/>
        <w:rPr>
          <w:sz w:val="20"/>
          <w:szCs w:val="20"/>
          <w:color w:val="auto"/>
        </w:rPr>
      </w:pPr>
    </w:p>
    <w:tbl>
      <w:tblPr>
        <w:tblLayout w:type="fixed"/>
        <w:tblInd w:w="120" w:type="dxa"/>
        <w:tblCellMar>
          <w:top w:w="0" w:type="dxa"/>
          <w:left w:w="0" w:type="dxa"/>
          <w:bottom w:w="0" w:type="dxa"/>
          <w:right w:w="0" w:type="dxa"/>
        </w:tblCellMar>
      </w:tblPr>
      <w:tr>
        <w:trPr>
          <w:trHeight w:val="273"/>
        </w:trPr>
        <w:tc>
          <w:tcPr>
            <w:tcW w:w="2180" w:type="dxa"/>
            <w:vAlign w:val="bottom"/>
          </w:tcPr>
          <w:p>
            <w:pPr>
              <w:ind w:left="100"/>
              <w:spacing w:after="0"/>
              <w:rPr>
                <w:sz w:val="20"/>
                <w:szCs w:val="20"/>
                <w:color w:val="auto"/>
              </w:rPr>
            </w:pPr>
            <w:r>
              <w:rPr>
                <w:rFonts w:ascii="Arial" w:cs="Arial" w:eastAsia="Arial" w:hAnsi="Arial"/>
                <w:sz w:val="20"/>
                <w:szCs w:val="20"/>
                <w:b w:val="1"/>
                <w:bCs w:val="1"/>
                <w:color w:val="00C1DE"/>
              </w:rPr>
              <w:t>Key Provisions</w:t>
            </w:r>
          </w:p>
        </w:tc>
        <w:tc>
          <w:tcPr>
            <w:tcW w:w="8840" w:type="dxa"/>
            <w:vAlign w:val="bottom"/>
          </w:tcPr>
          <w:p>
            <w:pPr>
              <w:ind w:left="360"/>
              <w:spacing w:after="0"/>
              <w:rPr>
                <w:sz w:val="20"/>
                <w:szCs w:val="20"/>
                <w:color w:val="auto"/>
              </w:rPr>
            </w:pPr>
            <w:r>
              <w:rPr>
                <w:rFonts w:ascii="Arial" w:cs="Arial" w:eastAsia="Arial" w:hAnsi="Arial"/>
                <w:sz w:val="20"/>
                <w:szCs w:val="20"/>
                <w:b w:val="1"/>
                <w:bCs w:val="1"/>
                <w:color w:val="00C1DE"/>
              </w:rPr>
              <w:t>Description</w:t>
            </w:r>
          </w:p>
        </w:tc>
      </w:tr>
      <w:tr>
        <w:trPr>
          <w:trHeight w:val="48"/>
        </w:trPr>
        <w:tc>
          <w:tcPr>
            <w:tcW w:w="2180" w:type="dxa"/>
            <w:vAlign w:val="bottom"/>
            <w:tcBorders>
              <w:bottom w:val="single" w:sz="8" w:color="00C1DE"/>
            </w:tcBorders>
          </w:tcPr>
          <w:p>
            <w:pPr>
              <w:spacing w:after="0"/>
              <w:rPr>
                <w:sz w:val="4"/>
                <w:szCs w:val="4"/>
                <w:color w:val="auto"/>
              </w:rPr>
            </w:pPr>
          </w:p>
        </w:tc>
        <w:tc>
          <w:tcPr>
            <w:tcW w:w="8840" w:type="dxa"/>
            <w:vAlign w:val="bottom"/>
            <w:tcBorders>
              <w:bottom w:val="single" w:sz="8" w:color="00C1DE"/>
            </w:tcBorders>
          </w:tcPr>
          <w:p>
            <w:pPr>
              <w:spacing w:after="0"/>
              <w:rPr>
                <w:sz w:val="4"/>
                <w:szCs w:val="4"/>
                <w:color w:val="auto"/>
              </w:rPr>
            </w:pPr>
          </w:p>
        </w:tc>
      </w:tr>
      <w:tr>
        <w:trPr>
          <w:trHeight w:val="255"/>
        </w:trPr>
        <w:tc>
          <w:tcPr>
            <w:tcW w:w="2180" w:type="dxa"/>
            <w:vAlign w:val="bottom"/>
          </w:tcPr>
          <w:p>
            <w:pPr>
              <w:ind w:left="80"/>
              <w:spacing w:after="0"/>
              <w:rPr>
                <w:sz w:val="20"/>
                <w:szCs w:val="20"/>
                <w:color w:val="auto"/>
              </w:rPr>
            </w:pPr>
            <w:r>
              <w:rPr>
                <w:rFonts w:ascii="Arial" w:cs="Arial" w:eastAsia="Arial" w:hAnsi="Arial"/>
                <w:sz w:val="20"/>
                <w:szCs w:val="20"/>
                <w:b w:val="1"/>
                <w:bCs w:val="1"/>
                <w:color w:val="3E3935"/>
              </w:rPr>
              <w:t>Plan Amendments</w:t>
            </w:r>
          </w:p>
        </w:tc>
        <w:tc>
          <w:tcPr>
            <w:tcW w:w="8840" w:type="dxa"/>
            <w:vAlign w:val="bottom"/>
          </w:tcPr>
          <w:p>
            <w:pPr>
              <w:ind w:left="360"/>
              <w:spacing w:after="0"/>
              <w:rPr>
                <w:sz w:val="20"/>
                <w:szCs w:val="20"/>
                <w:color w:val="auto"/>
              </w:rPr>
            </w:pPr>
            <w:r>
              <w:rPr>
                <w:rFonts w:ascii="Arial" w:cs="Arial" w:eastAsia="Arial" w:hAnsi="Arial"/>
                <w:sz w:val="20"/>
                <w:szCs w:val="20"/>
                <w:color w:val="3E3935"/>
              </w:rPr>
              <w:t>The 2020 LTIP may be amended by the Board of Directors or the Compensation Committee,</w:t>
            </w:r>
          </w:p>
        </w:tc>
      </w:tr>
      <w:tr>
        <w:trPr>
          <w:trHeight w:val="216"/>
        </w:trPr>
        <w:tc>
          <w:tcPr>
            <w:tcW w:w="2180" w:type="dxa"/>
            <w:vAlign w:val="bottom"/>
          </w:tcPr>
          <w:p>
            <w:pPr>
              <w:spacing w:after="0"/>
              <w:rPr>
                <w:sz w:val="18"/>
                <w:szCs w:val="18"/>
                <w:color w:val="auto"/>
              </w:rPr>
            </w:pPr>
          </w:p>
        </w:tc>
        <w:tc>
          <w:tcPr>
            <w:tcW w:w="8840" w:type="dxa"/>
            <w:vAlign w:val="bottom"/>
          </w:tcPr>
          <w:p>
            <w:pPr>
              <w:ind w:left="360"/>
              <w:spacing w:after="0" w:line="216" w:lineRule="exact"/>
              <w:rPr>
                <w:sz w:val="20"/>
                <w:szCs w:val="20"/>
                <w:color w:val="auto"/>
              </w:rPr>
            </w:pPr>
            <w:r>
              <w:rPr>
                <w:rFonts w:ascii="Arial" w:cs="Arial" w:eastAsia="Arial" w:hAnsi="Arial"/>
                <w:sz w:val="20"/>
                <w:szCs w:val="20"/>
                <w:color w:val="3E3935"/>
              </w:rPr>
              <w:t>generally subject to shareholder approval to the extent required by applicable law or applicable</w:t>
            </w:r>
          </w:p>
        </w:tc>
      </w:tr>
      <w:tr>
        <w:trPr>
          <w:trHeight w:val="216"/>
        </w:trPr>
        <w:tc>
          <w:tcPr>
            <w:tcW w:w="2180" w:type="dxa"/>
            <w:vAlign w:val="bottom"/>
          </w:tcPr>
          <w:p>
            <w:pPr>
              <w:spacing w:after="0"/>
              <w:rPr>
                <w:sz w:val="18"/>
                <w:szCs w:val="18"/>
                <w:color w:val="auto"/>
              </w:rPr>
            </w:pPr>
          </w:p>
        </w:tc>
        <w:tc>
          <w:tcPr>
            <w:tcW w:w="8840" w:type="dxa"/>
            <w:vAlign w:val="bottom"/>
          </w:tcPr>
          <w:p>
            <w:pPr>
              <w:ind w:left="360"/>
              <w:spacing w:after="0" w:line="216" w:lineRule="exact"/>
              <w:rPr>
                <w:sz w:val="20"/>
                <w:szCs w:val="20"/>
                <w:color w:val="auto"/>
              </w:rPr>
            </w:pPr>
            <w:r>
              <w:rPr>
                <w:rFonts w:ascii="Arial" w:cs="Arial" w:eastAsia="Arial" w:hAnsi="Arial"/>
                <w:sz w:val="20"/>
                <w:szCs w:val="20"/>
                <w:color w:val="3E3935"/>
              </w:rPr>
              <w:t>stock exchange rules and the consent of the affected participant if the amendment would</w:t>
            </w:r>
          </w:p>
        </w:tc>
      </w:tr>
      <w:tr>
        <w:trPr>
          <w:trHeight w:val="216"/>
        </w:trPr>
        <w:tc>
          <w:tcPr>
            <w:tcW w:w="2180" w:type="dxa"/>
            <w:vAlign w:val="bottom"/>
          </w:tcPr>
          <w:p>
            <w:pPr>
              <w:spacing w:after="0"/>
              <w:rPr>
                <w:sz w:val="18"/>
                <w:szCs w:val="18"/>
                <w:color w:val="auto"/>
              </w:rPr>
            </w:pPr>
          </w:p>
        </w:tc>
        <w:tc>
          <w:tcPr>
            <w:tcW w:w="8840" w:type="dxa"/>
            <w:vAlign w:val="bottom"/>
          </w:tcPr>
          <w:p>
            <w:pPr>
              <w:ind w:left="360"/>
              <w:spacing w:after="0" w:line="216" w:lineRule="exact"/>
              <w:rPr>
                <w:sz w:val="20"/>
                <w:szCs w:val="20"/>
                <w:color w:val="auto"/>
              </w:rPr>
            </w:pPr>
            <w:r>
              <w:rPr>
                <w:rFonts w:ascii="Arial" w:cs="Arial" w:eastAsia="Arial" w:hAnsi="Arial"/>
                <w:sz w:val="20"/>
                <w:szCs w:val="20"/>
                <w:color w:val="3E3935"/>
              </w:rPr>
              <w:t>materially adversely affect the rights of such participant under any outstanding award, and</w:t>
            </w:r>
          </w:p>
        </w:tc>
      </w:tr>
      <w:tr>
        <w:trPr>
          <w:trHeight w:val="261"/>
        </w:trPr>
        <w:tc>
          <w:tcPr>
            <w:tcW w:w="2180" w:type="dxa"/>
            <w:vAlign w:val="bottom"/>
          </w:tcPr>
          <w:p>
            <w:pPr>
              <w:spacing w:after="0"/>
              <w:rPr>
                <w:sz w:val="22"/>
                <w:szCs w:val="22"/>
                <w:color w:val="auto"/>
              </w:rPr>
            </w:pPr>
          </w:p>
        </w:tc>
        <w:tc>
          <w:tcPr>
            <w:tcW w:w="8840" w:type="dxa"/>
            <w:vAlign w:val="bottom"/>
          </w:tcPr>
          <w:p>
            <w:pPr>
              <w:ind w:left="360"/>
              <w:spacing w:after="0"/>
              <w:rPr>
                <w:sz w:val="20"/>
                <w:szCs w:val="20"/>
                <w:color w:val="auto"/>
              </w:rPr>
            </w:pPr>
            <w:r>
              <w:rPr>
                <w:rFonts w:ascii="Arial" w:cs="Arial" w:eastAsia="Arial" w:hAnsi="Arial"/>
                <w:sz w:val="20"/>
                <w:szCs w:val="20"/>
                <w:color w:val="3E3935"/>
              </w:rPr>
              <w:t>subject to certain other limitations included in the 2020 LTIP.</w:t>
            </w:r>
          </w:p>
        </w:tc>
      </w:tr>
      <w:tr>
        <w:trPr>
          <w:trHeight w:val="58"/>
        </w:trPr>
        <w:tc>
          <w:tcPr>
            <w:tcW w:w="2180" w:type="dxa"/>
            <w:vAlign w:val="bottom"/>
            <w:tcBorders>
              <w:bottom w:val="single" w:sz="8" w:color="3E3935"/>
            </w:tcBorders>
          </w:tcPr>
          <w:p>
            <w:pPr>
              <w:spacing w:after="0"/>
              <w:rPr>
                <w:sz w:val="5"/>
                <w:szCs w:val="5"/>
                <w:color w:val="auto"/>
              </w:rPr>
            </w:pPr>
          </w:p>
        </w:tc>
        <w:tc>
          <w:tcPr>
            <w:tcW w:w="8840" w:type="dxa"/>
            <w:vAlign w:val="bottom"/>
            <w:tcBorders>
              <w:bottom w:val="single" w:sz="8" w:color="3E3935"/>
            </w:tcBorders>
          </w:tcPr>
          <w:p>
            <w:pPr>
              <w:spacing w:after="0"/>
              <w:rPr>
                <w:sz w:val="5"/>
                <w:szCs w:val="5"/>
                <w:color w:val="auto"/>
              </w:rPr>
            </w:pPr>
          </w:p>
        </w:tc>
      </w:tr>
      <w:tr>
        <w:trPr>
          <w:trHeight w:val="255"/>
        </w:trPr>
        <w:tc>
          <w:tcPr>
            <w:tcW w:w="2180" w:type="dxa"/>
            <w:vAlign w:val="bottom"/>
          </w:tcPr>
          <w:p>
            <w:pPr>
              <w:ind w:left="80"/>
              <w:spacing w:after="0"/>
              <w:rPr>
                <w:sz w:val="20"/>
                <w:szCs w:val="20"/>
                <w:color w:val="auto"/>
              </w:rPr>
            </w:pPr>
            <w:r>
              <w:rPr>
                <w:rFonts w:ascii="Arial" w:cs="Arial" w:eastAsia="Arial" w:hAnsi="Arial"/>
                <w:sz w:val="20"/>
                <w:szCs w:val="20"/>
                <w:b w:val="1"/>
                <w:bCs w:val="1"/>
                <w:color w:val="3E3935"/>
              </w:rPr>
              <w:t>Plan Term</w:t>
            </w:r>
          </w:p>
        </w:tc>
        <w:tc>
          <w:tcPr>
            <w:tcW w:w="8840" w:type="dxa"/>
            <w:vAlign w:val="bottom"/>
          </w:tcPr>
          <w:p>
            <w:pPr>
              <w:ind w:left="360"/>
              <w:spacing w:after="0"/>
              <w:rPr>
                <w:sz w:val="20"/>
                <w:szCs w:val="20"/>
                <w:color w:val="auto"/>
              </w:rPr>
            </w:pPr>
            <w:r>
              <w:rPr>
                <w:rFonts w:ascii="Arial" w:cs="Arial" w:eastAsia="Arial" w:hAnsi="Arial"/>
                <w:sz w:val="20"/>
                <w:szCs w:val="20"/>
                <w:color w:val="3E3935"/>
              </w:rPr>
              <w:t>Amendment No. 1 to the 2020 LTIP is effective as of June 21, 2023, subject to the approval of</w:t>
            </w:r>
          </w:p>
        </w:tc>
      </w:tr>
      <w:tr>
        <w:trPr>
          <w:trHeight w:val="216"/>
        </w:trPr>
        <w:tc>
          <w:tcPr>
            <w:tcW w:w="2180" w:type="dxa"/>
            <w:vAlign w:val="bottom"/>
          </w:tcPr>
          <w:p>
            <w:pPr>
              <w:spacing w:after="0"/>
              <w:rPr>
                <w:sz w:val="18"/>
                <w:szCs w:val="18"/>
                <w:color w:val="auto"/>
              </w:rPr>
            </w:pPr>
          </w:p>
        </w:tc>
        <w:tc>
          <w:tcPr>
            <w:tcW w:w="8840" w:type="dxa"/>
            <w:vAlign w:val="bottom"/>
          </w:tcPr>
          <w:p>
            <w:pPr>
              <w:ind w:left="360"/>
              <w:spacing w:after="0" w:line="216" w:lineRule="exact"/>
              <w:rPr>
                <w:sz w:val="20"/>
                <w:szCs w:val="20"/>
                <w:color w:val="auto"/>
              </w:rPr>
            </w:pPr>
            <w:r>
              <w:rPr>
                <w:rFonts w:ascii="Arial" w:cs="Arial" w:eastAsia="Arial" w:hAnsi="Arial"/>
                <w:sz w:val="20"/>
                <w:szCs w:val="20"/>
                <w:color w:val="3E3935"/>
              </w:rPr>
              <w:t>shareholders, and no awards will be granted under the 2020 LTIP after June 21, 2033, or such</w:t>
            </w:r>
          </w:p>
        </w:tc>
      </w:tr>
      <w:tr>
        <w:trPr>
          <w:trHeight w:val="216"/>
        </w:trPr>
        <w:tc>
          <w:tcPr>
            <w:tcW w:w="2180" w:type="dxa"/>
            <w:vAlign w:val="bottom"/>
          </w:tcPr>
          <w:p>
            <w:pPr>
              <w:spacing w:after="0"/>
              <w:rPr>
                <w:sz w:val="18"/>
                <w:szCs w:val="18"/>
                <w:color w:val="auto"/>
              </w:rPr>
            </w:pPr>
          </w:p>
        </w:tc>
        <w:tc>
          <w:tcPr>
            <w:tcW w:w="8840" w:type="dxa"/>
            <w:vAlign w:val="bottom"/>
          </w:tcPr>
          <w:p>
            <w:pPr>
              <w:ind w:left="360"/>
              <w:spacing w:after="0" w:line="216" w:lineRule="exact"/>
              <w:rPr>
                <w:sz w:val="20"/>
                <w:szCs w:val="20"/>
                <w:color w:val="auto"/>
              </w:rPr>
            </w:pPr>
            <w:r>
              <w:rPr>
                <w:rFonts w:ascii="Arial" w:cs="Arial" w:eastAsia="Arial" w:hAnsi="Arial"/>
                <w:sz w:val="20"/>
                <w:szCs w:val="20"/>
                <w:color w:val="3E3935"/>
                <w:w w:val="99"/>
              </w:rPr>
              <w:t>earlier time as the maximum number of shares available for issuance under the 2020 LTIP have</w:t>
            </w:r>
          </w:p>
        </w:tc>
      </w:tr>
      <w:tr>
        <w:trPr>
          <w:trHeight w:val="261"/>
        </w:trPr>
        <w:tc>
          <w:tcPr>
            <w:tcW w:w="2180" w:type="dxa"/>
            <w:vAlign w:val="bottom"/>
          </w:tcPr>
          <w:p>
            <w:pPr>
              <w:spacing w:after="0"/>
              <w:rPr>
                <w:sz w:val="22"/>
                <w:szCs w:val="22"/>
                <w:color w:val="auto"/>
              </w:rPr>
            </w:pPr>
          </w:p>
        </w:tc>
        <w:tc>
          <w:tcPr>
            <w:tcW w:w="8840" w:type="dxa"/>
            <w:vAlign w:val="bottom"/>
          </w:tcPr>
          <w:p>
            <w:pPr>
              <w:ind w:left="360"/>
              <w:spacing w:after="0"/>
              <w:rPr>
                <w:sz w:val="20"/>
                <w:szCs w:val="20"/>
                <w:color w:val="auto"/>
              </w:rPr>
            </w:pPr>
            <w:r>
              <w:rPr>
                <w:rFonts w:ascii="Arial" w:cs="Arial" w:eastAsia="Arial" w:hAnsi="Arial"/>
                <w:sz w:val="20"/>
                <w:szCs w:val="20"/>
                <w:color w:val="3E3935"/>
              </w:rPr>
              <w:t>been issued or the Board terminates the 2020 LTIP.</w:t>
            </w:r>
          </w:p>
        </w:tc>
      </w:tr>
      <w:tr>
        <w:trPr>
          <w:trHeight w:val="58"/>
        </w:trPr>
        <w:tc>
          <w:tcPr>
            <w:tcW w:w="2180" w:type="dxa"/>
            <w:vAlign w:val="bottom"/>
            <w:tcBorders>
              <w:bottom w:val="single" w:sz="8" w:color="0071CE"/>
            </w:tcBorders>
          </w:tcPr>
          <w:p>
            <w:pPr>
              <w:spacing w:after="0"/>
              <w:rPr>
                <w:sz w:val="5"/>
                <w:szCs w:val="5"/>
                <w:color w:val="auto"/>
              </w:rPr>
            </w:pPr>
          </w:p>
        </w:tc>
        <w:tc>
          <w:tcPr>
            <w:tcW w:w="8840" w:type="dxa"/>
            <w:vAlign w:val="bottom"/>
            <w:tcBorders>
              <w:bottom w:val="single" w:sz="8" w:color="0071CE"/>
            </w:tcBorders>
          </w:tcPr>
          <w:p>
            <w:pPr>
              <w:spacing w:after="0"/>
              <w:rPr>
                <w:sz w:val="5"/>
                <w:szCs w:val="5"/>
                <w:color w:val="auto"/>
              </w:rPr>
            </w:pPr>
          </w:p>
        </w:tc>
      </w:tr>
    </w:tbl>
    <w:p>
      <w:pPr>
        <w:spacing w:after="0" w:line="315" w:lineRule="exact"/>
        <w:rPr>
          <w:sz w:val="20"/>
          <w:szCs w:val="20"/>
          <w:color w:val="auto"/>
        </w:rPr>
      </w:pPr>
    </w:p>
    <w:p>
      <w:pPr>
        <w:ind w:left="660" w:hanging="544"/>
        <w:spacing w:after="0"/>
        <w:tabs>
          <w:tab w:leader="none" w:pos="660" w:val="left"/>
        </w:tabs>
        <w:numPr>
          <w:ilvl w:val="0"/>
          <w:numId w:val="148"/>
        </w:numPr>
        <w:rPr>
          <w:rFonts w:ascii="Times New Roman" w:cs="Times New Roman" w:eastAsia="Times New Roman" w:hAnsi="Times New Roman"/>
          <w:sz w:val="19"/>
          <w:szCs w:val="19"/>
          <w:color w:val="0071CE"/>
        </w:rPr>
      </w:pPr>
      <w:r>
        <w:rPr>
          <w:rFonts w:ascii="Arial" w:cs="Arial" w:eastAsia="Arial" w:hAnsi="Arial"/>
          <w:sz w:val="25"/>
          <w:szCs w:val="25"/>
          <w:color w:val="3E3935"/>
        </w:rPr>
        <w:t>Plan Benefits</w:t>
      </w:r>
    </w:p>
    <w:p>
      <w:pPr>
        <w:spacing w:after="0" w:line="159" w:lineRule="exact"/>
        <w:rPr>
          <w:sz w:val="20"/>
          <w:szCs w:val="20"/>
          <w:color w:val="auto"/>
        </w:rPr>
      </w:pPr>
    </w:p>
    <w:p>
      <w:pPr>
        <w:jc w:val="both"/>
        <w:ind w:left="120" w:right="20"/>
        <w:spacing w:after="0" w:line="241" w:lineRule="auto"/>
        <w:rPr>
          <w:sz w:val="20"/>
          <w:szCs w:val="20"/>
          <w:color w:val="auto"/>
        </w:rPr>
      </w:pPr>
      <w:r>
        <w:rPr>
          <w:rFonts w:ascii="Arial" w:cs="Arial" w:eastAsia="Arial" w:hAnsi="Arial"/>
          <w:sz w:val="20"/>
          <w:szCs w:val="20"/>
          <w:color w:val="3E3935"/>
        </w:rPr>
        <w:t>The dollar value and number of awards to be granted in the future to eligible participants under the 2020 LTIP are generally not currently determinable because the value and number of such awards are subject to the discretion of the Compensation Committee.</w:t>
      </w:r>
    </w:p>
    <w:p>
      <w:pPr>
        <w:spacing w:after="0" w:line="292" w:lineRule="exact"/>
        <w:rPr>
          <w:sz w:val="20"/>
          <w:szCs w:val="20"/>
          <w:color w:val="auto"/>
        </w:rPr>
      </w:pPr>
    </w:p>
    <w:p>
      <w:pPr>
        <w:ind w:left="660" w:hanging="544"/>
        <w:spacing w:after="0"/>
        <w:tabs>
          <w:tab w:leader="none" w:pos="660" w:val="left"/>
        </w:tabs>
        <w:numPr>
          <w:ilvl w:val="0"/>
          <w:numId w:val="149"/>
        </w:numPr>
        <w:rPr>
          <w:rFonts w:ascii="Times New Roman" w:cs="Times New Roman" w:eastAsia="Times New Roman" w:hAnsi="Times New Roman"/>
          <w:sz w:val="19"/>
          <w:szCs w:val="19"/>
          <w:color w:val="0071CE"/>
        </w:rPr>
      </w:pPr>
      <w:r>
        <w:rPr>
          <w:rFonts w:ascii="Arial" w:cs="Arial" w:eastAsia="Arial" w:hAnsi="Arial"/>
          <w:sz w:val="25"/>
          <w:szCs w:val="25"/>
          <w:color w:val="3E3935"/>
        </w:rPr>
        <w:t>Federal Income Tax Consequences for Awards</w:t>
      </w:r>
    </w:p>
    <w:p>
      <w:pPr>
        <w:spacing w:after="0" w:line="159" w:lineRule="exact"/>
        <w:rPr>
          <w:sz w:val="20"/>
          <w:szCs w:val="20"/>
          <w:color w:val="auto"/>
        </w:rPr>
      </w:pPr>
    </w:p>
    <w:p>
      <w:pPr>
        <w:jc w:val="both"/>
        <w:ind w:left="120" w:right="20"/>
        <w:spacing w:after="0" w:line="237" w:lineRule="auto"/>
        <w:rPr>
          <w:sz w:val="20"/>
          <w:szCs w:val="20"/>
          <w:color w:val="auto"/>
        </w:rPr>
      </w:pPr>
      <w:r>
        <w:rPr>
          <w:rFonts w:ascii="Arial" w:cs="Arial" w:eastAsia="Arial" w:hAnsi="Arial"/>
          <w:sz w:val="20"/>
          <w:szCs w:val="20"/>
          <w:color w:val="3E3935"/>
        </w:rPr>
        <w:t>Applicable disclosure rules require us to include a brief summary of the federal income tax consequences applicable to awards that may be granted under the 2020 LTIP. This summary is not intended to be exhaustive, does not constitute tax advice and, among other things, does not describe state, local or foreign tax consequences, which may be substantially different.</w:t>
      </w:r>
    </w:p>
    <w:p>
      <w:pPr>
        <w:spacing w:after="0" w:line="89" w:lineRule="exact"/>
        <w:rPr>
          <w:sz w:val="20"/>
          <w:szCs w:val="20"/>
          <w:color w:val="auto"/>
        </w:rPr>
      </w:pPr>
    </w:p>
    <w:p>
      <w:pPr>
        <w:jc w:val="both"/>
        <w:ind w:left="120" w:right="20"/>
        <w:spacing w:after="0" w:line="231" w:lineRule="auto"/>
        <w:rPr>
          <w:sz w:val="20"/>
          <w:szCs w:val="20"/>
          <w:color w:val="auto"/>
        </w:rPr>
      </w:pPr>
      <w:r>
        <w:rPr>
          <w:rFonts w:ascii="Arial" w:cs="Arial" w:eastAsia="Arial" w:hAnsi="Arial"/>
          <w:sz w:val="20"/>
          <w:szCs w:val="20"/>
          <w:b w:val="1"/>
          <w:bCs w:val="1"/>
          <w:color w:val="0071CE"/>
        </w:rPr>
        <w:t xml:space="preserve">Non-Qualified Stock Options </w:t>
      </w:r>
      <w:r>
        <w:rPr>
          <w:rFonts w:ascii="Arial" w:cs="Arial" w:eastAsia="Arial" w:hAnsi="Arial"/>
          <w:sz w:val="20"/>
          <w:szCs w:val="20"/>
          <w:color w:val="3E3935"/>
        </w:rPr>
        <w:t>— When a participant exercises a stock option, the amount by which the fair market value of</w:t>
      </w:r>
      <w:r>
        <w:rPr>
          <w:rFonts w:ascii="Arial" w:cs="Arial" w:eastAsia="Arial" w:hAnsi="Arial"/>
          <w:sz w:val="20"/>
          <w:szCs w:val="20"/>
          <w:b w:val="1"/>
          <w:bCs w:val="1"/>
          <w:color w:val="0071CE"/>
        </w:rPr>
        <w:t xml:space="preserve"> </w:t>
      </w:r>
      <w:r>
        <w:rPr>
          <w:rFonts w:ascii="Arial" w:cs="Arial" w:eastAsia="Arial" w:hAnsi="Arial"/>
          <w:sz w:val="20"/>
          <w:szCs w:val="20"/>
          <w:color w:val="3E3935"/>
        </w:rPr>
        <w:t>the stock underlying the stock option on the date of exercise exceeds the aggregate exercise price of the stock option is taxed as ordinary income to the participant in the year of exercise and generally will be allowed as a deduction for federal income tax purposes to the Company in the same year. When a participant disposes of shares acquired by the exercise of the stock option, any amount received in excess of the fair market value of the shares on the date of exercise will be treated as a long-term or short-term capital gain to the participant, depending upon the holding period of the shares. If the amount received is less than the market value of the shares on the date of exercise, the loss will be treated as a long-term or short-term capital loss, depending upon the holding period of the shares.</w:t>
      </w:r>
    </w:p>
    <w:p>
      <w:pPr>
        <w:spacing w:after="0" w:line="106" w:lineRule="exact"/>
        <w:rPr>
          <w:sz w:val="20"/>
          <w:szCs w:val="20"/>
          <w:color w:val="auto"/>
        </w:rPr>
      </w:pPr>
    </w:p>
    <w:p>
      <w:pPr>
        <w:jc w:val="both"/>
        <w:ind w:left="120"/>
        <w:spacing w:after="0" w:line="241" w:lineRule="auto"/>
        <w:rPr>
          <w:sz w:val="20"/>
          <w:szCs w:val="20"/>
          <w:color w:val="auto"/>
        </w:rPr>
      </w:pPr>
      <w:r>
        <w:rPr>
          <w:rFonts w:ascii="Arial" w:cs="Arial" w:eastAsia="Arial" w:hAnsi="Arial"/>
          <w:sz w:val="19"/>
          <w:szCs w:val="19"/>
          <w:b w:val="1"/>
          <w:bCs w:val="1"/>
          <w:color w:val="0071CE"/>
        </w:rPr>
        <w:t xml:space="preserve">Incentive Stock Options </w:t>
      </w:r>
      <w:r>
        <w:rPr>
          <w:rFonts w:ascii="Arial" w:cs="Arial" w:eastAsia="Arial" w:hAnsi="Arial"/>
          <w:sz w:val="19"/>
          <w:szCs w:val="19"/>
          <w:color w:val="3E3935"/>
        </w:rPr>
        <w:t>— When a participant exercises an incentive stock option while employed by the Company or a</w:t>
      </w:r>
      <w:r>
        <w:rPr>
          <w:rFonts w:ascii="Arial" w:cs="Arial" w:eastAsia="Arial" w:hAnsi="Arial"/>
          <w:sz w:val="19"/>
          <w:szCs w:val="19"/>
          <w:b w:val="1"/>
          <w:bCs w:val="1"/>
          <w:color w:val="0071CE"/>
        </w:rPr>
        <w:t xml:space="preserve"> </w:t>
      </w:r>
      <w:r>
        <w:rPr>
          <w:rFonts w:ascii="Arial" w:cs="Arial" w:eastAsia="Arial" w:hAnsi="Arial"/>
          <w:sz w:val="19"/>
          <w:szCs w:val="19"/>
          <w:color w:val="3E3935"/>
        </w:rPr>
        <w:t>subsidiary or within the three-month (one year for disability) period after termination of service, no ordinary income (other than alternative minimum tax) will be recognized by the participant at that time. If the shares acquired upon exercise are not disposed of until more than two years after the stock option was granted and one year after the date of exercise, the excess of the sale proceeds over the aggregate exercise price of such shares will be treated as long-term capital gain to the participant, and the Company will not be entitled to a tax deduction under such circumstances. However, if the shares are disposed of prior to such date (a “disqualifying disposition”), any portion of the proceeds representing the excess of the fair market value of such shares at the time of exercise over the aggregate exercise price (but generally not more than the amount of gain realized on the disposition) will generally be ordinary income to the participant at the time of such disqualifying disposition and the Company generally will be entitled to a federal tax deduction equal to the amount of ordinary income so recognized by the participant. If an incentive stock option is exercised more than three months (one year for disability) after termination of service, the tax consequences are the same as described above for non-qualified stock options.</w:t>
      </w:r>
    </w:p>
    <w:p>
      <w:pPr>
        <w:spacing w:after="0" w:line="122" w:lineRule="exact"/>
        <w:rPr>
          <w:sz w:val="20"/>
          <w:szCs w:val="20"/>
          <w:color w:val="auto"/>
        </w:rPr>
      </w:pPr>
    </w:p>
    <w:p>
      <w:pPr>
        <w:ind w:left="10660"/>
        <w:spacing w:after="0"/>
        <w:rPr>
          <w:sz w:val="20"/>
          <w:szCs w:val="20"/>
          <w:color w:val="auto"/>
        </w:rPr>
      </w:pPr>
      <w:r>
        <w:rPr>
          <w:rFonts w:ascii="Arial" w:cs="Arial" w:eastAsia="Arial" w:hAnsi="Arial"/>
          <w:sz w:val="14"/>
          <w:szCs w:val="14"/>
          <w:color w:val="0071CE"/>
        </w:rPr>
        <w:t>95</w:t>
      </w:r>
    </w:p>
    <w:p>
      <w:pPr>
        <w:sectPr>
          <w:pgSz w:w="11900" w:h="16838" w:orient="portrait"/>
          <w:cols w:equalWidth="0" w:num="1">
            <w:col w:w="11140"/>
          </w:cols>
          <w:pgMar w:left="320" w:top="482" w:right="43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4" w:lineRule="exact"/>
        <w:rPr>
          <w:sz w:val="20"/>
          <w:szCs w:val="20"/>
          <w:color w:val="auto"/>
        </w:rPr>
      </w:pPr>
    </w:p>
    <w:p>
      <w:pPr>
        <w:jc w:val="both"/>
        <w:ind w:left="120" w:right="20"/>
        <w:spacing w:after="0" w:line="231" w:lineRule="auto"/>
        <w:rPr>
          <w:sz w:val="20"/>
          <w:szCs w:val="20"/>
          <w:color w:val="auto"/>
        </w:rPr>
      </w:pPr>
      <w:r>
        <w:rPr>
          <w:rFonts w:ascii="Arial" w:cs="Arial" w:eastAsia="Arial" w:hAnsi="Arial"/>
          <w:sz w:val="20"/>
          <w:szCs w:val="20"/>
          <w:b w:val="1"/>
          <w:bCs w:val="1"/>
          <w:color w:val="0071CE"/>
        </w:rPr>
        <w:t xml:space="preserve">Restricted Stock </w:t>
      </w:r>
      <w:r>
        <w:rPr>
          <w:rFonts w:ascii="Arial" w:cs="Arial" w:eastAsia="Arial" w:hAnsi="Arial"/>
          <w:sz w:val="20"/>
          <w:szCs w:val="20"/>
          <w:color w:val="3E3935"/>
        </w:rPr>
        <w:t>— A participant generally will not be taxed upon the grant of restricted stock, but rather will recognize</w:t>
      </w:r>
      <w:r>
        <w:rPr>
          <w:rFonts w:ascii="Arial" w:cs="Arial" w:eastAsia="Arial" w:hAnsi="Arial"/>
          <w:sz w:val="20"/>
          <w:szCs w:val="20"/>
          <w:b w:val="1"/>
          <w:bCs w:val="1"/>
          <w:color w:val="0071CE"/>
        </w:rPr>
        <w:t xml:space="preserve"> </w:t>
      </w:r>
      <w:r>
        <w:rPr>
          <w:rFonts w:ascii="Arial" w:cs="Arial" w:eastAsia="Arial" w:hAnsi="Arial"/>
          <w:sz w:val="20"/>
          <w:szCs w:val="20"/>
          <w:color w:val="3E3935"/>
        </w:rPr>
        <w:t>ordinary income in an amount equal to the fair market value of the stock at the time the stock vests. The Company will be entitled to a deduction at the time when, and in the amount that, the participant recognizes ordinary income on account of such vesting. Under Section 83(b) of the IRC, a participant may elect to recognize ordinary income at the time the restricted stock is awarded in an amount equal to the fair market value of the restricted stock at that time, notwithstanding the fact that such restricted stock is unvested. If such an election is made, no additional taxable income will be recognized by such participant at the time the restricted stock vests. The Company generally will be entitled to a tax deduction at the time when, and to the extent that, ordinary income is recognized by the participant.</w:t>
      </w:r>
    </w:p>
    <w:p>
      <w:pPr>
        <w:spacing w:after="0" w:line="106" w:lineRule="exact"/>
        <w:rPr>
          <w:sz w:val="20"/>
          <w:szCs w:val="20"/>
          <w:color w:val="auto"/>
        </w:rPr>
      </w:pPr>
    </w:p>
    <w:p>
      <w:pPr>
        <w:jc w:val="both"/>
        <w:ind w:left="120" w:right="20"/>
        <w:spacing w:after="0" w:line="237" w:lineRule="auto"/>
        <w:rPr>
          <w:sz w:val="20"/>
          <w:szCs w:val="20"/>
          <w:color w:val="auto"/>
        </w:rPr>
      </w:pPr>
      <w:r>
        <w:rPr>
          <w:rFonts w:ascii="Arial" w:cs="Arial" w:eastAsia="Arial" w:hAnsi="Arial"/>
          <w:sz w:val="20"/>
          <w:szCs w:val="20"/>
          <w:b w:val="1"/>
          <w:bCs w:val="1"/>
          <w:color w:val="0071CE"/>
        </w:rPr>
        <w:t xml:space="preserve">RSUs </w:t>
      </w:r>
      <w:r>
        <w:rPr>
          <w:rFonts w:ascii="Arial" w:cs="Arial" w:eastAsia="Arial" w:hAnsi="Arial"/>
          <w:sz w:val="20"/>
          <w:szCs w:val="20"/>
          <w:color w:val="3E3935"/>
        </w:rPr>
        <w:t>— A participant generally will not be taxed upon the grant of RSUs (including PSUs), but rather will recognize ordinary</w:t>
      </w:r>
      <w:r>
        <w:rPr>
          <w:rFonts w:ascii="Arial" w:cs="Arial" w:eastAsia="Arial" w:hAnsi="Arial"/>
          <w:sz w:val="20"/>
          <w:szCs w:val="20"/>
          <w:b w:val="1"/>
          <w:bCs w:val="1"/>
          <w:color w:val="0071CE"/>
        </w:rPr>
        <w:t xml:space="preserve"> </w:t>
      </w:r>
      <w:r>
        <w:rPr>
          <w:rFonts w:ascii="Arial" w:cs="Arial" w:eastAsia="Arial" w:hAnsi="Arial"/>
          <w:sz w:val="20"/>
          <w:szCs w:val="20"/>
          <w:color w:val="3E3935"/>
        </w:rPr>
        <w:t>income in an amount equal to the fair market value of the shares received at the time of settlement of such an award in shares or the cash payment received if the award is settled in cash. The Company generally will be entitled to a tax deduction at the same time and in the same amount.</w:t>
      </w:r>
    </w:p>
    <w:p>
      <w:pPr>
        <w:spacing w:after="0" w:line="104" w:lineRule="exact"/>
        <w:rPr>
          <w:sz w:val="20"/>
          <w:szCs w:val="20"/>
          <w:color w:val="auto"/>
        </w:rPr>
      </w:pPr>
    </w:p>
    <w:p>
      <w:pPr>
        <w:jc w:val="both"/>
        <w:ind w:left="120" w:right="20"/>
        <w:spacing w:after="0" w:line="237" w:lineRule="auto"/>
        <w:rPr>
          <w:sz w:val="20"/>
          <w:szCs w:val="20"/>
          <w:color w:val="auto"/>
        </w:rPr>
      </w:pPr>
      <w:r>
        <w:rPr>
          <w:rFonts w:ascii="Arial" w:cs="Arial" w:eastAsia="Arial" w:hAnsi="Arial"/>
          <w:sz w:val="20"/>
          <w:szCs w:val="20"/>
          <w:b w:val="1"/>
          <w:bCs w:val="1"/>
          <w:color w:val="0071CE"/>
        </w:rPr>
        <w:t xml:space="preserve">Other Awards </w:t>
      </w:r>
      <w:r>
        <w:rPr>
          <w:rFonts w:ascii="Arial" w:cs="Arial" w:eastAsia="Arial" w:hAnsi="Arial"/>
          <w:sz w:val="20"/>
          <w:szCs w:val="20"/>
          <w:color w:val="3E3935"/>
        </w:rPr>
        <w:t>— With respect to other awards granted under the 2020 LTIP, including other stock-based awards and cash</w:t>
      </w:r>
      <w:r>
        <w:rPr>
          <w:rFonts w:ascii="Arial" w:cs="Arial" w:eastAsia="Arial" w:hAnsi="Arial"/>
          <w:sz w:val="20"/>
          <w:szCs w:val="20"/>
          <w:b w:val="1"/>
          <w:bCs w:val="1"/>
          <w:color w:val="0071CE"/>
        </w:rPr>
        <w:t xml:space="preserve"> </w:t>
      </w:r>
      <w:r>
        <w:rPr>
          <w:rFonts w:ascii="Arial" w:cs="Arial" w:eastAsia="Arial" w:hAnsi="Arial"/>
          <w:sz w:val="20"/>
          <w:szCs w:val="20"/>
          <w:color w:val="3E3935"/>
        </w:rPr>
        <w:t>incentive awards, a participant generally will recognize ordinary income equal to the payment received with respect to an award paid in cash and/or the fair market value of any shares or other property received. The Company generally will be entitled to a tax deduction at the same time and in the same amount.</w:t>
      </w:r>
    </w:p>
    <w:p>
      <w:pPr>
        <w:spacing w:after="0" w:line="93" w:lineRule="exact"/>
        <w:rPr>
          <w:sz w:val="20"/>
          <w:szCs w:val="20"/>
          <w:color w:val="auto"/>
        </w:rPr>
      </w:pPr>
    </w:p>
    <w:p>
      <w:pPr>
        <w:jc w:val="both"/>
        <w:ind w:left="120"/>
        <w:spacing w:after="0" w:line="237" w:lineRule="auto"/>
        <w:rPr>
          <w:sz w:val="20"/>
          <w:szCs w:val="20"/>
          <w:color w:val="auto"/>
        </w:rPr>
      </w:pPr>
      <w:r>
        <w:rPr>
          <w:rFonts w:ascii="Arial" w:cs="Arial" w:eastAsia="Arial" w:hAnsi="Arial"/>
          <w:sz w:val="20"/>
          <w:szCs w:val="20"/>
          <w:color w:val="3E3935"/>
        </w:rPr>
        <w:t>Under Section 162(m) of the IRC, the deductibility of compensation paid to certain individuals is limited to $1,000,000 per person per year. These individuals include our CEO, CFO, and certain other executive officers (including, but not necessarily limited to, our next three other most highly compensated named executive officers other than the CEO and CFO, and certain individuals who were subject to Section 162(m) at the Company for the 2017 calendar year or later).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139700</wp:posOffset>
            </wp:positionV>
            <wp:extent cx="6978015" cy="72834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6978015" cy="728345"/>
                    </a:xfrm>
                    <a:prstGeom prst="rect">
                      <a:avLst/>
                    </a:prstGeom>
                    <a:noFill/>
                  </pic:spPr>
                </pic:pic>
              </a:graphicData>
            </a:graphic>
          </wp:anchor>
        </w:drawing>
      </w:r>
    </w:p>
    <w:p>
      <w:pPr>
        <w:spacing w:after="0" w:line="311" w:lineRule="exact"/>
        <w:rPr>
          <w:sz w:val="20"/>
          <w:szCs w:val="20"/>
          <w:color w:val="auto"/>
        </w:rPr>
      </w:pPr>
    </w:p>
    <w:p>
      <w:pPr>
        <w:ind w:left="280"/>
        <w:spacing w:after="0"/>
        <w:rPr>
          <w:sz w:val="20"/>
          <w:szCs w:val="20"/>
          <w:color w:val="auto"/>
        </w:rPr>
      </w:pPr>
      <w:r>
        <w:rPr>
          <w:rFonts w:ascii="Arial" w:cs="Arial" w:eastAsia="Arial" w:hAnsi="Arial"/>
          <w:sz w:val="25"/>
          <w:szCs w:val="25"/>
          <w:b w:val="1"/>
          <w:bCs w:val="1"/>
          <w:color w:val="0071CE"/>
        </w:rPr>
        <w:t xml:space="preserve">The Board recommends a vote </w:t>
      </w:r>
      <w:r>
        <w:rPr>
          <w:rFonts w:ascii="Arial" w:cs="Arial" w:eastAsia="Arial" w:hAnsi="Arial"/>
          <w:sz w:val="25"/>
          <w:szCs w:val="25"/>
          <w:b w:val="1"/>
          <w:bCs w:val="1"/>
          <w:u w:val="single" w:color="auto"/>
          <w:color w:val="00C1DE"/>
        </w:rPr>
        <w:t>FOR</w:t>
      </w:r>
      <w:r>
        <w:rPr>
          <w:rFonts w:ascii="Arial" w:cs="Arial" w:eastAsia="Arial" w:hAnsi="Arial"/>
          <w:sz w:val="25"/>
          <w:szCs w:val="25"/>
          <w:b w:val="1"/>
          <w:bCs w:val="1"/>
          <w:color w:val="0071CE"/>
        </w:rPr>
        <w:t xml:space="preserve"> the approval of Amendment No. 1 to the</w:t>
      </w:r>
    </w:p>
    <w:p>
      <w:pPr>
        <w:spacing w:after="0" w:line="36" w:lineRule="exact"/>
        <w:rPr>
          <w:sz w:val="20"/>
          <w:szCs w:val="20"/>
          <w:color w:val="auto"/>
        </w:rPr>
      </w:pPr>
    </w:p>
    <w:p>
      <w:pPr>
        <w:ind w:left="280" w:right="300"/>
        <w:spacing w:after="0" w:line="181" w:lineRule="auto"/>
        <w:rPr>
          <w:sz w:val="20"/>
          <w:szCs w:val="20"/>
          <w:color w:val="auto"/>
        </w:rPr>
      </w:pPr>
      <w:r>
        <w:rPr>
          <w:rFonts w:ascii="Arial" w:cs="Arial" w:eastAsia="Arial" w:hAnsi="Arial"/>
          <w:sz w:val="23"/>
          <w:szCs w:val="23"/>
          <w:b w:val="1"/>
          <w:bCs w:val="1"/>
          <w:color w:val="0071CE"/>
        </w:rPr>
        <w:t xml:space="preserve">Company’s 2020 Long-Term Incentive Plan to increase the number of shares </w:t>
      </w:r>
      <w:r>
        <w:rPr>
          <w:rFonts w:ascii="Arial" w:cs="Arial" w:eastAsia="Arial" w:hAnsi="Arial"/>
          <w:sz w:val="48"/>
          <w:szCs w:val="48"/>
          <w:b w:val="1"/>
          <w:bCs w:val="1"/>
          <w:color w:val="0071CE"/>
          <w:vertAlign w:val="subscript"/>
        </w:rPr>
        <w:t>FOR</w:t>
      </w:r>
      <w:r>
        <w:rPr>
          <w:rFonts w:ascii="Arial" w:cs="Arial" w:eastAsia="Arial" w:hAnsi="Arial"/>
          <w:sz w:val="23"/>
          <w:szCs w:val="23"/>
          <w:b w:val="1"/>
          <w:bCs w:val="1"/>
          <w:color w:val="0071CE"/>
        </w:rPr>
        <w:t xml:space="preserve"> available for issuance thereunder.</w:t>
      </w:r>
    </w:p>
    <w:p>
      <w:pPr>
        <w:spacing w:after="0" w:line="200" w:lineRule="exact"/>
        <w:rPr>
          <w:sz w:val="20"/>
          <w:szCs w:val="20"/>
          <w:color w:val="auto"/>
        </w:rPr>
      </w:pPr>
    </w:p>
    <w:p>
      <w:pPr>
        <w:spacing w:after="0" w:line="281" w:lineRule="exact"/>
        <w:rPr>
          <w:sz w:val="20"/>
          <w:szCs w:val="20"/>
          <w:color w:val="auto"/>
        </w:rPr>
      </w:pPr>
    </w:p>
    <w:p>
      <w:pPr>
        <w:ind w:left="120"/>
        <w:spacing w:after="0"/>
        <w:rPr>
          <w:sz w:val="20"/>
          <w:szCs w:val="20"/>
          <w:color w:val="auto"/>
        </w:rPr>
      </w:pPr>
      <w:r>
        <w:rPr>
          <w:rFonts w:ascii="Arial" w:cs="Arial" w:eastAsia="Arial" w:hAnsi="Arial"/>
          <w:sz w:val="14"/>
          <w:szCs w:val="14"/>
          <w:color w:val="0071CE"/>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wp:posOffset>
            </wp:positionH>
            <wp:positionV relativeFrom="paragraph">
              <wp:posOffset>-95885</wp:posOffset>
            </wp:positionV>
            <wp:extent cx="5983605" cy="10287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5983605" cy="102870"/>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right"/>
        <w:ind w:right="2519"/>
        <w:spacing w:after="0"/>
        <w:rPr>
          <w:sz w:val="20"/>
          <w:szCs w:val="20"/>
          <w:color w:val="auto"/>
        </w:rPr>
      </w:pPr>
      <w:r>
        <w:rPr>
          <w:rFonts w:ascii="Arial" w:cs="Arial" w:eastAsia="Arial" w:hAnsi="Arial"/>
          <w:sz w:val="20"/>
          <w:szCs w:val="20"/>
          <w:color w:val="3E3935"/>
        </w:rPr>
        <w:t>[THIS PAGE INTENTIONALLY LEFT BLANK]</w:t>
      </w:r>
    </w:p>
    <w:p>
      <w:pPr>
        <w:sectPr>
          <w:pgSz w:w="11900" w:h="16838" w:orient="portrait"/>
          <w:cols w:equalWidth="0" w:num="1">
            <w:col w:w="10139"/>
          </w:cols>
          <w:pgMar w:left="320" w:top="482" w:right="1440"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11" w:lineRule="exact"/>
        <w:rPr>
          <w:sz w:val="20"/>
          <w:szCs w:val="20"/>
          <w:color w:val="auto"/>
        </w:rPr>
      </w:pPr>
    </w:p>
    <w:p>
      <w:pPr>
        <w:ind w:left="2260" w:right="1560" w:hanging="2145"/>
        <w:spacing w:after="0" w:line="272" w:lineRule="auto"/>
        <w:tabs>
          <w:tab w:leader="none" w:pos="2240" w:val="left"/>
        </w:tabs>
        <w:rPr>
          <w:sz w:val="20"/>
          <w:szCs w:val="20"/>
          <w:color w:val="auto"/>
        </w:rPr>
      </w:pPr>
      <w:r>
        <w:rPr>
          <w:rFonts w:ascii="Arial" w:cs="Arial" w:eastAsia="Arial" w:hAnsi="Arial"/>
          <w:sz w:val="32"/>
          <w:szCs w:val="32"/>
          <w:b w:val="1"/>
          <w:bCs w:val="1"/>
          <w:color w:val="3E3935"/>
        </w:rPr>
        <w:t>ITEM NO.5:</w:t>
      </w:r>
      <w:r>
        <w:rPr>
          <w:rFonts w:ascii="Arial" w:cs="Arial" w:eastAsia="Arial" w:hAnsi="Arial"/>
          <w:sz w:val="32"/>
          <w:szCs w:val="32"/>
          <w:b w:val="1"/>
          <w:bCs w:val="1"/>
          <w:color w:val="00C1DE"/>
        </w:rPr>
        <w:tab/>
        <w:t>SHAREHOLDER PROPOSAL REQUESTING A REPORT ON THE COMPANY’S OPERATIONS IN CHINA</w:t>
      </w:r>
    </w:p>
    <w:p>
      <w:pPr>
        <w:spacing w:after="0" w:line="189" w:lineRule="exact"/>
        <w:rPr>
          <w:sz w:val="20"/>
          <w:szCs w:val="20"/>
          <w:color w:val="auto"/>
        </w:rPr>
      </w:pPr>
    </w:p>
    <w:p>
      <w:pPr>
        <w:jc w:val="both"/>
        <w:ind w:left="120" w:right="20"/>
        <w:spacing w:after="0" w:line="260" w:lineRule="auto"/>
        <w:rPr>
          <w:sz w:val="20"/>
          <w:szCs w:val="20"/>
          <w:color w:val="auto"/>
        </w:rPr>
      </w:pPr>
      <w:r>
        <w:rPr>
          <w:rFonts w:ascii="Arial" w:cs="Arial" w:eastAsia="Arial" w:hAnsi="Arial"/>
          <w:sz w:val="19"/>
          <w:szCs w:val="19"/>
          <w:i w:val="1"/>
          <w:iCs w:val="1"/>
          <w:color w:val="3E3935"/>
        </w:rPr>
        <w:t>The National Legal and Policy Center, 107 Park Washington Court, Falls Church, Virginia 22046, owner of 100 shares of GM common stock, has given notice that it intends to present for action at the Annual Meeting the following shareholder proposal. The shareholder proponent is responsible for the content of the proposal for which we and our Board accept no responsibility.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43180</wp:posOffset>
            </wp:positionV>
            <wp:extent cx="6995160" cy="825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88" w:lineRule="exact"/>
        <w:rPr>
          <w:sz w:val="20"/>
          <w:szCs w:val="20"/>
          <w:color w:val="auto"/>
        </w:rPr>
      </w:pPr>
    </w:p>
    <w:p>
      <w:pPr>
        <w:jc w:val="both"/>
        <w:ind w:left="120" w:right="20"/>
        <w:spacing w:after="0" w:line="234" w:lineRule="auto"/>
        <w:rPr>
          <w:sz w:val="20"/>
          <w:szCs w:val="20"/>
          <w:color w:val="auto"/>
        </w:rPr>
      </w:pPr>
      <w:r>
        <w:rPr>
          <w:rFonts w:ascii="Arial" w:cs="Arial" w:eastAsia="Arial" w:hAnsi="Arial"/>
          <w:sz w:val="20"/>
          <w:szCs w:val="20"/>
          <w:color w:val="3E3935"/>
        </w:rPr>
        <w:t>RESOLVED: Shareholders request that, beginning in 2023, General Motors Company (“GM”) report annually to shareholders on the nature and extent to which corporate operations depend on, and are vulnerable to, Communist China, which is a serial human rights violator, a geopolitical threat, and an adversary to the United States. The report should exclude confidential business information but provide shareholders with a sense of the Company’s reliance on activities conducted within, and under control of, the Communist Chinese government.</w:t>
      </w:r>
    </w:p>
    <w:p>
      <w:pPr>
        <w:spacing w:after="0" w:line="67" w:lineRule="exact"/>
        <w:rPr>
          <w:sz w:val="20"/>
          <w:szCs w:val="20"/>
          <w:color w:val="auto"/>
        </w:rPr>
      </w:pPr>
    </w:p>
    <w:p>
      <w:pPr>
        <w:jc w:val="both"/>
        <w:ind w:left="120" w:right="20"/>
        <w:spacing w:after="0" w:line="241" w:lineRule="auto"/>
        <w:rPr>
          <w:sz w:val="20"/>
          <w:szCs w:val="20"/>
          <w:color w:val="auto"/>
        </w:rPr>
      </w:pPr>
      <w:r>
        <w:rPr>
          <w:rFonts w:ascii="Arial" w:cs="Arial" w:eastAsia="Arial" w:hAnsi="Arial"/>
          <w:sz w:val="20"/>
          <w:szCs w:val="20"/>
          <w:i w:val="1"/>
          <w:iCs w:val="1"/>
          <w:color w:val="3E3935"/>
        </w:rPr>
        <w:t xml:space="preserve">Supporting Statement: </w:t>
      </w:r>
      <w:r>
        <w:rPr>
          <w:rFonts w:ascii="Arial" w:cs="Arial" w:eastAsia="Arial" w:hAnsi="Arial"/>
          <w:sz w:val="20"/>
          <w:szCs w:val="20"/>
          <w:color w:val="3E3935"/>
        </w:rPr>
        <w:t>CNN reported in 2021 that “Beijing has made it clear that multinational corporations have to follow its</w:t>
      </w:r>
      <w:r>
        <w:rPr>
          <w:rFonts w:ascii="Arial" w:cs="Arial" w:eastAsia="Arial" w:hAnsi="Arial"/>
          <w:sz w:val="20"/>
          <w:szCs w:val="20"/>
          <w:i w:val="1"/>
          <w:iCs w:val="1"/>
          <w:color w:val="3E3935"/>
        </w:rPr>
        <w:t xml:space="preserve"> </w:t>
      </w:r>
      <w:r>
        <w:rPr>
          <w:rFonts w:ascii="Arial" w:cs="Arial" w:eastAsia="Arial" w:hAnsi="Arial"/>
          <w:sz w:val="20"/>
          <w:szCs w:val="20"/>
          <w:color w:val="3E3935"/>
        </w:rPr>
        <w:t>rules if they wish to operate in the country, and gaining favor can require … abiding by restrictive regulations ... Many companies have traditionally been willing to play along, given how enticing the giant economy is as a market.”</w:t>
      </w:r>
    </w:p>
    <w:p>
      <w:pPr>
        <w:spacing w:after="0" w:line="63" w:lineRule="exact"/>
        <w:rPr>
          <w:sz w:val="20"/>
          <w:szCs w:val="20"/>
          <w:color w:val="auto"/>
        </w:rPr>
      </w:pPr>
    </w:p>
    <w:p>
      <w:pPr>
        <w:jc w:val="both"/>
        <w:ind w:left="120" w:right="20"/>
        <w:spacing w:after="0" w:line="234" w:lineRule="auto"/>
        <w:rPr>
          <w:sz w:val="20"/>
          <w:szCs w:val="20"/>
          <w:color w:val="auto"/>
        </w:rPr>
      </w:pPr>
      <w:r>
        <w:rPr>
          <w:rFonts w:ascii="Arial" w:cs="Arial" w:eastAsia="Arial" w:hAnsi="Arial"/>
          <w:sz w:val="20"/>
          <w:szCs w:val="20"/>
          <w:color w:val="3E3935"/>
        </w:rPr>
        <w:t>GM manufacturers most of its vehicles for the Chinese market within the communist nation, and equally owns “Shanghai GM” with Chinese state-owned SAIC Motor Cop, among other partnerships. The company relies on raw materials, supplies, finished products, labor and/or services from Chinese-controlled entities – and depends on access to its consumer market. GM’s ambitious electric vehicle production goals mean many badly-needed metals come through Chinese-owned mines globally.</w:t>
      </w:r>
    </w:p>
    <w:p>
      <w:pPr>
        <w:spacing w:after="0" w:line="67" w:lineRule="exact"/>
        <w:rPr>
          <w:sz w:val="20"/>
          <w:szCs w:val="20"/>
          <w:color w:val="auto"/>
        </w:rPr>
      </w:pPr>
    </w:p>
    <w:p>
      <w:pPr>
        <w:jc w:val="both"/>
        <w:ind w:left="120"/>
        <w:spacing w:after="0" w:line="257" w:lineRule="auto"/>
        <w:rPr>
          <w:sz w:val="20"/>
          <w:szCs w:val="20"/>
          <w:color w:val="auto"/>
        </w:rPr>
      </w:pPr>
      <w:r>
        <w:rPr>
          <w:rFonts w:ascii="Arial" w:cs="Arial" w:eastAsia="Arial" w:hAnsi="Arial"/>
          <w:sz w:val="20"/>
          <w:szCs w:val="20"/>
          <w:color w:val="3E3935"/>
        </w:rPr>
        <w:t>China is a serial violator of human and political rights. China is also a hostile adversary of the U.S. for many reasons, including:</w:t>
      </w:r>
    </w:p>
    <w:p>
      <w:pPr>
        <w:spacing w:after="0" w:line="61" w:lineRule="exact"/>
        <w:rPr>
          <w:sz w:val="20"/>
          <w:szCs w:val="20"/>
          <w:color w:val="auto"/>
        </w:rPr>
      </w:pPr>
    </w:p>
    <w:p>
      <w:pPr>
        <w:ind w:left="1200" w:hanging="436"/>
        <w:spacing w:after="0"/>
        <w:tabs>
          <w:tab w:leader="none" w:pos="1200" w:val="left"/>
        </w:tabs>
        <w:numPr>
          <w:ilvl w:val="0"/>
          <w:numId w:val="150"/>
        </w:numPr>
        <w:rPr>
          <w:rFonts w:ascii="Arial" w:cs="Arial" w:eastAsia="Arial" w:hAnsi="Arial"/>
          <w:sz w:val="20"/>
          <w:szCs w:val="20"/>
          <w:color w:val="00C1DE"/>
        </w:rPr>
      </w:pPr>
      <w:r>
        <w:rPr>
          <w:rFonts w:ascii="Arial" w:cs="Arial" w:eastAsia="Arial" w:hAnsi="Arial"/>
          <w:sz w:val="20"/>
          <w:szCs w:val="20"/>
          <w:color w:val="3E3935"/>
        </w:rPr>
        <w:t>China intends to displace the U.S. as the lone global superpower by 2049;</w:t>
      </w:r>
    </w:p>
    <w:p>
      <w:pPr>
        <w:spacing w:after="0" w:line="121" w:lineRule="exact"/>
        <w:rPr>
          <w:rFonts w:ascii="Arial" w:cs="Arial" w:eastAsia="Arial" w:hAnsi="Arial"/>
          <w:sz w:val="20"/>
          <w:szCs w:val="20"/>
          <w:color w:val="00C1DE"/>
        </w:rPr>
      </w:pPr>
    </w:p>
    <w:p>
      <w:pPr>
        <w:ind w:left="1200" w:hanging="436"/>
        <w:spacing w:after="0" w:line="257" w:lineRule="auto"/>
        <w:tabs>
          <w:tab w:leader="none" w:pos="1200" w:val="left"/>
        </w:tabs>
        <w:numPr>
          <w:ilvl w:val="0"/>
          <w:numId w:val="150"/>
        </w:numPr>
        <w:rPr>
          <w:rFonts w:ascii="Arial" w:cs="Arial" w:eastAsia="Arial" w:hAnsi="Arial"/>
          <w:sz w:val="20"/>
          <w:szCs w:val="20"/>
          <w:color w:val="00C1DE"/>
        </w:rPr>
      </w:pPr>
      <w:r>
        <w:rPr>
          <w:rFonts w:ascii="Arial" w:cs="Arial" w:eastAsia="Arial" w:hAnsi="Arial"/>
          <w:sz w:val="20"/>
          <w:szCs w:val="20"/>
          <w:color w:val="3E3935"/>
        </w:rPr>
        <w:t>The U.S. has committed to defend Taiwan, which China has militaristically asserted is part of its country and may attempt to seize by force;</w:t>
      </w:r>
    </w:p>
    <w:p>
      <w:pPr>
        <w:spacing w:after="0" w:line="60" w:lineRule="exact"/>
        <w:rPr>
          <w:rFonts w:ascii="Arial" w:cs="Arial" w:eastAsia="Arial" w:hAnsi="Arial"/>
          <w:sz w:val="20"/>
          <w:szCs w:val="20"/>
          <w:color w:val="00C1DE"/>
        </w:rPr>
      </w:pPr>
    </w:p>
    <w:p>
      <w:pPr>
        <w:jc w:val="both"/>
        <w:ind w:left="1200" w:right="20" w:hanging="436"/>
        <w:spacing w:after="0" w:line="241" w:lineRule="auto"/>
        <w:tabs>
          <w:tab w:leader="none" w:pos="1200" w:val="left"/>
        </w:tabs>
        <w:numPr>
          <w:ilvl w:val="0"/>
          <w:numId w:val="150"/>
        </w:numPr>
        <w:rPr>
          <w:rFonts w:ascii="Arial" w:cs="Arial" w:eastAsia="Arial" w:hAnsi="Arial"/>
          <w:sz w:val="20"/>
          <w:szCs w:val="20"/>
          <w:color w:val="00C1DE"/>
        </w:rPr>
      </w:pPr>
      <w:r>
        <w:rPr>
          <w:rFonts w:ascii="Arial" w:cs="Arial" w:eastAsia="Arial" w:hAnsi="Arial"/>
          <w:sz w:val="20"/>
          <w:szCs w:val="20"/>
          <w:color w:val="3E3935"/>
        </w:rPr>
        <w:t>U.S. – China relations are tense over a number of issues including China’s military expansion; egregious human rights violations; actions related to the COVID pandemic; elimination of freedom in Hong Kong; and environmental pollution.</w:t>
      </w:r>
    </w:p>
    <w:p>
      <w:pPr>
        <w:spacing w:after="0" w:line="90" w:lineRule="exact"/>
        <w:rPr>
          <w:sz w:val="20"/>
          <w:szCs w:val="20"/>
          <w:color w:val="auto"/>
        </w:rPr>
      </w:pPr>
    </w:p>
    <w:p>
      <w:pPr>
        <w:jc w:val="both"/>
        <w:ind w:left="120" w:right="20"/>
        <w:spacing w:after="0" w:line="241" w:lineRule="auto"/>
        <w:rPr>
          <w:sz w:val="20"/>
          <w:szCs w:val="20"/>
          <w:color w:val="auto"/>
        </w:rPr>
      </w:pPr>
      <w:r>
        <w:rPr>
          <w:rFonts w:ascii="Arial" w:cs="Arial" w:eastAsia="Arial" w:hAnsi="Arial"/>
          <w:sz w:val="20"/>
          <w:szCs w:val="20"/>
          <w:color w:val="3E3935"/>
        </w:rPr>
        <w:t xml:space="preserve">China – and by extension the companies it controls – is also identified in the U.S. State Department’s 2022 </w:t>
      </w:r>
      <w:r>
        <w:rPr>
          <w:rFonts w:ascii="Arial" w:cs="Arial" w:eastAsia="Arial" w:hAnsi="Arial"/>
          <w:sz w:val="20"/>
          <w:szCs w:val="20"/>
          <w:i w:val="1"/>
          <w:iCs w:val="1"/>
          <w:color w:val="3E3935"/>
        </w:rPr>
        <w:t>Trafficking in</w:t>
      </w:r>
      <w:r>
        <w:rPr>
          <w:rFonts w:ascii="Arial" w:cs="Arial" w:eastAsia="Arial" w:hAnsi="Arial"/>
          <w:sz w:val="20"/>
          <w:szCs w:val="20"/>
          <w:color w:val="3E3935"/>
        </w:rPr>
        <w:t xml:space="preserve"> </w:t>
      </w:r>
      <w:r>
        <w:rPr>
          <w:rFonts w:ascii="Arial" w:cs="Arial" w:eastAsia="Arial" w:hAnsi="Arial"/>
          <w:sz w:val="20"/>
          <w:szCs w:val="20"/>
          <w:i w:val="1"/>
          <w:iCs w:val="1"/>
          <w:color w:val="3E3935"/>
        </w:rPr>
        <w:t xml:space="preserve">Persons Report </w:t>
      </w:r>
      <w:r>
        <w:rPr>
          <w:rFonts w:ascii="Arial" w:cs="Arial" w:eastAsia="Arial" w:hAnsi="Arial"/>
          <w:sz w:val="20"/>
          <w:szCs w:val="20"/>
          <w:color w:val="3E3935"/>
        </w:rPr>
        <w:t>as a state sponsor of human trafficking. It is now subject to the</w:t>
      </w:r>
      <w:r>
        <w:rPr>
          <w:rFonts w:ascii="Arial" w:cs="Arial" w:eastAsia="Arial" w:hAnsi="Arial"/>
          <w:sz w:val="20"/>
          <w:szCs w:val="20"/>
          <w:i w:val="1"/>
          <w:iCs w:val="1"/>
          <w:color w:val="3E3935"/>
        </w:rPr>
        <w:t xml:space="preserve"> Uyghur Forced Labor Prevention Act</w:t>
      </w:r>
      <w:r>
        <w:rPr>
          <w:rFonts w:ascii="Arial" w:cs="Arial" w:eastAsia="Arial" w:hAnsi="Arial"/>
          <w:sz w:val="20"/>
          <w:szCs w:val="20"/>
          <w:color w:val="3E3935"/>
        </w:rPr>
        <w:t>, which</w:t>
      </w:r>
      <w:r>
        <w:rPr>
          <w:rFonts w:ascii="Arial" w:cs="Arial" w:eastAsia="Arial" w:hAnsi="Arial"/>
          <w:sz w:val="20"/>
          <w:szCs w:val="20"/>
          <w:i w:val="1"/>
          <w:iCs w:val="1"/>
          <w:color w:val="3E3935"/>
        </w:rPr>
        <w:t xml:space="preserve"> </w:t>
      </w:r>
      <w:r>
        <w:rPr>
          <w:rFonts w:ascii="Arial" w:cs="Arial" w:eastAsia="Arial" w:hAnsi="Arial"/>
          <w:sz w:val="20"/>
          <w:szCs w:val="20"/>
          <w:color w:val="3E3935"/>
        </w:rPr>
        <w:t>imposes strict verification of parts and products imported from China, that they are not generated from slave labor.</w:t>
      </w:r>
    </w:p>
    <w:p>
      <w:pPr>
        <w:spacing w:after="0" w:line="63" w:lineRule="exact"/>
        <w:rPr>
          <w:sz w:val="20"/>
          <w:szCs w:val="20"/>
          <w:color w:val="auto"/>
        </w:rPr>
      </w:pPr>
    </w:p>
    <w:p>
      <w:pPr>
        <w:jc w:val="both"/>
        <w:ind w:left="120"/>
        <w:spacing w:after="0" w:line="237" w:lineRule="auto"/>
        <w:rPr>
          <w:sz w:val="20"/>
          <w:szCs w:val="20"/>
          <w:color w:val="auto"/>
        </w:rPr>
      </w:pPr>
      <w:r>
        <w:rPr>
          <w:rFonts w:ascii="Arial" w:cs="Arial" w:eastAsia="Arial" w:hAnsi="Arial"/>
          <w:sz w:val="20"/>
          <w:szCs w:val="20"/>
          <w:color w:val="3E3935"/>
        </w:rPr>
        <w:t>A July 2022 joint statement from the leaders of the British and American domestic intelligence agencies warned that the Communist Chinese Party is the greatest threat to the international order. “We consistently see that it’s the Chinese government that poses the biggest long-term threat to our economic and national security, and by ‘our,’ I mean both of our nations, along with our allies in Europe and elsewhere,” said FBI Director Christopher Wray.</w:t>
      </w:r>
    </w:p>
    <w:p>
      <w:pPr>
        <w:spacing w:after="0" w:line="64" w:lineRule="exact"/>
        <w:rPr>
          <w:sz w:val="20"/>
          <w:szCs w:val="20"/>
          <w:color w:val="auto"/>
        </w:rPr>
      </w:pPr>
    </w:p>
    <w:p>
      <w:pPr>
        <w:jc w:val="both"/>
        <w:ind w:left="120" w:right="20"/>
        <w:spacing w:after="0" w:line="257" w:lineRule="auto"/>
        <w:rPr>
          <w:sz w:val="20"/>
          <w:szCs w:val="20"/>
          <w:color w:val="auto"/>
        </w:rPr>
      </w:pPr>
      <w:r>
        <w:rPr>
          <w:rFonts w:ascii="Arial" w:cs="Arial" w:eastAsia="Arial" w:hAnsi="Arial"/>
          <w:sz w:val="20"/>
          <w:szCs w:val="20"/>
          <w:color w:val="3E3935"/>
        </w:rPr>
        <w:t>Given the controversial, if not dangerous, nature of doing business in and with China, shareholders have the right to know the extent to which GM’s business operations depend on Communist China.</w:t>
      </w:r>
    </w:p>
    <w:p>
      <w:pPr>
        <w:spacing w:after="0" w:line="100" w:lineRule="exact"/>
        <w:rPr>
          <w:sz w:val="20"/>
          <w:szCs w:val="20"/>
          <w:color w:val="auto"/>
        </w:rPr>
      </w:pPr>
    </w:p>
    <w:p>
      <w:pPr>
        <w:ind w:left="120"/>
        <w:spacing w:after="0"/>
        <w:rPr>
          <w:sz w:val="20"/>
          <w:szCs w:val="20"/>
          <w:color w:val="auto"/>
        </w:rPr>
      </w:pPr>
      <w:r>
        <w:rPr>
          <w:rFonts w:ascii="Arial" w:cs="Arial" w:eastAsia="Arial" w:hAnsi="Arial"/>
          <w:sz w:val="14"/>
          <w:szCs w:val="14"/>
          <w:color w:val="0071CE"/>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wp:posOffset>
            </wp:positionH>
            <wp:positionV relativeFrom="paragraph">
              <wp:posOffset>-95885</wp:posOffset>
            </wp:positionV>
            <wp:extent cx="5983605" cy="10287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5983605" cy="102870"/>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3" w:lineRule="exact"/>
        <w:rPr>
          <w:sz w:val="20"/>
          <w:szCs w:val="20"/>
          <w:color w:val="auto"/>
        </w:rPr>
      </w:pPr>
    </w:p>
    <w:p>
      <w:pPr>
        <w:ind w:left="120" w:right="980"/>
        <w:spacing w:after="0" w:line="298" w:lineRule="auto"/>
        <w:rPr>
          <w:sz w:val="20"/>
          <w:szCs w:val="20"/>
          <w:color w:val="auto"/>
        </w:rPr>
      </w:pPr>
      <w:r>
        <w:rPr>
          <w:rFonts w:ascii="Arial" w:cs="Arial" w:eastAsia="Arial" w:hAnsi="Arial"/>
          <w:sz w:val="25"/>
          <w:szCs w:val="25"/>
          <w:b w:val="1"/>
          <w:bCs w:val="1"/>
          <w:color w:val="0071CE"/>
        </w:rPr>
        <w:t xml:space="preserve">The Board of Directors recommends a vote </w:t>
      </w:r>
      <w:r>
        <w:rPr>
          <w:rFonts w:ascii="Arial" w:cs="Arial" w:eastAsia="Arial" w:hAnsi="Arial"/>
          <w:sz w:val="25"/>
          <w:szCs w:val="25"/>
          <w:b w:val="1"/>
          <w:bCs w:val="1"/>
          <w:u w:val="single" w:color="auto"/>
          <w:color w:val="00C1DE"/>
        </w:rPr>
        <w:t>AGAINST</w:t>
      </w:r>
      <w:r>
        <w:rPr>
          <w:rFonts w:ascii="Arial" w:cs="Arial" w:eastAsia="Arial" w:hAnsi="Arial"/>
          <w:sz w:val="25"/>
          <w:szCs w:val="25"/>
          <w:b w:val="1"/>
          <w:bCs w:val="1"/>
          <w:color w:val="0071CE"/>
        </w:rPr>
        <w:t xml:space="preserve"> this proposal for the following reasons:</w:t>
      </w:r>
    </w:p>
    <w:p>
      <w:pPr>
        <w:sectPr>
          <w:pgSz w:w="11900" w:h="16838" w:orient="portrait"/>
          <w:cols w:equalWidth="0" w:num="1">
            <w:col w:w="11140"/>
          </w:cols>
          <w:pgMar w:left="320" w:top="482" w:right="439" w:bottom="1440" w:gutter="0" w:footer="0" w:header="0"/>
        </w:sectPr>
      </w:pPr>
    </w:p>
    <w:p>
      <w:pPr>
        <w:spacing w:after="0" w:line="54" w:lineRule="exact"/>
        <w:rPr>
          <w:sz w:val="20"/>
          <w:szCs w:val="20"/>
          <w:color w:val="auto"/>
        </w:rPr>
      </w:pPr>
    </w:p>
    <w:p>
      <w:pPr>
        <w:jc w:val="both"/>
        <w:ind w:left="120"/>
        <w:spacing w:after="0"/>
        <w:rPr>
          <w:sz w:val="20"/>
          <w:szCs w:val="20"/>
          <w:color w:val="auto"/>
        </w:rPr>
      </w:pPr>
      <w:r>
        <w:rPr>
          <w:rFonts w:ascii="Arial" w:cs="Arial" w:eastAsia="Arial" w:hAnsi="Arial"/>
          <w:sz w:val="22"/>
          <w:szCs w:val="22"/>
          <w:b w:val="1"/>
          <w:bCs w:val="1"/>
          <w:i w:val="1"/>
          <w:iCs w:val="1"/>
          <w:color w:val="3E3935"/>
        </w:rPr>
        <w:t>GM is investing in U.S. manufacturing and developing a North America-focused supply chain to mitigate supply chain risk and reduce exposure to geopolitical and other supply chain uncertainties.</w:t>
      </w:r>
    </w:p>
    <w:p>
      <w:pPr>
        <w:spacing w:after="0" w:line="104" w:lineRule="exact"/>
        <w:rPr>
          <w:sz w:val="20"/>
          <w:szCs w:val="20"/>
          <w:color w:val="auto"/>
        </w:rPr>
      </w:pPr>
    </w:p>
    <w:p>
      <w:pPr>
        <w:jc w:val="both"/>
        <w:ind w:left="120"/>
        <w:spacing w:after="0" w:line="230" w:lineRule="auto"/>
        <w:rPr>
          <w:sz w:val="20"/>
          <w:szCs w:val="20"/>
          <w:color w:val="auto"/>
        </w:rPr>
      </w:pPr>
      <w:r>
        <w:rPr>
          <w:rFonts w:ascii="Arial" w:cs="Arial" w:eastAsia="Arial" w:hAnsi="Arial"/>
          <w:sz w:val="20"/>
          <w:szCs w:val="20"/>
          <w:color w:val="3E3935"/>
        </w:rPr>
        <w:t>GM is accelerating its transformation to drive revenue and margin growth through scalable EV and software platforms and continued manufacturing excellence. As a global company, GM relies on a complex supply chain and works with vendors worldwide. While much of the “upstream” raw materials and “midstream” processing capabilities for EVs are distributed around the world, with a current concentration in Asia, GM is investing heavily in domestic manufacturing and developing a more secure, sustainable, and localized EV supply chain.</w:t>
      </w:r>
    </w:p>
    <w:p>
      <w:pPr>
        <w:spacing w:after="0" w:line="105" w:lineRule="exact"/>
        <w:rPr>
          <w:sz w:val="20"/>
          <w:szCs w:val="20"/>
          <w:color w:val="auto"/>
        </w:rPr>
      </w:pPr>
    </w:p>
    <w:p>
      <w:pPr>
        <w:jc w:val="both"/>
        <w:ind w:left="120"/>
        <w:spacing w:after="0" w:line="228" w:lineRule="auto"/>
        <w:rPr>
          <w:sz w:val="20"/>
          <w:szCs w:val="20"/>
          <w:color w:val="auto"/>
        </w:rPr>
      </w:pPr>
      <w:r>
        <w:rPr>
          <w:rFonts w:ascii="Arial" w:cs="Arial" w:eastAsia="Arial" w:hAnsi="Arial"/>
          <w:sz w:val="20"/>
          <w:szCs w:val="20"/>
          <w:color w:val="3E3935"/>
        </w:rPr>
        <w:t>We are also pursuing direct-sourcing strategies to secure battery raw materials. Our supply chain strategy is designed to comply with content requirements under international agreements like the U.S.-Mexico-Canada Agreement and recent U.S. legislation like the Inflation Reduction Act, which has the potential to provide significant financial benefits to GM and its customers while driving U.S. EV and battery cell production. In addition, our direct-sourcing efforts enable us to conduct enhanced due diligence and impose compliance requirements throughout the supply chain. These actions support GM’s plan to have the capacity to build one million EVs annually in North America in 2025, with the majority of components (by value) to be processed or manufactured in North America. We believe our manufacturing footprint, portfolio planning, and sourcing strategy will significantly reduce our exposure to geopolitical and other supply chain risks.</w:t>
      </w:r>
    </w:p>
    <w:p>
      <w:pPr>
        <w:spacing w:after="0" w:line="20" w:lineRule="exact"/>
        <w:rPr>
          <w:sz w:val="20"/>
          <w:szCs w:val="20"/>
          <w:color w:val="auto"/>
        </w:rPr>
      </w:pPr>
      <w:r>
        <w:rPr>
          <w:sz w:val="20"/>
          <w:szCs w:val="20"/>
          <w:color w:val="auto"/>
        </w:rPr>
        <w:br w:type="column"/>
      </w:r>
    </w:p>
    <w:p>
      <w:pPr>
        <w:spacing w:after="0" w:line="38" w:lineRule="exact"/>
        <w:rPr>
          <w:sz w:val="20"/>
          <w:szCs w:val="20"/>
          <w:color w:val="auto"/>
        </w:rPr>
      </w:pPr>
    </w:p>
    <w:p>
      <w:pPr>
        <w:jc w:val="both"/>
        <w:ind w:right="20"/>
        <w:spacing w:after="0" w:line="257" w:lineRule="auto"/>
        <w:rPr>
          <w:sz w:val="20"/>
          <w:szCs w:val="20"/>
          <w:color w:val="auto"/>
        </w:rPr>
      </w:pPr>
      <w:r>
        <w:rPr>
          <w:rFonts w:ascii="Arial" w:cs="Arial" w:eastAsia="Arial" w:hAnsi="Arial"/>
          <w:sz w:val="20"/>
          <w:szCs w:val="20"/>
          <w:color w:val="3E3935"/>
        </w:rPr>
        <w:t>our Supplier Code of Conduct and Terms and Conditions, up to and including the termination of business relationships.</w:t>
      </w:r>
    </w:p>
    <w:p>
      <w:pPr>
        <w:spacing w:after="0" w:line="83" w:lineRule="exact"/>
        <w:rPr>
          <w:sz w:val="20"/>
          <w:szCs w:val="20"/>
          <w:color w:val="auto"/>
        </w:rPr>
      </w:pPr>
    </w:p>
    <w:p>
      <w:pPr>
        <w:jc w:val="both"/>
        <w:ind w:right="20"/>
        <w:spacing w:after="0" w:line="250" w:lineRule="auto"/>
        <w:rPr>
          <w:sz w:val="20"/>
          <w:szCs w:val="20"/>
          <w:color w:val="auto"/>
        </w:rPr>
      </w:pPr>
      <w:r>
        <w:rPr>
          <w:rFonts w:ascii="Arial" w:cs="Arial" w:eastAsia="Arial" w:hAnsi="Arial"/>
          <w:sz w:val="22"/>
          <w:szCs w:val="22"/>
          <w:b w:val="1"/>
          <w:bCs w:val="1"/>
          <w:i w:val="1"/>
          <w:iCs w:val="1"/>
          <w:color w:val="3E3935"/>
        </w:rPr>
        <w:t>The requested report is unnecessary and duplicative, as GM already follows robust and transparent reporting practices.</w:t>
      </w:r>
    </w:p>
    <w:p>
      <w:pPr>
        <w:spacing w:after="0" w:line="92" w:lineRule="exact"/>
        <w:rPr>
          <w:sz w:val="20"/>
          <w:szCs w:val="20"/>
          <w:color w:val="auto"/>
        </w:rPr>
      </w:pPr>
    </w:p>
    <w:p>
      <w:pPr>
        <w:jc w:val="both"/>
        <w:spacing w:after="0" w:line="231" w:lineRule="auto"/>
        <w:rPr>
          <w:sz w:val="20"/>
          <w:szCs w:val="20"/>
          <w:color w:val="auto"/>
        </w:rPr>
      </w:pPr>
      <w:r>
        <w:rPr>
          <w:rFonts w:ascii="Arial" w:cs="Arial" w:eastAsia="Arial" w:hAnsi="Arial"/>
          <w:sz w:val="20"/>
          <w:szCs w:val="20"/>
          <w:color w:val="3E3935"/>
        </w:rPr>
        <w:t xml:space="preserve">Details of GM’s China operations are already included in GM’s filings with the U.S. Securities and Exchange Commission, such as our Annual Report on Form 10-K, which are available at </w:t>
      </w:r>
      <w:r>
        <w:rPr>
          <w:rFonts w:ascii="Arial" w:cs="Arial" w:eastAsia="Arial" w:hAnsi="Arial"/>
          <w:sz w:val="20"/>
          <w:szCs w:val="20"/>
          <w:i w:val="1"/>
          <w:iCs w:val="1"/>
          <w:color w:val="00C1DE"/>
        </w:rPr>
        <w:t>investor.gm.com</w:t>
      </w:r>
      <w:r>
        <w:rPr>
          <w:rFonts w:ascii="Arial" w:cs="Arial" w:eastAsia="Arial" w:hAnsi="Arial"/>
          <w:sz w:val="20"/>
          <w:szCs w:val="20"/>
          <w:color w:val="3E3935"/>
        </w:rPr>
        <w:t>, including information relating to the impact of our China joint ventures on our financial results and detailed and specific risk factors discussing the material risks related to our operations in China.</w:t>
      </w:r>
    </w:p>
    <w:p>
      <w:pPr>
        <w:spacing w:after="0" w:line="92" w:lineRule="exact"/>
        <w:rPr>
          <w:sz w:val="20"/>
          <w:szCs w:val="20"/>
          <w:color w:val="auto"/>
        </w:rPr>
      </w:pPr>
    </w:p>
    <w:p>
      <w:pPr>
        <w:jc w:val="both"/>
        <w:spacing w:after="0" w:line="241" w:lineRule="auto"/>
        <w:rPr>
          <w:sz w:val="20"/>
          <w:szCs w:val="20"/>
          <w:color w:val="auto"/>
        </w:rPr>
      </w:pPr>
      <w:r>
        <w:rPr>
          <w:rFonts w:ascii="Arial" w:cs="Arial" w:eastAsia="Arial" w:hAnsi="Arial"/>
          <w:sz w:val="19"/>
          <w:szCs w:val="19"/>
          <w:color w:val="3E3935"/>
        </w:rPr>
        <w:t xml:space="preserve">Additionally, we report on progress and developments related to supply chain governance, human rights, and compliance in our annual </w:t>
      </w:r>
      <w:r>
        <w:rPr>
          <w:rFonts w:ascii="Arial" w:cs="Arial" w:eastAsia="Arial" w:hAnsi="Arial"/>
          <w:sz w:val="19"/>
          <w:szCs w:val="19"/>
          <w:i w:val="1"/>
          <w:iCs w:val="1"/>
          <w:color w:val="3E3935"/>
        </w:rPr>
        <w:t>Sustainability Report</w:t>
      </w:r>
      <w:r>
        <w:rPr>
          <w:rFonts w:ascii="Arial" w:cs="Arial" w:eastAsia="Arial" w:hAnsi="Arial"/>
          <w:sz w:val="19"/>
          <w:szCs w:val="19"/>
          <w:color w:val="3E3935"/>
        </w:rPr>
        <w:t xml:space="preserve">. Specifically, GM makes disclosures aligned with relevant Global Reporting Initiatives and Sustainability Accounting Standards Board standards. GM also engages regularly with shareholders and other stakeholders on these and other critical geopolitical issues. GM will continue to provide robust public disclosure on its actions and engagement on human rights matters, including with respect to our expanding engagement with providers of raw materials throughout our supply chain. For more information, visit </w:t>
      </w:r>
      <w:r>
        <w:rPr>
          <w:rFonts w:ascii="Arial" w:cs="Arial" w:eastAsia="Arial" w:hAnsi="Arial"/>
          <w:sz w:val="19"/>
          <w:szCs w:val="19"/>
          <w:i w:val="1"/>
          <w:iCs w:val="1"/>
          <w:color w:val="00C1DE"/>
        </w:rPr>
        <w:t>gmsustainability.com</w:t>
      </w:r>
      <w:r>
        <w:rPr>
          <w:rFonts w:ascii="Arial" w:cs="Arial" w:eastAsia="Arial" w:hAnsi="Arial"/>
          <w:sz w:val="19"/>
          <w:szCs w:val="19"/>
          <w:color w:val="3E3935"/>
        </w:rPr>
        <w:t>.</w:t>
      </w:r>
    </w:p>
    <w:p>
      <w:pPr>
        <w:spacing w:after="0" w:line="106" w:lineRule="exact"/>
        <w:rPr>
          <w:sz w:val="20"/>
          <w:szCs w:val="20"/>
          <w:color w:val="auto"/>
        </w:rPr>
      </w:pPr>
    </w:p>
    <w:p>
      <w:pPr>
        <w:jc w:val="both"/>
        <w:ind w:right="20"/>
        <w:spacing w:after="0" w:line="270" w:lineRule="auto"/>
        <w:rPr>
          <w:sz w:val="20"/>
          <w:szCs w:val="20"/>
          <w:color w:val="auto"/>
        </w:rPr>
      </w:pPr>
      <w:r>
        <w:rPr>
          <w:rFonts w:ascii="Arial" w:cs="Arial" w:eastAsia="Arial" w:hAnsi="Arial"/>
          <w:sz w:val="20"/>
          <w:szCs w:val="20"/>
          <w:b w:val="1"/>
          <w:bCs w:val="1"/>
          <w:color w:val="0071CE"/>
        </w:rPr>
        <w:t xml:space="preserve">Therefore, the Board of Directors recommends a vote </w:t>
      </w:r>
      <w:r>
        <w:rPr>
          <w:rFonts w:ascii="Arial" w:cs="Arial" w:eastAsia="Arial" w:hAnsi="Arial"/>
          <w:sz w:val="20"/>
          <w:szCs w:val="20"/>
          <w:b w:val="1"/>
          <w:bCs w:val="1"/>
          <w:u w:val="single" w:color="auto"/>
          <w:color w:val="00C1DE"/>
        </w:rPr>
        <w:t>AGAINST</w:t>
      </w:r>
      <w:r>
        <w:rPr>
          <w:rFonts w:ascii="Arial" w:cs="Arial" w:eastAsia="Arial" w:hAnsi="Arial"/>
          <w:sz w:val="20"/>
          <w:szCs w:val="20"/>
          <w:b w:val="1"/>
          <w:bCs w:val="1"/>
          <w:color w:val="0071CE"/>
        </w:rPr>
        <w:t xml:space="preserve"> this shareholder proposal.</w:t>
      </w:r>
    </w:p>
    <w:p>
      <w:pPr>
        <w:spacing w:after="0" w:line="897" w:lineRule="exact"/>
        <w:rPr>
          <w:sz w:val="20"/>
          <w:szCs w:val="20"/>
          <w:color w:val="auto"/>
        </w:rPr>
      </w:pPr>
    </w:p>
    <w:p>
      <w:pPr>
        <w:sectPr>
          <w:pgSz w:w="11900" w:h="16838" w:orient="portrait"/>
          <w:cols w:equalWidth="0" w:num="2">
            <w:col w:w="5400" w:space="340"/>
            <w:col w:w="5400"/>
          </w:cols>
          <w:pgMar w:left="320" w:top="482" w:right="439" w:bottom="1440" w:gutter="0" w:footer="0" w:header="0"/>
          <w:type w:val="continuous"/>
        </w:sectPr>
      </w:pPr>
    </w:p>
    <w:p>
      <w:pPr>
        <w:ind w:left="120"/>
        <w:spacing w:after="0"/>
        <w:rPr>
          <w:sz w:val="20"/>
          <w:szCs w:val="20"/>
          <w:color w:val="auto"/>
        </w:rPr>
      </w:pPr>
      <w:r>
        <w:rPr>
          <w:rFonts w:ascii="Arial" w:cs="Arial" w:eastAsia="Arial" w:hAnsi="Arial"/>
          <w:sz w:val="22"/>
          <w:szCs w:val="22"/>
          <w:b w:val="1"/>
          <w:bCs w:val="1"/>
          <w:i w:val="1"/>
          <w:iCs w:val="1"/>
          <w:color w:val="3E3935"/>
        </w:rPr>
        <w:t>GM’s policies reflect our strong focus on building a</w:t>
      </w:r>
    </w:p>
    <w:p>
      <w:pPr>
        <w:spacing w:after="0" w:line="10" w:lineRule="exact"/>
        <w:rPr>
          <w:sz w:val="20"/>
          <w:szCs w:val="20"/>
          <w:color w:val="auto"/>
        </w:rPr>
      </w:pPr>
    </w:p>
    <w:p>
      <w:pPr>
        <w:ind w:left="120"/>
        <w:spacing w:after="0"/>
        <w:rPr>
          <w:sz w:val="20"/>
          <w:szCs w:val="20"/>
          <w:color w:val="auto"/>
        </w:rPr>
      </w:pPr>
      <w:r>
        <w:rPr>
          <w:rFonts w:ascii="Arial" w:cs="Arial" w:eastAsia="Arial" w:hAnsi="Arial"/>
          <w:sz w:val="22"/>
          <w:szCs w:val="22"/>
          <w:b w:val="1"/>
          <w:bCs w:val="1"/>
          <w:i w:val="1"/>
          <w:iCs w:val="1"/>
          <w:color w:val="3E3935"/>
        </w:rPr>
        <w:t>sustainable and ethical supply chain.</w:t>
      </w:r>
    </w:p>
    <w:p>
      <w:pPr>
        <w:spacing w:after="0" w:line="123" w:lineRule="exact"/>
        <w:rPr>
          <w:sz w:val="20"/>
          <w:szCs w:val="20"/>
          <w:color w:val="auto"/>
        </w:rPr>
      </w:pPr>
    </w:p>
    <w:p>
      <w:pPr>
        <w:ind w:left="120"/>
        <w:spacing w:after="0"/>
        <w:rPr>
          <w:sz w:val="20"/>
          <w:szCs w:val="20"/>
          <w:color w:val="auto"/>
        </w:rPr>
      </w:pPr>
      <w:r>
        <w:rPr>
          <w:rFonts w:ascii="Arial" w:cs="Arial" w:eastAsia="Arial" w:hAnsi="Arial"/>
          <w:sz w:val="20"/>
          <w:szCs w:val="20"/>
          <w:color w:val="3E3935"/>
        </w:rPr>
        <w:t>GM is deeply committed to respecting human rights, which</w:t>
      </w:r>
    </w:p>
    <w:p>
      <w:pPr>
        <w:ind w:left="120"/>
        <w:spacing w:after="0" w:line="229" w:lineRule="auto"/>
        <w:rPr>
          <w:sz w:val="20"/>
          <w:szCs w:val="20"/>
          <w:color w:val="auto"/>
        </w:rPr>
      </w:pPr>
      <w:r>
        <w:rPr>
          <w:rFonts w:ascii="Arial" w:cs="Arial" w:eastAsia="Arial" w:hAnsi="Arial"/>
          <w:sz w:val="20"/>
          <w:szCs w:val="20"/>
          <w:color w:val="3E3935"/>
        </w:rPr>
        <w:t>is underscored across our corporate policies, including our</w:t>
      </w:r>
    </w:p>
    <w:p>
      <w:pPr>
        <w:ind w:left="120"/>
        <w:spacing w:after="0" w:line="226" w:lineRule="auto"/>
        <w:rPr>
          <w:sz w:val="20"/>
          <w:szCs w:val="20"/>
          <w:color w:val="auto"/>
        </w:rPr>
      </w:pPr>
      <w:r>
        <w:rPr>
          <w:rFonts w:ascii="Arial" w:cs="Arial" w:eastAsia="Arial" w:hAnsi="Arial"/>
          <w:sz w:val="20"/>
          <w:szCs w:val="20"/>
          <w:color w:val="3E3935"/>
        </w:rPr>
        <w:t>Supplier Code of Conduct, Human Rights Policy, and</w:t>
      </w:r>
    </w:p>
    <w:p>
      <w:pPr>
        <w:ind w:left="120"/>
        <w:spacing w:after="0" w:line="225" w:lineRule="auto"/>
        <w:rPr>
          <w:sz w:val="20"/>
          <w:szCs w:val="20"/>
          <w:color w:val="auto"/>
        </w:rPr>
      </w:pPr>
      <w:r>
        <w:rPr>
          <w:rFonts w:ascii="Arial" w:cs="Arial" w:eastAsia="Arial" w:hAnsi="Arial"/>
          <w:sz w:val="20"/>
          <w:szCs w:val="20"/>
          <w:color w:val="3E3935"/>
        </w:rPr>
        <w:t>Conflict Minerals Policy (all of which are available at</w:t>
      </w:r>
    </w:p>
    <w:p>
      <w:pPr>
        <w:ind w:left="120"/>
        <w:spacing w:after="0" w:line="237" w:lineRule="auto"/>
        <w:tabs>
          <w:tab w:leader="none" w:pos="2220" w:val="left"/>
          <w:tab w:leader="none" w:pos="2780" w:val="left"/>
          <w:tab w:leader="none" w:pos="3320" w:val="left"/>
          <w:tab w:leader="none" w:pos="4280" w:val="left"/>
          <w:tab w:leader="none" w:pos="5060" w:val="left"/>
        </w:tabs>
        <w:rPr>
          <w:sz w:val="20"/>
          <w:szCs w:val="20"/>
          <w:color w:val="auto"/>
        </w:rPr>
      </w:pPr>
      <w:r>
        <w:rPr>
          <w:rFonts w:ascii="Arial" w:cs="Arial" w:eastAsia="Arial" w:hAnsi="Arial"/>
          <w:sz w:val="20"/>
          <w:szCs w:val="20"/>
          <w:i w:val="1"/>
          <w:iCs w:val="1"/>
          <w:color w:val="00C1DE"/>
        </w:rPr>
        <w:t>investor.gm.com/esg</w:t>
      </w:r>
      <w:r>
        <w:rPr>
          <w:rFonts w:ascii="Arial" w:cs="Arial" w:eastAsia="Arial" w:hAnsi="Arial"/>
          <w:sz w:val="20"/>
          <w:szCs w:val="20"/>
          <w:color w:val="3E3935"/>
        </w:rPr>
        <w:t>)</w:t>
      </w:r>
      <w:r>
        <w:rPr>
          <w:sz w:val="20"/>
          <w:szCs w:val="20"/>
          <w:color w:val="auto"/>
        </w:rPr>
        <w:tab/>
      </w:r>
      <w:r>
        <w:rPr>
          <w:rFonts w:ascii="Arial" w:cs="Arial" w:eastAsia="Arial" w:hAnsi="Arial"/>
          <w:sz w:val="20"/>
          <w:szCs w:val="20"/>
          <w:color w:val="3E3935"/>
        </w:rPr>
        <w:t>and</w:t>
        <w:tab/>
        <w:t>our</w:t>
        <w:tab/>
        <w:t>Supplier</w:t>
        <w:tab/>
        <w:t>Terms</w:t>
      </w:r>
      <w:r>
        <w:rPr>
          <w:sz w:val="20"/>
          <w:szCs w:val="20"/>
          <w:color w:val="auto"/>
        </w:rPr>
        <w:tab/>
      </w:r>
      <w:r>
        <w:rPr>
          <w:rFonts w:ascii="Arial" w:cs="Arial" w:eastAsia="Arial" w:hAnsi="Arial"/>
          <w:sz w:val="19"/>
          <w:szCs w:val="19"/>
          <w:color w:val="3E3935"/>
        </w:rPr>
        <w:t>and</w:t>
      </w:r>
    </w:p>
    <w:p>
      <w:pPr>
        <w:ind w:left="120"/>
        <w:spacing w:after="0" w:line="226" w:lineRule="auto"/>
        <w:rPr>
          <w:sz w:val="20"/>
          <w:szCs w:val="20"/>
          <w:color w:val="auto"/>
        </w:rPr>
      </w:pPr>
      <w:r>
        <w:rPr>
          <w:rFonts w:ascii="Arial" w:cs="Arial" w:eastAsia="Arial" w:hAnsi="Arial"/>
          <w:sz w:val="20"/>
          <w:szCs w:val="20"/>
          <w:color w:val="3E3935"/>
        </w:rPr>
        <w:t>Conditions. In addition, we expect our Tier 1 suppliers to</w:t>
      </w:r>
    </w:p>
    <w:p>
      <w:pPr>
        <w:ind w:left="120"/>
        <w:spacing w:after="0" w:line="225" w:lineRule="auto"/>
        <w:rPr>
          <w:sz w:val="20"/>
          <w:szCs w:val="20"/>
          <w:color w:val="auto"/>
        </w:rPr>
      </w:pPr>
      <w:r>
        <w:rPr>
          <w:rFonts w:ascii="Arial" w:cs="Arial" w:eastAsia="Arial" w:hAnsi="Arial"/>
          <w:sz w:val="20"/>
          <w:szCs w:val="20"/>
          <w:color w:val="3E3935"/>
        </w:rPr>
        <w:t>abide by the expectations outlined in our Supplier Code of</w:t>
      </w:r>
    </w:p>
    <w:p>
      <w:pPr>
        <w:ind w:left="120"/>
        <w:spacing w:after="0" w:line="225" w:lineRule="auto"/>
        <w:rPr>
          <w:sz w:val="20"/>
          <w:szCs w:val="20"/>
          <w:color w:val="auto"/>
        </w:rPr>
      </w:pPr>
      <w:r>
        <w:rPr>
          <w:rFonts w:ascii="Arial" w:cs="Arial" w:eastAsia="Arial" w:hAnsi="Arial"/>
          <w:sz w:val="20"/>
          <w:szCs w:val="20"/>
          <w:color w:val="3E3935"/>
        </w:rPr>
        <w:t>Conduct, and we survey all active suppliers within GM’s</w:t>
      </w:r>
    </w:p>
    <w:p>
      <w:pPr>
        <w:ind w:left="120"/>
        <w:spacing w:after="0" w:line="226" w:lineRule="auto"/>
        <w:rPr>
          <w:sz w:val="20"/>
          <w:szCs w:val="20"/>
          <w:color w:val="auto"/>
        </w:rPr>
      </w:pPr>
      <w:r>
        <w:rPr>
          <w:rFonts w:ascii="Arial" w:cs="Arial" w:eastAsia="Arial" w:hAnsi="Arial"/>
          <w:sz w:val="20"/>
          <w:szCs w:val="20"/>
          <w:color w:val="3E3935"/>
        </w:rPr>
        <w:t>SupplyPower portal annually and ask them to confirm that</w:t>
      </w:r>
    </w:p>
    <w:p>
      <w:pPr>
        <w:ind w:left="120"/>
        <w:spacing w:after="0" w:line="225" w:lineRule="auto"/>
        <w:rPr>
          <w:sz w:val="20"/>
          <w:szCs w:val="20"/>
          <w:color w:val="auto"/>
        </w:rPr>
      </w:pPr>
      <w:r>
        <w:rPr>
          <w:rFonts w:ascii="Arial" w:cs="Arial" w:eastAsia="Arial" w:hAnsi="Arial"/>
          <w:sz w:val="20"/>
          <w:szCs w:val="20"/>
          <w:color w:val="3E3935"/>
        </w:rPr>
        <w:t>they comply with and cascade GM’s Supplier Code of</w:t>
      </w:r>
    </w:p>
    <w:p>
      <w:pPr>
        <w:ind w:left="120"/>
        <w:spacing w:after="0" w:line="226" w:lineRule="auto"/>
        <w:rPr>
          <w:sz w:val="20"/>
          <w:szCs w:val="20"/>
          <w:color w:val="auto"/>
        </w:rPr>
      </w:pPr>
      <w:r>
        <w:rPr>
          <w:rFonts w:ascii="Arial" w:cs="Arial" w:eastAsia="Arial" w:hAnsi="Arial"/>
          <w:sz w:val="20"/>
          <w:szCs w:val="20"/>
          <w:color w:val="3E3935"/>
        </w:rPr>
        <w:t>Conduct or an equivalent code of conduct throughout their</w:t>
      </w:r>
    </w:p>
    <w:p>
      <w:pPr>
        <w:ind w:left="120"/>
        <w:spacing w:after="0" w:line="225" w:lineRule="auto"/>
        <w:rPr>
          <w:sz w:val="20"/>
          <w:szCs w:val="20"/>
          <w:color w:val="auto"/>
        </w:rPr>
      </w:pPr>
      <w:r>
        <w:rPr>
          <w:rFonts w:ascii="Arial" w:cs="Arial" w:eastAsia="Arial" w:hAnsi="Arial"/>
          <w:sz w:val="20"/>
          <w:szCs w:val="20"/>
          <w:color w:val="3E3935"/>
        </w:rPr>
        <w:t>own supply chains. GM is committed to responding swiftly</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20"/>
          <w:szCs w:val="20"/>
          <w:color w:val="3E3935"/>
        </w:rPr>
        <w:t>and appropriately to violations or alleged violations of</w:t>
      </w:r>
    </w:p>
    <w:p>
      <w:pPr>
        <w:spacing w:after="0" w:line="277" w:lineRule="exact"/>
        <w:rPr>
          <w:sz w:val="20"/>
          <w:szCs w:val="20"/>
          <w:color w:val="auto"/>
        </w:rPr>
      </w:pPr>
    </w:p>
    <w:p>
      <w:pPr>
        <w:jc w:val="right"/>
        <w:ind w:right="320"/>
        <w:spacing w:after="0"/>
        <w:rPr>
          <w:sz w:val="20"/>
          <w:szCs w:val="20"/>
          <w:color w:val="auto"/>
        </w:rPr>
      </w:pPr>
      <w:r>
        <w:rPr>
          <w:rFonts w:ascii="Arial" w:cs="Arial" w:eastAsia="Arial" w:hAnsi="Arial"/>
          <w:sz w:val="14"/>
          <w:szCs w:val="14"/>
          <w:color w:val="0071CE"/>
        </w:rPr>
        <w:t>99</w:t>
      </w:r>
    </w:p>
    <w:p>
      <w:pPr>
        <w:sectPr>
          <w:pgSz w:w="11900" w:h="16838" w:orient="portrait"/>
          <w:cols w:equalWidth="0" w:num="1">
            <w:col w:w="11140"/>
          </w:cols>
          <w:pgMar w:left="320" w:top="482" w:right="439" w:bottom="1440" w:gutter="0" w:footer="0" w:header="0"/>
          <w:type w:val="continuous"/>
        </w:sectPr>
      </w:pPr>
    </w:p>
    <w:bookmarkStart w:id="106" w:name="page107"/>
    <w:bookmarkEnd w:id="10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11" w:lineRule="exact"/>
        <w:rPr>
          <w:sz w:val="20"/>
          <w:szCs w:val="20"/>
          <w:color w:val="auto"/>
        </w:rPr>
      </w:pPr>
    </w:p>
    <w:p>
      <w:pPr>
        <w:ind w:left="2380" w:right="2280" w:hanging="2267"/>
        <w:spacing w:after="0" w:line="298" w:lineRule="auto"/>
        <w:tabs>
          <w:tab w:leader="none" w:pos="2360" w:val="left"/>
        </w:tabs>
        <w:rPr>
          <w:sz w:val="20"/>
          <w:szCs w:val="20"/>
          <w:color w:val="auto"/>
        </w:rPr>
      </w:pPr>
      <w:r>
        <w:rPr>
          <w:rFonts w:ascii="Arial" w:cs="Arial" w:eastAsia="Arial" w:hAnsi="Arial"/>
          <w:sz w:val="32"/>
          <w:szCs w:val="32"/>
          <w:b w:val="1"/>
          <w:bCs w:val="1"/>
          <w:color w:val="3E3935"/>
        </w:rPr>
        <w:t>ITEM NO. 6:</w:t>
      </w:r>
      <w:r>
        <w:rPr>
          <w:rFonts w:ascii="Arial" w:cs="Arial" w:eastAsia="Arial" w:hAnsi="Arial"/>
          <w:sz w:val="32"/>
          <w:szCs w:val="32"/>
          <w:b w:val="1"/>
          <w:bCs w:val="1"/>
          <w:color w:val="00C1DE"/>
        </w:rPr>
        <w:tab/>
        <w:t>SHAREHOLDER PROPOSAL REGARDING SHAREHOLDER WRITTEN CONSENT</w:t>
      </w:r>
    </w:p>
    <w:p>
      <w:pPr>
        <w:spacing w:after="0" w:line="80" w:lineRule="exact"/>
        <w:rPr>
          <w:sz w:val="20"/>
          <w:szCs w:val="20"/>
          <w:color w:val="auto"/>
        </w:rPr>
      </w:pPr>
    </w:p>
    <w:p>
      <w:pPr>
        <w:jc w:val="both"/>
        <w:ind w:left="120"/>
        <w:spacing w:after="0" w:line="241" w:lineRule="auto"/>
        <w:rPr>
          <w:sz w:val="20"/>
          <w:szCs w:val="20"/>
          <w:color w:val="auto"/>
        </w:rPr>
      </w:pPr>
      <w:r>
        <w:rPr>
          <w:rFonts w:ascii="Arial" w:cs="Arial" w:eastAsia="Arial" w:hAnsi="Arial"/>
          <w:sz w:val="20"/>
          <w:szCs w:val="20"/>
          <w:i w:val="1"/>
          <w:iCs w:val="1"/>
          <w:color w:val="3E3935"/>
        </w:rPr>
        <w:t>John Lauve, 200 N. Saginaw St., Holly, Michigan 48442, owner of 62 shares of GM common stock, has given notice that he intends to present for action at the Annual Meeting the following shareholder proposal. The shareholder proponent is responsible for the content of the proposal for which we and our Board accept no responsibility.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53975</wp:posOffset>
            </wp:positionV>
            <wp:extent cx="6995160" cy="825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90" w:lineRule="exact"/>
        <w:rPr>
          <w:sz w:val="20"/>
          <w:szCs w:val="20"/>
          <w:color w:val="auto"/>
        </w:rPr>
      </w:pPr>
    </w:p>
    <w:p>
      <w:pPr>
        <w:jc w:val="center"/>
        <w:ind w:right="-119"/>
        <w:spacing w:after="0"/>
        <w:rPr>
          <w:sz w:val="20"/>
          <w:szCs w:val="20"/>
          <w:color w:val="auto"/>
        </w:rPr>
      </w:pPr>
      <w:r>
        <w:rPr>
          <w:rFonts w:ascii="Arial" w:cs="Arial" w:eastAsia="Arial" w:hAnsi="Arial"/>
          <w:sz w:val="20"/>
          <w:szCs w:val="20"/>
          <w:b w:val="1"/>
          <w:bCs w:val="1"/>
          <w:color w:val="3E3935"/>
        </w:rPr>
        <w:t>Proposal 6 – Shareholder Right to Act by Written Consent</w:t>
      </w:r>
    </w:p>
    <w:p>
      <w:pPr>
        <w:spacing w:after="0" w:line="137" w:lineRule="exact"/>
        <w:rPr>
          <w:sz w:val="20"/>
          <w:szCs w:val="20"/>
          <w:color w:val="auto"/>
        </w:rPr>
      </w:pPr>
    </w:p>
    <w:p>
      <w:pPr>
        <w:jc w:val="both"/>
        <w:ind w:left="120" w:right="20"/>
        <w:spacing w:after="0" w:line="237" w:lineRule="auto"/>
        <w:rPr>
          <w:sz w:val="20"/>
          <w:szCs w:val="20"/>
          <w:color w:val="auto"/>
        </w:rPr>
      </w:pPr>
      <w:r>
        <w:rPr>
          <w:rFonts w:ascii="Arial" w:cs="Arial" w:eastAsia="Arial" w:hAnsi="Arial"/>
          <w:sz w:val="20"/>
          <w:szCs w:val="20"/>
          <w:color w:val="3E3935"/>
        </w:rPr>
        <w:t>Shareholders request that our board of directors take the necessary steps to permit written consent by shareholders entitled to cast the minimum number of votes that would be necessary to authorize the action at a meeting at which all shareholders entitled to vote thereon were present and voting. This includes shareholder ability to initiate any appropriate topic for written consent.</w:t>
      </w:r>
    </w:p>
    <w:p>
      <w:pPr>
        <w:spacing w:after="0" w:line="64" w:lineRule="exact"/>
        <w:rPr>
          <w:sz w:val="20"/>
          <w:szCs w:val="20"/>
          <w:color w:val="auto"/>
        </w:rPr>
      </w:pPr>
    </w:p>
    <w:p>
      <w:pPr>
        <w:jc w:val="both"/>
        <w:ind w:left="120" w:right="20"/>
        <w:spacing w:after="0" w:line="237" w:lineRule="auto"/>
        <w:rPr>
          <w:sz w:val="20"/>
          <w:szCs w:val="20"/>
          <w:color w:val="auto"/>
        </w:rPr>
      </w:pPr>
      <w:r>
        <w:rPr>
          <w:rFonts w:ascii="Arial" w:cs="Arial" w:eastAsia="Arial" w:hAnsi="Arial"/>
          <w:sz w:val="20"/>
          <w:szCs w:val="20"/>
          <w:color w:val="3E3935"/>
        </w:rPr>
        <w:t>Any action taken by written consent still needs more than 65% supermajority approval from the shares that normally cast ballots at the GM annual meeting to equal the required majority from the GM shares outstanding. Action by written consent can save the cost of a special shareholder meeting and can raise important matters that cannot wait until the next annual shareholder meeting.</w:t>
      </w:r>
    </w:p>
    <w:p>
      <w:pPr>
        <w:spacing w:after="0" w:line="64" w:lineRule="exact"/>
        <w:rPr>
          <w:sz w:val="20"/>
          <w:szCs w:val="20"/>
          <w:color w:val="auto"/>
        </w:rPr>
      </w:pPr>
    </w:p>
    <w:p>
      <w:pPr>
        <w:ind w:left="120"/>
        <w:spacing w:after="0"/>
        <w:rPr>
          <w:sz w:val="20"/>
          <w:szCs w:val="20"/>
          <w:color w:val="auto"/>
        </w:rPr>
      </w:pPr>
      <w:r>
        <w:rPr>
          <w:rFonts w:ascii="Arial" w:cs="Arial" w:eastAsia="Arial" w:hAnsi="Arial"/>
          <w:sz w:val="20"/>
          <w:szCs w:val="20"/>
          <w:color w:val="3E3935"/>
        </w:rPr>
        <w:t>This proposal topic received impressive 49% support at the 2021 GM annual meeting.</w:t>
      </w:r>
    </w:p>
    <w:p>
      <w:pPr>
        <w:spacing w:after="0" w:line="202" w:lineRule="exact"/>
        <w:rPr>
          <w:sz w:val="20"/>
          <w:szCs w:val="20"/>
          <w:color w:val="auto"/>
        </w:rPr>
      </w:pPr>
    </w:p>
    <w:p>
      <w:pPr>
        <w:ind w:left="4900"/>
        <w:spacing w:after="0"/>
        <w:rPr>
          <w:sz w:val="20"/>
          <w:szCs w:val="20"/>
          <w:color w:val="auto"/>
        </w:rPr>
      </w:pPr>
      <w:r>
        <w:rPr>
          <w:rFonts w:ascii="Arial" w:cs="Arial" w:eastAsia="Arial" w:hAnsi="Arial"/>
          <w:sz w:val="20"/>
          <w:szCs w:val="20"/>
          <w:color w:val="3E3935"/>
        </w:rPr>
        <w:t>Please vote yes:</w:t>
      </w:r>
    </w:p>
    <w:p>
      <w:pPr>
        <w:spacing w:after="0" w:line="92" w:lineRule="exact"/>
        <w:rPr>
          <w:sz w:val="20"/>
          <w:szCs w:val="20"/>
          <w:color w:val="auto"/>
        </w:rPr>
      </w:pPr>
    </w:p>
    <w:p>
      <w:pPr>
        <w:jc w:val="center"/>
        <w:ind w:right="-119"/>
        <w:spacing w:after="0"/>
        <w:rPr>
          <w:sz w:val="20"/>
          <w:szCs w:val="20"/>
          <w:color w:val="auto"/>
        </w:rPr>
      </w:pPr>
      <w:r>
        <w:rPr>
          <w:rFonts w:ascii="Arial" w:cs="Arial" w:eastAsia="Arial" w:hAnsi="Arial"/>
          <w:sz w:val="20"/>
          <w:szCs w:val="20"/>
          <w:b w:val="1"/>
          <w:bCs w:val="1"/>
          <w:color w:val="3E3935"/>
        </w:rPr>
        <w:t>Shareholder Right to Act by Written Consent — Proposal 6</w:t>
      </w:r>
    </w:p>
    <w:p>
      <w:pPr>
        <w:spacing w:after="0" w:line="149" w:lineRule="exact"/>
        <w:rPr>
          <w:sz w:val="20"/>
          <w:szCs w:val="20"/>
          <w:color w:val="auto"/>
        </w:rPr>
      </w:pPr>
    </w:p>
    <w:p>
      <w:pPr>
        <w:jc w:val="center"/>
        <w:ind w:right="10680"/>
        <w:spacing w:after="0"/>
        <w:rPr>
          <w:sz w:val="20"/>
          <w:szCs w:val="20"/>
          <w:color w:val="auto"/>
        </w:rPr>
      </w:pPr>
      <w:r>
        <w:rPr>
          <w:rFonts w:ascii="Arial" w:cs="Arial" w:eastAsia="Arial" w:hAnsi="Arial"/>
          <w:sz w:val="14"/>
          <w:szCs w:val="14"/>
          <w:color w:val="0071CE"/>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wp:posOffset>
            </wp:positionH>
            <wp:positionV relativeFrom="paragraph">
              <wp:posOffset>-95885</wp:posOffset>
            </wp:positionV>
            <wp:extent cx="5983605" cy="10287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5983605" cy="102870"/>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3" w:lineRule="exact"/>
        <w:rPr>
          <w:sz w:val="20"/>
          <w:szCs w:val="20"/>
          <w:color w:val="auto"/>
        </w:rPr>
      </w:pPr>
    </w:p>
    <w:p>
      <w:pPr>
        <w:ind w:left="120" w:right="980"/>
        <w:spacing w:after="0" w:line="298" w:lineRule="auto"/>
        <w:rPr>
          <w:sz w:val="20"/>
          <w:szCs w:val="20"/>
          <w:color w:val="auto"/>
        </w:rPr>
      </w:pPr>
      <w:r>
        <w:rPr>
          <w:rFonts w:ascii="Arial" w:cs="Arial" w:eastAsia="Arial" w:hAnsi="Arial"/>
          <w:sz w:val="25"/>
          <w:szCs w:val="25"/>
          <w:b w:val="1"/>
          <w:bCs w:val="1"/>
          <w:color w:val="0071CE"/>
        </w:rPr>
        <w:t xml:space="preserve">The Board of Directors recommends a vote </w:t>
      </w:r>
      <w:r>
        <w:rPr>
          <w:rFonts w:ascii="Arial" w:cs="Arial" w:eastAsia="Arial" w:hAnsi="Arial"/>
          <w:sz w:val="25"/>
          <w:szCs w:val="25"/>
          <w:b w:val="1"/>
          <w:bCs w:val="1"/>
          <w:u w:val="single" w:color="auto"/>
          <w:color w:val="00C1DE"/>
        </w:rPr>
        <w:t>AGAINST</w:t>
      </w:r>
      <w:r>
        <w:rPr>
          <w:rFonts w:ascii="Arial" w:cs="Arial" w:eastAsia="Arial" w:hAnsi="Arial"/>
          <w:sz w:val="25"/>
          <w:szCs w:val="25"/>
          <w:b w:val="1"/>
          <w:bCs w:val="1"/>
          <w:color w:val="0071CE"/>
        </w:rPr>
        <w:t xml:space="preserve"> this proposal for the following reasons:</w:t>
      </w:r>
    </w:p>
    <w:p>
      <w:pPr>
        <w:sectPr>
          <w:pgSz w:w="11900" w:h="16838" w:orient="portrait"/>
          <w:cols w:equalWidth="0" w:num="1">
            <w:col w:w="11140"/>
          </w:cols>
          <w:pgMar w:left="320" w:top="482" w:right="439" w:bottom="1440" w:gutter="0" w:footer="0" w:header="0"/>
        </w:sectPr>
      </w:pPr>
    </w:p>
    <w:p>
      <w:pPr>
        <w:spacing w:after="0" w:line="81" w:lineRule="exact"/>
        <w:rPr>
          <w:sz w:val="20"/>
          <w:szCs w:val="20"/>
          <w:color w:val="auto"/>
        </w:rPr>
      </w:pPr>
    </w:p>
    <w:p>
      <w:pPr>
        <w:jc w:val="both"/>
        <w:ind w:left="120"/>
        <w:spacing w:after="0" w:line="243" w:lineRule="auto"/>
        <w:rPr>
          <w:sz w:val="20"/>
          <w:szCs w:val="20"/>
          <w:color w:val="auto"/>
        </w:rPr>
      </w:pPr>
      <w:r>
        <w:rPr>
          <w:rFonts w:ascii="Arial" w:cs="Arial" w:eastAsia="Arial" w:hAnsi="Arial"/>
          <w:sz w:val="22"/>
          <w:szCs w:val="22"/>
          <w:b w:val="1"/>
          <w:bCs w:val="1"/>
          <w:i w:val="1"/>
          <w:iCs w:val="1"/>
          <w:color w:val="3E3935"/>
        </w:rPr>
        <w:t>A simple majority written consent provision could deprive shareholders, especially smaller shareholders, of their right to be involved in important Company business.</w:t>
      </w:r>
    </w:p>
    <w:p>
      <w:pPr>
        <w:spacing w:after="0" w:line="101" w:lineRule="exact"/>
        <w:rPr>
          <w:sz w:val="20"/>
          <w:szCs w:val="20"/>
          <w:color w:val="auto"/>
        </w:rPr>
      </w:pPr>
    </w:p>
    <w:p>
      <w:pPr>
        <w:jc w:val="both"/>
        <w:ind w:left="120"/>
        <w:spacing w:after="0" w:line="243" w:lineRule="auto"/>
        <w:rPr>
          <w:sz w:val="20"/>
          <w:szCs w:val="20"/>
          <w:color w:val="auto"/>
        </w:rPr>
      </w:pPr>
      <w:r>
        <w:rPr>
          <w:rFonts w:ascii="Arial" w:cs="Arial" w:eastAsia="Arial" w:hAnsi="Arial"/>
          <w:sz w:val="19"/>
          <w:szCs w:val="19"/>
          <w:color w:val="3E3935"/>
        </w:rPr>
        <w:t>Your Board believes that all shareholders – not just a simple majority – should have an opportunity to hear about, and express their views on, important shareholder proposals. Because a written consent need not be distributed to all shareholders entitled to vote on a matter, actions permitted to be taken by a simple majority of shareholders could deprive many shareholders of the critical opportunity to assess, discuss, deliberate, and vote on pending actions.</w:t>
      </w:r>
    </w:p>
    <w:p>
      <w:pPr>
        <w:spacing w:after="0" w:line="107" w:lineRule="exact"/>
        <w:rPr>
          <w:sz w:val="20"/>
          <w:szCs w:val="20"/>
          <w:color w:val="auto"/>
        </w:rPr>
      </w:pPr>
    </w:p>
    <w:p>
      <w:pPr>
        <w:jc w:val="both"/>
        <w:ind w:left="120"/>
        <w:spacing w:after="0" w:line="228" w:lineRule="auto"/>
        <w:rPr>
          <w:sz w:val="20"/>
          <w:szCs w:val="20"/>
          <w:color w:val="auto"/>
        </w:rPr>
      </w:pPr>
      <w:r>
        <w:rPr>
          <w:rFonts w:ascii="Arial" w:cs="Arial" w:eastAsia="Arial" w:hAnsi="Arial"/>
          <w:sz w:val="20"/>
          <w:szCs w:val="20"/>
          <w:color w:val="3E3935"/>
        </w:rPr>
        <w:t>Further, a simple majority written consent provision could enable a group of shareholders (including special interest investors and those who accumulate a short-term voting position, including through the borrowing of shares) to approve their own proposed actions. The proposal would permit these shareholders to bypass our existing procedural protections and procedures for major corporate actions. Most significantly, the Board and management would not have the opportunity to consider the merits of the proposed action and provide its recommendation for shareholder consideration. Accordingly, shareholder action by written consent could be used to pursue individual agendas or significant corporate actions that neither enhance long-term shareholder value nor advance the interests of shareholders as a whole.</w:t>
      </w:r>
    </w:p>
    <w:p>
      <w:pPr>
        <w:spacing w:after="0" w:line="93" w:lineRule="exact"/>
        <w:rPr>
          <w:sz w:val="20"/>
          <w:szCs w:val="20"/>
          <w:color w:val="auto"/>
        </w:rPr>
      </w:pPr>
    </w:p>
    <w:p>
      <w:pPr>
        <w:jc w:val="both"/>
        <w:ind w:left="120"/>
        <w:spacing w:after="0" w:line="250" w:lineRule="auto"/>
        <w:rPr>
          <w:sz w:val="20"/>
          <w:szCs w:val="20"/>
          <w:color w:val="auto"/>
        </w:rPr>
      </w:pPr>
      <w:r>
        <w:rPr>
          <w:rFonts w:ascii="Arial" w:cs="Arial" w:eastAsia="Arial" w:hAnsi="Arial"/>
          <w:sz w:val="22"/>
          <w:szCs w:val="22"/>
          <w:b w:val="1"/>
          <w:bCs w:val="1"/>
          <w:i w:val="1"/>
          <w:iCs w:val="1"/>
          <w:color w:val="3E3935"/>
        </w:rPr>
        <w:t>GM’s shareholders already have the ability to advance concerns through annual and special meetings.</w:t>
      </w:r>
    </w:p>
    <w:p>
      <w:pPr>
        <w:spacing w:after="0" w:line="92" w:lineRule="exact"/>
        <w:rPr>
          <w:sz w:val="20"/>
          <w:szCs w:val="20"/>
          <w:color w:val="auto"/>
        </w:rPr>
      </w:pPr>
    </w:p>
    <w:p>
      <w:pPr>
        <w:jc w:val="both"/>
        <w:ind w:left="120"/>
        <w:spacing w:after="0"/>
        <w:rPr>
          <w:sz w:val="20"/>
          <w:szCs w:val="20"/>
          <w:color w:val="auto"/>
        </w:rPr>
      </w:pPr>
      <w:r>
        <w:rPr>
          <w:rFonts w:ascii="Arial" w:cs="Arial" w:eastAsia="Arial" w:hAnsi="Arial"/>
          <w:sz w:val="19"/>
          <w:szCs w:val="19"/>
          <w:color w:val="3E3935"/>
        </w:rPr>
        <w:t>Shareholders have the right to propose business at our annual meetings under SEC Rule 14a-8 (the provision the proponent used to bring this proposal), and the Company’s Bylaws include a proxy access provision that allows our shareholders to include their own director nominees in the Company’s proxy materials along with the candidates nominated by the Board. Further, shareholders who are able to demonstrate a modest level of support for their concerns (15 percent of shares that would be entitled to vote on a matter, a threshold that was recently reduced from 25 percent by the Board) can call for a special meeting of shareholders. The Board believes that these mechanisms are preferable to a simple majority written consent provision because they provide all shareholders with the opportunity to be involved in important Company business.</w:t>
      </w:r>
    </w:p>
    <w:p>
      <w:pPr>
        <w:spacing w:after="0" w:line="20" w:lineRule="exact"/>
        <w:rPr>
          <w:sz w:val="20"/>
          <w:szCs w:val="20"/>
          <w:color w:val="auto"/>
        </w:rPr>
      </w:pPr>
      <w:r>
        <w:rPr>
          <w:sz w:val="20"/>
          <w:szCs w:val="20"/>
          <w:color w:val="auto"/>
        </w:rPr>
        <w:br w:type="column"/>
      </w:r>
    </w:p>
    <w:p>
      <w:pPr>
        <w:spacing w:after="0" w:line="61" w:lineRule="exact"/>
        <w:rPr>
          <w:sz w:val="20"/>
          <w:szCs w:val="20"/>
          <w:color w:val="auto"/>
        </w:rPr>
      </w:pPr>
    </w:p>
    <w:p>
      <w:pPr>
        <w:jc w:val="both"/>
        <w:ind w:right="20"/>
        <w:spacing w:after="0" w:line="250" w:lineRule="auto"/>
        <w:rPr>
          <w:sz w:val="20"/>
          <w:szCs w:val="20"/>
          <w:color w:val="auto"/>
        </w:rPr>
      </w:pPr>
      <w:r>
        <w:rPr>
          <w:rFonts w:ascii="Arial" w:cs="Arial" w:eastAsia="Arial" w:hAnsi="Arial"/>
          <w:sz w:val="22"/>
          <w:szCs w:val="22"/>
          <w:b w:val="1"/>
          <w:bCs w:val="1"/>
          <w:i w:val="1"/>
          <w:iCs w:val="1"/>
          <w:color w:val="3E3935"/>
        </w:rPr>
        <w:t>GM’s commitment to shareholder engagement and governance best practices provides a meaningful voice for shareholders.</w:t>
      </w:r>
    </w:p>
    <w:p>
      <w:pPr>
        <w:spacing w:after="0" w:line="92" w:lineRule="exact"/>
        <w:rPr>
          <w:sz w:val="20"/>
          <w:szCs w:val="20"/>
          <w:color w:val="auto"/>
        </w:rPr>
      </w:pPr>
    </w:p>
    <w:p>
      <w:pPr>
        <w:jc w:val="both"/>
        <w:spacing w:after="0" w:line="228" w:lineRule="auto"/>
        <w:rPr>
          <w:sz w:val="20"/>
          <w:szCs w:val="20"/>
          <w:color w:val="auto"/>
        </w:rPr>
      </w:pPr>
      <w:r>
        <w:rPr>
          <w:rFonts w:ascii="Arial" w:cs="Arial" w:eastAsia="Arial" w:hAnsi="Arial"/>
          <w:sz w:val="20"/>
          <w:szCs w:val="20"/>
          <w:color w:val="3E3935"/>
        </w:rPr>
        <w:t>The Board already provides shareholders with the ability to voice their opinions and ensure accountability and responsiveness to shareholders. The Company has numerous corporate governance policies and practices that reinforce such accountability and responsiveness, including annual director elections; majority voting in uncontested director elections; no supermajority voting provisions; annual say-on-pay vote; no shareholder rights plan (“poison pill”); significant board refreshment; a strong Independent Lead Director with clearly delineated leadership duties; and in addition to proxy access, a policy of considering director candidates recommended by shareholders. Additionally, GM’s shareholders have always been allowed to voice their concerns and ask questions live during our annual meetings.</w:t>
      </w:r>
    </w:p>
    <w:p>
      <w:pPr>
        <w:spacing w:after="0" w:line="114" w:lineRule="exact"/>
        <w:rPr>
          <w:sz w:val="20"/>
          <w:szCs w:val="20"/>
          <w:color w:val="auto"/>
        </w:rPr>
      </w:pPr>
    </w:p>
    <w:p>
      <w:pPr>
        <w:jc w:val="both"/>
        <w:spacing w:after="0" w:line="229" w:lineRule="auto"/>
        <w:rPr>
          <w:sz w:val="20"/>
          <w:szCs w:val="20"/>
          <w:color w:val="auto"/>
        </w:rPr>
      </w:pPr>
      <w:r>
        <w:rPr>
          <w:rFonts w:ascii="Arial" w:cs="Arial" w:eastAsia="Arial" w:hAnsi="Arial"/>
          <w:sz w:val="20"/>
          <w:szCs w:val="20"/>
          <w:color w:val="3E3935"/>
        </w:rPr>
        <w:t>Further, active shareholder engagement and responsiveness to shareholder feedback are important to both our Board and management. Members of management, including the CEO, and members of the Board, including our Independent Lead Director, regularly engage with shareholders and other stakeholders throughout the year to gain feedback on a variety of topics. For example, in response to feedback communicated during these shareholder engagements, the Company made changes to its long-term incentive plan to further align executive compensation with the Company’s EV strategy, enhanced its Human Rights Policy, and published its first Public Policy Supplement (disclosing how our lobbying efforts align with the Paris Agreement).</w:t>
      </w:r>
    </w:p>
    <w:p>
      <w:pPr>
        <w:spacing w:after="0" w:line="88" w:lineRule="exact"/>
        <w:rPr>
          <w:sz w:val="20"/>
          <w:szCs w:val="20"/>
          <w:color w:val="auto"/>
        </w:rPr>
      </w:pPr>
    </w:p>
    <w:p>
      <w:pPr>
        <w:jc w:val="both"/>
        <w:ind w:right="20"/>
        <w:spacing w:after="0" w:line="270" w:lineRule="auto"/>
        <w:rPr>
          <w:sz w:val="20"/>
          <w:szCs w:val="20"/>
          <w:color w:val="auto"/>
        </w:rPr>
      </w:pPr>
      <w:r>
        <w:rPr>
          <w:rFonts w:ascii="Arial" w:cs="Arial" w:eastAsia="Arial" w:hAnsi="Arial"/>
          <w:sz w:val="20"/>
          <w:szCs w:val="20"/>
          <w:b w:val="1"/>
          <w:bCs w:val="1"/>
          <w:color w:val="0071CE"/>
        </w:rPr>
        <w:t xml:space="preserve">Therefore, the Board of Directors recommends a vote </w:t>
      </w:r>
      <w:r>
        <w:rPr>
          <w:rFonts w:ascii="Arial" w:cs="Arial" w:eastAsia="Arial" w:hAnsi="Arial"/>
          <w:sz w:val="20"/>
          <w:szCs w:val="20"/>
          <w:b w:val="1"/>
          <w:bCs w:val="1"/>
          <w:u w:val="single" w:color="auto"/>
          <w:color w:val="00C1DE"/>
        </w:rPr>
        <w:t>AGAINST</w:t>
      </w:r>
      <w:r>
        <w:rPr>
          <w:rFonts w:ascii="Arial" w:cs="Arial" w:eastAsia="Arial" w:hAnsi="Arial"/>
          <w:sz w:val="20"/>
          <w:szCs w:val="20"/>
          <w:b w:val="1"/>
          <w:bCs w:val="1"/>
          <w:color w:val="0071CE"/>
        </w:rPr>
        <w:t xml:space="preserve"> this shareholder proposal.</w:t>
      </w:r>
    </w:p>
    <w:p>
      <w:pPr>
        <w:spacing w:after="0" w:line="2999" w:lineRule="exact"/>
        <w:rPr>
          <w:sz w:val="20"/>
          <w:szCs w:val="20"/>
          <w:color w:val="auto"/>
        </w:rPr>
      </w:pPr>
    </w:p>
    <w:p>
      <w:pPr>
        <w:sectPr>
          <w:pgSz w:w="11900" w:h="16838" w:orient="portrait"/>
          <w:cols w:equalWidth="0" w:num="2">
            <w:col w:w="5400" w:space="340"/>
            <w:col w:w="5400"/>
          </w:cols>
          <w:pgMar w:left="320" w:top="482" w:right="439" w:bottom="1440" w:gutter="0" w:footer="0" w:header="0"/>
          <w:type w:val="continuous"/>
        </w:sectPr>
      </w:pPr>
    </w:p>
    <w:p>
      <w:pPr>
        <w:spacing w:after="0" w:line="291" w:lineRule="exact"/>
        <w:rPr>
          <w:sz w:val="20"/>
          <w:szCs w:val="20"/>
          <w:color w:val="auto"/>
        </w:rPr>
      </w:pPr>
    </w:p>
    <w:p>
      <w:pPr>
        <w:ind w:left="10580"/>
        <w:spacing w:after="0"/>
        <w:rPr>
          <w:sz w:val="20"/>
          <w:szCs w:val="20"/>
          <w:color w:val="auto"/>
        </w:rPr>
      </w:pPr>
      <w:r>
        <w:rPr>
          <w:rFonts w:ascii="Arial" w:cs="Arial" w:eastAsia="Arial" w:hAnsi="Arial"/>
          <w:sz w:val="14"/>
          <w:szCs w:val="14"/>
          <w:color w:val="0071CE"/>
        </w:rPr>
        <w:t>101</w:t>
      </w:r>
    </w:p>
    <w:p>
      <w:pPr>
        <w:sectPr>
          <w:pgSz w:w="11900" w:h="16838" w:orient="portrait"/>
          <w:cols w:equalWidth="0" w:num="1">
            <w:col w:w="11140"/>
          </w:cols>
          <w:pgMar w:left="320" w:top="482" w:right="439" w:bottom="1440" w:gutter="0" w:footer="0" w:header="0"/>
          <w:type w:val="continuous"/>
        </w:sectPr>
      </w:pPr>
    </w:p>
    <w:bookmarkStart w:id="108" w:name="page109"/>
    <w:bookmarkEnd w:id="10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11" w:lineRule="exact"/>
        <w:rPr>
          <w:sz w:val="20"/>
          <w:szCs w:val="20"/>
          <w:color w:val="auto"/>
        </w:rPr>
      </w:pPr>
    </w:p>
    <w:p>
      <w:pPr>
        <w:ind w:left="2260" w:right="2020" w:hanging="2145"/>
        <w:spacing w:after="0" w:line="272" w:lineRule="auto"/>
        <w:tabs>
          <w:tab w:leader="none" w:pos="2240" w:val="left"/>
        </w:tabs>
        <w:rPr>
          <w:sz w:val="20"/>
          <w:szCs w:val="20"/>
          <w:color w:val="auto"/>
        </w:rPr>
      </w:pPr>
      <w:r>
        <w:rPr>
          <w:rFonts w:ascii="Arial" w:cs="Arial" w:eastAsia="Arial" w:hAnsi="Arial"/>
          <w:sz w:val="32"/>
          <w:szCs w:val="32"/>
          <w:b w:val="1"/>
          <w:bCs w:val="1"/>
          <w:color w:val="3E3935"/>
        </w:rPr>
        <w:t>ITEM NO. 7:</w:t>
      </w:r>
      <w:r>
        <w:rPr>
          <w:rFonts w:ascii="Arial" w:cs="Arial" w:eastAsia="Arial" w:hAnsi="Arial"/>
          <w:sz w:val="32"/>
          <w:szCs w:val="32"/>
          <w:b w:val="1"/>
          <w:bCs w:val="1"/>
          <w:color w:val="00C1DE"/>
        </w:rPr>
        <w:tab/>
        <w:t>SHAREHOLDER PROPOSAL REGARDING SUSTAINABLE MATERIALS PROCUREMENT TARGETS</w:t>
      </w:r>
    </w:p>
    <w:p>
      <w:pPr>
        <w:spacing w:after="0" w:line="121" w:lineRule="exact"/>
        <w:rPr>
          <w:sz w:val="20"/>
          <w:szCs w:val="20"/>
          <w:color w:val="auto"/>
        </w:rPr>
      </w:pPr>
    </w:p>
    <w:p>
      <w:pPr>
        <w:jc w:val="both"/>
        <w:ind w:left="120" w:right="20"/>
        <w:spacing w:after="0" w:line="234" w:lineRule="auto"/>
        <w:rPr>
          <w:sz w:val="20"/>
          <w:szCs w:val="20"/>
          <w:color w:val="auto"/>
        </w:rPr>
      </w:pPr>
      <w:r>
        <w:rPr>
          <w:rFonts w:ascii="Arial" w:cs="Arial" w:eastAsia="Arial" w:hAnsi="Arial"/>
          <w:sz w:val="20"/>
          <w:szCs w:val="20"/>
          <w:i w:val="1"/>
          <w:iCs w:val="1"/>
          <w:color w:val="3E3935"/>
        </w:rPr>
        <w:t xml:space="preserve">Amy Floyd, owner of 150 shares of GM common stock, has given notice that she intends to present for action at the Annual Meeting the following shareholder proposal. The shareholder proponent is responsible for the content of the proposal for which we and our Board accept no responsibility. We will promptly provide Ms. Floyd’s address upon a shareholder’s request given to our Corporate Secretary at General Motors Company, Mail Code 482-C24-A68, 300 Renaissance Center, Detroit, Michigan 48265 or by e-mail to </w:t>
      </w:r>
      <w:r>
        <w:rPr>
          <w:rFonts w:ascii="Arial" w:cs="Arial" w:eastAsia="Arial" w:hAnsi="Arial"/>
          <w:sz w:val="20"/>
          <w:szCs w:val="20"/>
          <w:i w:val="1"/>
          <w:iCs w:val="1"/>
          <w:color w:val="00C1DE"/>
        </w:rPr>
        <w:t>shareholder.relations@gm.com</w:t>
      </w:r>
      <w:r>
        <w:rPr>
          <w:rFonts w:ascii="Arial" w:cs="Arial" w:eastAsia="Arial" w:hAnsi="Arial"/>
          <w:sz w:val="20"/>
          <w:szCs w:val="20"/>
          <w:i w:val="1"/>
          <w:iCs w:val="1"/>
          <w:color w:val="3E3935"/>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55880</wp:posOffset>
            </wp:positionV>
            <wp:extent cx="6995160" cy="825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74" w:lineRule="exact"/>
        <w:rPr>
          <w:sz w:val="20"/>
          <w:szCs w:val="20"/>
          <w:color w:val="auto"/>
        </w:rPr>
      </w:pPr>
    </w:p>
    <w:p>
      <w:pPr>
        <w:jc w:val="both"/>
        <w:ind w:left="120" w:right="20"/>
        <w:spacing w:after="0" w:line="242" w:lineRule="auto"/>
        <w:rPr>
          <w:sz w:val="20"/>
          <w:szCs w:val="20"/>
          <w:color w:val="auto"/>
        </w:rPr>
      </w:pPr>
      <w:r>
        <w:rPr>
          <w:rFonts w:ascii="Arial" w:cs="Arial" w:eastAsia="Arial" w:hAnsi="Arial"/>
          <w:sz w:val="20"/>
          <w:szCs w:val="20"/>
          <w:b w:val="1"/>
          <w:bCs w:val="1"/>
          <w:color w:val="3E3935"/>
        </w:rPr>
        <w:t xml:space="preserve">Whereas: </w:t>
      </w:r>
      <w:r>
        <w:rPr>
          <w:rFonts w:ascii="Arial" w:cs="Arial" w:eastAsia="Arial" w:hAnsi="Arial"/>
          <w:sz w:val="20"/>
          <w:szCs w:val="20"/>
          <w:color w:val="3E3935"/>
        </w:rPr>
        <w:t>Vehicle manufacturing relies on extraction, processing, and manufacturing of natural resources such as aluminum,</w:t>
      </w:r>
      <w:r>
        <w:rPr>
          <w:rFonts w:ascii="Arial" w:cs="Arial" w:eastAsia="Arial" w:hAnsi="Arial"/>
          <w:sz w:val="20"/>
          <w:szCs w:val="20"/>
          <w:b w:val="1"/>
          <w:bCs w:val="1"/>
          <w:color w:val="3E3935"/>
        </w:rPr>
        <w:t xml:space="preserve"> </w:t>
      </w:r>
      <w:r>
        <w:rPr>
          <w:rFonts w:ascii="Arial" w:cs="Arial" w:eastAsia="Arial" w:hAnsi="Arial"/>
          <w:sz w:val="20"/>
          <w:szCs w:val="20"/>
          <w:color w:val="3E3935"/>
        </w:rPr>
        <w:t>steel, rubber and leather – activities associated with intensive environmental degradation and substantial greenhouse gas (GHG) emissions:</w:t>
      </w:r>
    </w:p>
    <w:p>
      <w:pPr>
        <w:spacing w:after="0" w:line="76" w:lineRule="exact"/>
        <w:rPr>
          <w:sz w:val="20"/>
          <w:szCs w:val="20"/>
          <w:color w:val="auto"/>
        </w:rPr>
      </w:pPr>
    </w:p>
    <w:p>
      <w:pPr>
        <w:jc w:val="both"/>
        <w:ind w:left="1200" w:hanging="436"/>
        <w:spacing w:after="0" w:line="209" w:lineRule="auto"/>
        <w:tabs>
          <w:tab w:leader="none" w:pos="1200" w:val="left"/>
        </w:tabs>
        <w:numPr>
          <w:ilvl w:val="0"/>
          <w:numId w:val="151"/>
        </w:numPr>
        <w:rPr>
          <w:rFonts w:ascii="Arial" w:cs="Arial" w:eastAsia="Arial" w:hAnsi="Arial"/>
          <w:sz w:val="20"/>
          <w:szCs w:val="20"/>
          <w:color w:val="00C1DE"/>
        </w:rPr>
      </w:pPr>
      <w:r>
        <w:rPr>
          <w:rFonts w:ascii="Arial" w:cs="Arial" w:eastAsia="Arial" w:hAnsi="Arial"/>
          <w:sz w:val="20"/>
          <w:szCs w:val="20"/>
          <w:color w:val="3E3935"/>
        </w:rPr>
        <w:t>The aluminum and steel sectors emit billions of tons of carbon dioxide pollution annually, accounting for approximately 13% of global GHG emissions.</w:t>
      </w:r>
      <w:r>
        <w:rPr>
          <w:rFonts w:ascii="Arial" w:cs="Arial" w:eastAsia="Arial" w:hAnsi="Arial"/>
          <w:sz w:val="29"/>
          <w:szCs w:val="29"/>
          <w:color w:val="3E3935"/>
          <w:vertAlign w:val="superscript"/>
        </w:rPr>
        <w:t>,</w:t>
      </w:r>
      <w:r>
        <w:rPr>
          <w:rFonts w:ascii="Arial" w:cs="Arial" w:eastAsia="Arial" w:hAnsi="Arial"/>
          <w:sz w:val="20"/>
          <w:szCs w:val="20"/>
          <w:color w:val="3E3935"/>
        </w:rPr>
        <w:t xml:space="preserve"> In 2019, vehicle manufacturers consumed 18% of aluminum and 11% of steel, globally.</w:t>
      </w:r>
    </w:p>
    <w:p>
      <w:pPr>
        <w:spacing w:after="0" w:line="38" w:lineRule="exact"/>
        <w:rPr>
          <w:rFonts w:ascii="Arial" w:cs="Arial" w:eastAsia="Arial" w:hAnsi="Arial"/>
          <w:sz w:val="20"/>
          <w:szCs w:val="20"/>
          <w:color w:val="00C1DE"/>
        </w:rPr>
      </w:pPr>
    </w:p>
    <w:p>
      <w:pPr>
        <w:ind w:left="1200" w:hanging="436"/>
        <w:spacing w:after="0" w:line="257" w:lineRule="auto"/>
        <w:tabs>
          <w:tab w:leader="none" w:pos="1200" w:val="left"/>
        </w:tabs>
        <w:numPr>
          <w:ilvl w:val="0"/>
          <w:numId w:val="151"/>
        </w:numPr>
        <w:rPr>
          <w:rFonts w:ascii="Arial" w:cs="Arial" w:eastAsia="Arial" w:hAnsi="Arial"/>
          <w:sz w:val="20"/>
          <w:szCs w:val="20"/>
          <w:color w:val="00C1DE"/>
        </w:rPr>
      </w:pPr>
      <w:r>
        <w:rPr>
          <w:rFonts w:ascii="Arial" w:cs="Arial" w:eastAsia="Arial" w:hAnsi="Arial"/>
          <w:sz w:val="20"/>
          <w:szCs w:val="20"/>
          <w:color w:val="3E3935"/>
        </w:rPr>
        <w:t>Clearing forests for cattle raising is a leading cause of deforestation in Brazil, a country considered a major source of leather for U.S. auto manufacturers.</w:t>
      </w:r>
    </w:p>
    <w:p>
      <w:pPr>
        <w:spacing w:after="0" w:line="20" w:lineRule="exact"/>
        <w:rPr>
          <w:rFonts w:ascii="Arial" w:cs="Arial" w:eastAsia="Arial" w:hAnsi="Arial"/>
          <w:sz w:val="20"/>
          <w:szCs w:val="20"/>
          <w:color w:val="00C1DE"/>
        </w:rPr>
      </w:pPr>
    </w:p>
    <w:p>
      <w:pPr>
        <w:ind w:left="1200" w:hanging="436"/>
        <w:spacing w:after="0" w:line="257" w:lineRule="auto"/>
        <w:tabs>
          <w:tab w:leader="none" w:pos="1200" w:val="left"/>
        </w:tabs>
        <w:numPr>
          <w:ilvl w:val="0"/>
          <w:numId w:val="151"/>
        </w:numPr>
        <w:rPr>
          <w:rFonts w:ascii="Arial" w:cs="Arial" w:eastAsia="Arial" w:hAnsi="Arial"/>
          <w:sz w:val="20"/>
          <w:szCs w:val="20"/>
          <w:color w:val="00C1DE"/>
        </w:rPr>
      </w:pPr>
      <w:r>
        <w:rPr>
          <w:rFonts w:ascii="Arial" w:cs="Arial" w:eastAsia="Arial" w:hAnsi="Arial"/>
          <w:sz w:val="20"/>
          <w:szCs w:val="20"/>
          <w:color w:val="3E3935"/>
        </w:rPr>
        <w:t>Unsustainable practices used to expand rubber tree cultivation in Southeast Asia and in Africa threaten the destruction of biodiverse ecosystems.</w:t>
      </w:r>
    </w:p>
    <w:p>
      <w:pPr>
        <w:spacing w:after="0" w:line="155" w:lineRule="exact"/>
        <w:rPr>
          <w:sz w:val="20"/>
          <w:szCs w:val="20"/>
          <w:color w:val="auto"/>
        </w:rPr>
      </w:pPr>
    </w:p>
    <w:p>
      <w:pPr>
        <w:jc w:val="both"/>
        <w:ind w:left="120" w:right="20"/>
        <w:spacing w:after="0" w:line="257" w:lineRule="auto"/>
        <w:rPr>
          <w:sz w:val="20"/>
          <w:szCs w:val="20"/>
          <w:color w:val="auto"/>
        </w:rPr>
      </w:pPr>
      <w:r>
        <w:rPr>
          <w:rFonts w:ascii="Arial" w:cs="Arial" w:eastAsia="Arial" w:hAnsi="Arial"/>
          <w:sz w:val="20"/>
          <w:szCs w:val="20"/>
          <w:color w:val="3E3935"/>
        </w:rPr>
        <w:t>General Motors (GM) is working on important sustainability initiatives but has not set trackable procurement goals with clear indicia of progress.</w:t>
      </w:r>
    </w:p>
    <w:p>
      <w:pPr>
        <w:spacing w:after="0" w:line="155" w:lineRule="exact"/>
        <w:rPr>
          <w:sz w:val="20"/>
          <w:szCs w:val="20"/>
          <w:color w:val="auto"/>
        </w:rPr>
      </w:pPr>
    </w:p>
    <w:p>
      <w:pPr>
        <w:jc w:val="both"/>
        <w:ind w:left="120" w:right="20"/>
        <w:spacing w:after="0" w:line="237" w:lineRule="auto"/>
        <w:rPr>
          <w:sz w:val="20"/>
          <w:szCs w:val="20"/>
          <w:color w:val="auto"/>
        </w:rPr>
      </w:pPr>
      <w:r>
        <w:rPr>
          <w:rFonts w:ascii="Arial" w:cs="Arial" w:eastAsia="Arial" w:hAnsi="Arial"/>
          <w:sz w:val="20"/>
          <w:szCs w:val="20"/>
          <w:color w:val="3E3935"/>
        </w:rPr>
        <w:t>For example, GM is a member of the Global Platform for Sustainable Natural Rubber (GPSNR), with reporting requirements on deforestation and sustainability concerns regarding natural rubber. Yet, GM has not publicly disclosed applicable information about its tire (or leather) deforestation risks or approaches to mitigate those risks. Nor has it set related procurement targets.</w:t>
      </w:r>
    </w:p>
    <w:p>
      <w:pPr>
        <w:spacing w:after="0" w:line="172" w:lineRule="exact"/>
        <w:rPr>
          <w:sz w:val="20"/>
          <w:szCs w:val="20"/>
          <w:color w:val="auto"/>
        </w:rPr>
      </w:pPr>
    </w:p>
    <w:p>
      <w:pPr>
        <w:jc w:val="both"/>
        <w:ind w:left="120" w:right="20"/>
        <w:spacing w:after="0" w:line="241" w:lineRule="auto"/>
        <w:rPr>
          <w:sz w:val="20"/>
          <w:szCs w:val="20"/>
          <w:color w:val="auto"/>
        </w:rPr>
      </w:pPr>
      <w:r>
        <w:rPr>
          <w:rFonts w:ascii="Arial" w:cs="Arial" w:eastAsia="Arial" w:hAnsi="Arial"/>
          <w:sz w:val="20"/>
          <w:szCs w:val="20"/>
          <w:color w:val="3E3935"/>
        </w:rPr>
        <w:t>In November, GM joined the First Movers Coalition, an organization that urges companies to use their purchasing power to stimulate demand for low carbon materials. GM has yet to set purchasing targets for aluminum and steel aligned with the coalition’s recommended targets.</w:t>
      </w:r>
    </w:p>
    <w:p>
      <w:pPr>
        <w:spacing w:after="0" w:line="171" w:lineRule="exact"/>
        <w:rPr>
          <w:sz w:val="20"/>
          <w:szCs w:val="20"/>
          <w:color w:val="auto"/>
        </w:rPr>
      </w:pPr>
    </w:p>
    <w:p>
      <w:pPr>
        <w:jc w:val="both"/>
        <w:ind w:left="120"/>
        <w:spacing w:after="0" w:line="215" w:lineRule="auto"/>
        <w:rPr>
          <w:sz w:val="20"/>
          <w:szCs w:val="20"/>
          <w:color w:val="auto"/>
        </w:rPr>
      </w:pPr>
      <w:r>
        <w:rPr>
          <w:rFonts w:ascii="Arial" w:cs="Arial" w:eastAsia="Arial" w:hAnsi="Arial"/>
          <w:sz w:val="20"/>
          <w:szCs w:val="20"/>
          <w:color w:val="3E3935"/>
        </w:rPr>
        <w:t>Meanwhile, competitors Volvo and Mercedes-Benz have taken steps to improve the sustainability of the steel supply chain by participating in the ResponsibleSteel</w:t>
      </w:r>
      <w:r>
        <w:rPr>
          <w:rFonts w:ascii="Arial" w:cs="Arial" w:eastAsia="Arial" w:hAnsi="Arial"/>
          <w:sz w:val="29"/>
          <w:szCs w:val="29"/>
          <w:color w:val="3E3935"/>
          <w:vertAlign w:val="superscript"/>
        </w:rPr>
        <w:t>™</w:t>
      </w:r>
      <w:r>
        <w:rPr>
          <w:rFonts w:ascii="Arial" w:cs="Arial" w:eastAsia="Arial" w:hAnsi="Arial"/>
          <w:sz w:val="20"/>
          <w:szCs w:val="20"/>
          <w:color w:val="3E3935"/>
        </w:rPr>
        <w:t xml:space="preserve"> standard and certification initiative. Volvo has signed on to the SteelZero initiative, pledging to procure 50% net-zero steel by 2030 and 100% by 2050. Similarly, Audi, BMW, and Mercedes-Benz, participate in the Aluminum Stewardship Initiative, a standard-setting organization that promotes sustainable and responsible aluminum mining and production.</w:t>
      </w:r>
    </w:p>
    <w:p>
      <w:pPr>
        <w:spacing w:after="0" w:line="171" w:lineRule="exact"/>
        <w:rPr>
          <w:sz w:val="20"/>
          <w:szCs w:val="20"/>
          <w:color w:val="auto"/>
        </w:rPr>
      </w:pPr>
    </w:p>
    <w:p>
      <w:pPr>
        <w:jc w:val="both"/>
        <w:ind w:left="120" w:right="20"/>
        <w:spacing w:after="0" w:line="259" w:lineRule="auto"/>
        <w:rPr>
          <w:sz w:val="20"/>
          <w:szCs w:val="20"/>
          <w:color w:val="auto"/>
        </w:rPr>
      </w:pPr>
      <w:r>
        <w:rPr>
          <w:rFonts w:ascii="Arial" w:cs="Arial" w:eastAsia="Arial" w:hAnsi="Arial"/>
          <w:sz w:val="20"/>
          <w:szCs w:val="20"/>
          <w:b w:val="1"/>
          <w:bCs w:val="1"/>
          <w:color w:val="3E3935"/>
        </w:rPr>
        <w:t>Resolved</w:t>
      </w:r>
      <w:r>
        <w:rPr>
          <w:rFonts w:ascii="Arial" w:cs="Arial" w:eastAsia="Arial" w:hAnsi="Arial"/>
          <w:sz w:val="20"/>
          <w:szCs w:val="20"/>
          <w:color w:val="3E3935"/>
        </w:rPr>
        <w:t>: Proponents request that the Company develop a feasible plan to establish procurement targets for sustainable</w:t>
      </w:r>
      <w:r>
        <w:rPr>
          <w:rFonts w:ascii="Arial" w:cs="Arial" w:eastAsia="Arial" w:hAnsi="Arial"/>
          <w:sz w:val="20"/>
          <w:szCs w:val="20"/>
          <w:b w:val="1"/>
          <w:bCs w:val="1"/>
          <w:color w:val="3E3935"/>
        </w:rPr>
        <w:t xml:space="preserve"> </w:t>
      </w:r>
      <w:r>
        <w:rPr>
          <w:rFonts w:ascii="Arial" w:cs="Arial" w:eastAsia="Arial" w:hAnsi="Arial"/>
          <w:sz w:val="20"/>
          <w:szCs w:val="20"/>
          <w:color w:val="3E3935"/>
        </w:rPr>
        <w:t>materials within its supply chain and include annual disclosure of progress toward attainment of such targets.</w:t>
      </w:r>
    </w:p>
    <w:p>
      <w:pPr>
        <w:spacing w:after="0" w:line="152" w:lineRule="exact"/>
        <w:rPr>
          <w:sz w:val="20"/>
          <w:szCs w:val="20"/>
          <w:color w:val="auto"/>
        </w:rPr>
      </w:pPr>
    </w:p>
    <w:p>
      <w:pPr>
        <w:jc w:val="both"/>
        <w:ind w:left="120"/>
        <w:spacing w:after="0" w:line="242" w:lineRule="auto"/>
        <w:rPr>
          <w:sz w:val="20"/>
          <w:szCs w:val="20"/>
          <w:color w:val="auto"/>
        </w:rPr>
      </w:pPr>
      <w:r>
        <w:rPr>
          <w:rFonts w:ascii="Arial" w:cs="Arial" w:eastAsia="Arial" w:hAnsi="Arial"/>
          <w:sz w:val="20"/>
          <w:szCs w:val="20"/>
          <w:b w:val="1"/>
          <w:bCs w:val="1"/>
          <w:color w:val="3E3935"/>
        </w:rPr>
        <w:t>SUPPORTING STATEMENT</w:t>
      </w:r>
      <w:r>
        <w:rPr>
          <w:rFonts w:ascii="Arial" w:cs="Arial" w:eastAsia="Arial" w:hAnsi="Arial"/>
          <w:sz w:val="20"/>
          <w:szCs w:val="20"/>
          <w:color w:val="3E3935"/>
        </w:rPr>
        <w:t>: Shareholders recommend that the plan be prepared at reasonable cost and omitting proprietary</w:t>
      </w:r>
      <w:r>
        <w:rPr>
          <w:rFonts w:ascii="Arial" w:cs="Arial" w:eastAsia="Arial" w:hAnsi="Arial"/>
          <w:sz w:val="20"/>
          <w:szCs w:val="20"/>
          <w:b w:val="1"/>
          <w:bCs w:val="1"/>
          <w:color w:val="3E3935"/>
        </w:rPr>
        <w:t xml:space="preserve"> </w:t>
      </w:r>
      <w:r>
        <w:rPr>
          <w:rFonts w:ascii="Arial" w:cs="Arial" w:eastAsia="Arial" w:hAnsi="Arial"/>
          <w:sz w:val="20"/>
          <w:szCs w:val="20"/>
          <w:color w:val="3E3935"/>
        </w:rPr>
        <w:t>information, and, in their discretion, encourage the board and management as they develop and implement a plan, to consider:</w:t>
      </w:r>
    </w:p>
    <w:p>
      <w:pPr>
        <w:spacing w:after="0" w:line="76" w:lineRule="exact"/>
        <w:rPr>
          <w:sz w:val="20"/>
          <w:szCs w:val="20"/>
          <w:color w:val="auto"/>
        </w:rPr>
      </w:pPr>
    </w:p>
    <w:p>
      <w:pPr>
        <w:ind w:left="1200" w:right="20" w:hanging="436"/>
        <w:spacing w:after="0" w:line="257" w:lineRule="auto"/>
        <w:tabs>
          <w:tab w:leader="none" w:pos="1200" w:val="left"/>
        </w:tabs>
        <w:numPr>
          <w:ilvl w:val="0"/>
          <w:numId w:val="152"/>
        </w:numPr>
        <w:rPr>
          <w:rFonts w:ascii="Arial" w:cs="Arial" w:eastAsia="Arial" w:hAnsi="Arial"/>
          <w:sz w:val="20"/>
          <w:szCs w:val="20"/>
          <w:color w:val="00C1DE"/>
        </w:rPr>
      </w:pPr>
      <w:r>
        <w:rPr>
          <w:rFonts w:ascii="Arial" w:cs="Arial" w:eastAsia="Arial" w:hAnsi="Arial"/>
          <w:sz w:val="20"/>
          <w:szCs w:val="20"/>
          <w:color w:val="3E3935"/>
        </w:rPr>
        <w:t>Disaggregating sourcing information for GM’s full supply chains, e.g., mines, smelters, processors, manufacturers, farms, and tanneries</w:t>
      </w:r>
    </w:p>
    <w:p>
      <w:pPr>
        <w:spacing w:after="0" w:line="20" w:lineRule="exact"/>
        <w:rPr>
          <w:rFonts w:ascii="Arial" w:cs="Arial" w:eastAsia="Arial" w:hAnsi="Arial"/>
          <w:sz w:val="20"/>
          <w:szCs w:val="20"/>
          <w:color w:val="00C1DE"/>
        </w:rPr>
      </w:pPr>
    </w:p>
    <w:p>
      <w:pPr>
        <w:ind w:left="1200" w:right="20" w:hanging="436"/>
        <w:spacing w:after="0" w:line="257" w:lineRule="auto"/>
        <w:tabs>
          <w:tab w:leader="none" w:pos="1200" w:val="left"/>
        </w:tabs>
        <w:numPr>
          <w:ilvl w:val="0"/>
          <w:numId w:val="152"/>
        </w:numPr>
        <w:rPr>
          <w:rFonts w:ascii="Arial" w:cs="Arial" w:eastAsia="Arial" w:hAnsi="Arial"/>
          <w:sz w:val="20"/>
          <w:szCs w:val="20"/>
          <w:color w:val="00C1DE"/>
        </w:rPr>
      </w:pPr>
      <w:r>
        <w:rPr>
          <w:rFonts w:ascii="Arial" w:cs="Arial" w:eastAsia="Arial" w:hAnsi="Arial"/>
          <w:sz w:val="20"/>
          <w:szCs w:val="20"/>
          <w:color w:val="3E3935"/>
        </w:rPr>
        <w:t>Enhancing disclosure on tire and leather suppliers, deforestation risk associated with these materials, and risk mitigation measures</w:t>
      </w:r>
    </w:p>
    <w:p>
      <w:pPr>
        <w:spacing w:after="0" w:line="181" w:lineRule="exact"/>
        <w:rPr>
          <w:sz w:val="20"/>
          <w:szCs w:val="20"/>
          <w:color w:val="auto"/>
        </w:rPr>
      </w:pPr>
    </w:p>
    <w:p>
      <w:pPr>
        <w:jc w:val="center"/>
        <w:ind w:right="10680"/>
        <w:spacing w:after="0"/>
        <w:rPr>
          <w:sz w:val="20"/>
          <w:szCs w:val="20"/>
          <w:color w:val="auto"/>
        </w:rPr>
      </w:pPr>
      <w:r>
        <w:rPr>
          <w:rFonts w:ascii="Arial" w:cs="Arial" w:eastAsia="Arial" w:hAnsi="Arial"/>
          <w:sz w:val="14"/>
          <w:szCs w:val="14"/>
          <w:color w:val="0071CE"/>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wp:posOffset>
            </wp:positionH>
            <wp:positionV relativeFrom="paragraph">
              <wp:posOffset>-95885</wp:posOffset>
            </wp:positionV>
            <wp:extent cx="5983605" cy="10287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5983605" cy="102870"/>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6" w:lineRule="exact"/>
        <w:rPr>
          <w:sz w:val="20"/>
          <w:szCs w:val="20"/>
          <w:color w:val="auto"/>
        </w:rPr>
      </w:pPr>
    </w:p>
    <w:p>
      <w:pPr>
        <w:ind w:left="1200" w:hanging="436"/>
        <w:spacing w:after="0" w:line="257" w:lineRule="auto"/>
        <w:tabs>
          <w:tab w:leader="none" w:pos="1200" w:val="left"/>
        </w:tabs>
        <w:numPr>
          <w:ilvl w:val="0"/>
          <w:numId w:val="153"/>
        </w:numPr>
        <w:rPr>
          <w:rFonts w:ascii="Arial" w:cs="Arial" w:eastAsia="Arial" w:hAnsi="Arial"/>
          <w:sz w:val="20"/>
          <w:szCs w:val="20"/>
          <w:color w:val="00C1DE"/>
        </w:rPr>
      </w:pPr>
      <w:r>
        <w:rPr>
          <w:rFonts w:ascii="Arial" w:cs="Arial" w:eastAsia="Arial" w:hAnsi="Arial"/>
          <w:sz w:val="20"/>
          <w:szCs w:val="20"/>
          <w:color w:val="3E3935"/>
        </w:rPr>
        <w:t>Joining global value chain emissions reduction initiatives such as ResponsibleSteel, SteelZero, and the Aluminum Stewardship Initiative</w:t>
      </w:r>
    </w:p>
    <w:p>
      <w:pPr>
        <w:spacing w:after="0" w:line="20" w:lineRule="exact"/>
        <w:rPr>
          <w:rFonts w:ascii="Arial" w:cs="Arial" w:eastAsia="Arial" w:hAnsi="Arial"/>
          <w:sz w:val="20"/>
          <w:szCs w:val="20"/>
          <w:color w:val="00C1DE"/>
        </w:rPr>
      </w:pPr>
    </w:p>
    <w:p>
      <w:pPr>
        <w:ind w:left="1200" w:hanging="436"/>
        <w:spacing w:after="0"/>
        <w:tabs>
          <w:tab w:leader="none" w:pos="1200" w:val="left"/>
        </w:tabs>
        <w:numPr>
          <w:ilvl w:val="0"/>
          <w:numId w:val="153"/>
        </w:numPr>
        <w:rPr>
          <w:rFonts w:ascii="Arial" w:cs="Arial" w:eastAsia="Arial" w:hAnsi="Arial"/>
          <w:sz w:val="20"/>
          <w:szCs w:val="20"/>
          <w:color w:val="00C1DE"/>
        </w:rPr>
      </w:pPr>
      <w:r>
        <w:rPr>
          <w:rFonts w:ascii="Arial" w:cs="Arial" w:eastAsia="Arial" w:hAnsi="Arial"/>
          <w:sz w:val="20"/>
          <w:szCs w:val="20"/>
          <w:color w:val="3E3935"/>
        </w:rPr>
        <w:t>Adopting ambitious near-term procurement targets for:</w:t>
      </w:r>
    </w:p>
    <w:p>
      <w:pPr>
        <w:spacing w:after="0" w:line="80" w:lineRule="exact"/>
        <w:rPr>
          <w:rFonts w:ascii="Arial" w:cs="Arial" w:eastAsia="Arial" w:hAnsi="Arial"/>
          <w:sz w:val="20"/>
          <w:szCs w:val="20"/>
          <w:color w:val="00C1DE"/>
        </w:rPr>
      </w:pPr>
    </w:p>
    <w:p>
      <w:pPr>
        <w:ind w:left="2200" w:hanging="545"/>
        <w:spacing w:after="0"/>
        <w:tabs>
          <w:tab w:leader="none" w:pos="2200" w:val="left"/>
        </w:tabs>
        <w:numPr>
          <w:ilvl w:val="1"/>
          <w:numId w:val="153"/>
        </w:numPr>
        <w:rPr>
          <w:rFonts w:ascii="Arial" w:cs="Arial" w:eastAsia="Arial" w:hAnsi="Arial"/>
          <w:sz w:val="20"/>
          <w:szCs w:val="20"/>
          <w:color w:val="00C1DE"/>
        </w:rPr>
      </w:pPr>
      <w:r>
        <w:rPr>
          <w:rFonts w:ascii="Arial" w:cs="Arial" w:eastAsia="Arial" w:hAnsi="Arial"/>
          <w:sz w:val="20"/>
          <w:szCs w:val="20"/>
          <w:color w:val="3E3935"/>
        </w:rPr>
        <w:t>Carbon-free aluminum and steel, aligned with First Mover Coalition targets</w:t>
      </w:r>
    </w:p>
    <w:p>
      <w:pPr>
        <w:spacing w:after="0" w:line="80" w:lineRule="exact"/>
        <w:rPr>
          <w:rFonts w:ascii="Arial" w:cs="Arial" w:eastAsia="Arial" w:hAnsi="Arial"/>
          <w:sz w:val="20"/>
          <w:szCs w:val="20"/>
          <w:color w:val="00C1DE"/>
        </w:rPr>
      </w:pPr>
    </w:p>
    <w:p>
      <w:pPr>
        <w:ind w:left="2200" w:hanging="545"/>
        <w:spacing w:after="0" w:line="257" w:lineRule="auto"/>
        <w:tabs>
          <w:tab w:leader="none" w:pos="2200" w:val="left"/>
        </w:tabs>
        <w:numPr>
          <w:ilvl w:val="1"/>
          <w:numId w:val="153"/>
        </w:numPr>
        <w:rPr>
          <w:rFonts w:ascii="Arial" w:cs="Arial" w:eastAsia="Arial" w:hAnsi="Arial"/>
          <w:sz w:val="20"/>
          <w:szCs w:val="20"/>
          <w:color w:val="00C1DE"/>
        </w:rPr>
      </w:pPr>
      <w:r>
        <w:rPr>
          <w:rFonts w:ascii="Arial" w:cs="Arial" w:eastAsia="Arial" w:hAnsi="Arial"/>
          <w:sz w:val="20"/>
          <w:szCs w:val="20"/>
          <w:color w:val="3E3935"/>
        </w:rPr>
        <w:t>Eliminating deforestation and native vegetation conversion from GM’s supply chain by 2025, as recommended by the Science Based Targets initiative</w:t>
      </w:r>
    </w:p>
    <w:p>
      <w:pPr>
        <w:spacing w:after="0" w:line="20" w:lineRule="exact"/>
        <w:rPr>
          <w:rFonts w:ascii="Arial" w:cs="Arial" w:eastAsia="Arial" w:hAnsi="Arial"/>
          <w:sz w:val="20"/>
          <w:szCs w:val="20"/>
          <w:color w:val="00C1DE"/>
        </w:rPr>
      </w:pPr>
    </w:p>
    <w:p>
      <w:pPr>
        <w:ind w:left="1200" w:hanging="436"/>
        <w:spacing w:after="0"/>
        <w:tabs>
          <w:tab w:leader="none" w:pos="1200" w:val="left"/>
        </w:tabs>
        <w:numPr>
          <w:ilvl w:val="0"/>
          <w:numId w:val="153"/>
        </w:numPr>
        <w:rPr>
          <w:rFonts w:ascii="Arial" w:cs="Arial" w:eastAsia="Arial" w:hAnsi="Arial"/>
          <w:sz w:val="20"/>
          <w:szCs w:val="20"/>
          <w:color w:val="00C1DE"/>
        </w:rPr>
      </w:pPr>
      <w:r>
        <w:rPr>
          <w:rFonts w:ascii="Arial" w:cs="Arial" w:eastAsia="Arial" w:hAnsi="Arial"/>
          <w:sz w:val="20"/>
          <w:szCs w:val="20"/>
          <w:color w:val="3E3935"/>
        </w:rPr>
        <w:t>Assessing challenges and strategies for attaining the procurement targets.</w:t>
      </w:r>
    </w:p>
    <w:p>
      <w:pPr>
        <w:spacing w:after="0" w:line="160" w:lineRule="exact"/>
        <w:rPr>
          <w:sz w:val="20"/>
          <w:szCs w:val="20"/>
          <w:color w:val="auto"/>
        </w:rPr>
      </w:pPr>
    </w:p>
    <w:p>
      <w:pPr>
        <w:ind w:left="10580"/>
        <w:spacing w:after="0"/>
        <w:rPr>
          <w:sz w:val="20"/>
          <w:szCs w:val="20"/>
          <w:color w:val="auto"/>
        </w:rPr>
      </w:pPr>
      <w:r>
        <w:rPr>
          <w:rFonts w:ascii="Arial" w:cs="Arial" w:eastAsia="Arial" w:hAnsi="Arial"/>
          <w:sz w:val="14"/>
          <w:szCs w:val="14"/>
          <w:color w:val="0071CE"/>
        </w:rPr>
        <w:t>103</w:t>
      </w:r>
    </w:p>
    <w:p>
      <w:pPr>
        <w:sectPr>
          <w:pgSz w:w="11900" w:h="16838" w:orient="portrait"/>
          <w:cols w:equalWidth="0" w:num="1">
            <w:col w:w="11120"/>
          </w:cols>
          <w:pgMar w:left="320" w:top="482" w:right="45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3" w:lineRule="exact"/>
        <w:rPr>
          <w:sz w:val="20"/>
          <w:szCs w:val="20"/>
          <w:color w:val="auto"/>
        </w:rPr>
      </w:pPr>
    </w:p>
    <w:p>
      <w:pPr>
        <w:ind w:left="120" w:right="980"/>
        <w:spacing w:after="0" w:line="298" w:lineRule="auto"/>
        <w:rPr>
          <w:sz w:val="20"/>
          <w:szCs w:val="20"/>
          <w:color w:val="auto"/>
        </w:rPr>
      </w:pPr>
      <w:r>
        <w:rPr>
          <w:rFonts w:ascii="Arial" w:cs="Arial" w:eastAsia="Arial" w:hAnsi="Arial"/>
          <w:sz w:val="25"/>
          <w:szCs w:val="25"/>
          <w:b w:val="1"/>
          <w:bCs w:val="1"/>
          <w:color w:val="0071CE"/>
        </w:rPr>
        <w:t xml:space="preserve">The Board of Directors recommends a vote </w:t>
      </w:r>
      <w:r>
        <w:rPr>
          <w:rFonts w:ascii="Arial" w:cs="Arial" w:eastAsia="Arial" w:hAnsi="Arial"/>
          <w:sz w:val="25"/>
          <w:szCs w:val="25"/>
          <w:b w:val="1"/>
          <w:bCs w:val="1"/>
          <w:u w:val="single" w:color="auto"/>
          <w:color w:val="00C1DE"/>
        </w:rPr>
        <w:t>AGAINST</w:t>
      </w:r>
      <w:r>
        <w:rPr>
          <w:rFonts w:ascii="Arial" w:cs="Arial" w:eastAsia="Arial" w:hAnsi="Arial"/>
          <w:sz w:val="25"/>
          <w:szCs w:val="25"/>
          <w:b w:val="1"/>
          <w:bCs w:val="1"/>
          <w:color w:val="0071CE"/>
        </w:rPr>
        <w:t xml:space="preserve"> this proposal for the following reasons:</w:t>
      </w:r>
    </w:p>
    <w:p>
      <w:pPr>
        <w:sectPr>
          <w:pgSz w:w="11900" w:h="16838" w:orient="portrait"/>
          <w:cols w:equalWidth="0" w:num="1">
            <w:col w:w="11140"/>
          </w:cols>
          <w:pgMar w:left="320" w:top="482" w:right="439" w:bottom="1440" w:gutter="0" w:footer="0" w:header="0"/>
        </w:sectPr>
      </w:pPr>
    </w:p>
    <w:p>
      <w:pPr>
        <w:spacing w:after="0" w:line="81" w:lineRule="exact"/>
        <w:rPr>
          <w:sz w:val="20"/>
          <w:szCs w:val="20"/>
          <w:color w:val="auto"/>
        </w:rPr>
      </w:pPr>
    </w:p>
    <w:p>
      <w:pPr>
        <w:jc w:val="both"/>
        <w:ind w:left="120"/>
        <w:spacing w:after="0" w:line="243" w:lineRule="auto"/>
        <w:rPr>
          <w:sz w:val="20"/>
          <w:szCs w:val="20"/>
          <w:color w:val="auto"/>
        </w:rPr>
      </w:pPr>
      <w:r>
        <w:rPr>
          <w:rFonts w:ascii="Arial" w:cs="Arial" w:eastAsia="Arial" w:hAnsi="Arial"/>
          <w:sz w:val="22"/>
          <w:szCs w:val="22"/>
          <w:b w:val="1"/>
          <w:bCs w:val="1"/>
          <w:i w:val="1"/>
          <w:iCs w:val="1"/>
          <w:color w:val="3E3935"/>
        </w:rPr>
        <w:t>GM is committed to incorporating responsibly sourced materials into its supply chain and is working to increase the sustainable materials used to make its vehicles.</w:t>
      </w:r>
    </w:p>
    <w:p>
      <w:pPr>
        <w:spacing w:after="0" w:line="101" w:lineRule="exact"/>
        <w:rPr>
          <w:sz w:val="20"/>
          <w:szCs w:val="20"/>
          <w:color w:val="auto"/>
        </w:rPr>
      </w:pPr>
    </w:p>
    <w:p>
      <w:pPr>
        <w:jc w:val="both"/>
        <w:ind w:left="120"/>
        <w:spacing w:after="0" w:line="238" w:lineRule="auto"/>
        <w:rPr>
          <w:sz w:val="20"/>
          <w:szCs w:val="20"/>
          <w:color w:val="auto"/>
        </w:rPr>
      </w:pPr>
      <w:r>
        <w:rPr>
          <w:rFonts w:ascii="Arial" w:cs="Arial" w:eastAsia="Arial" w:hAnsi="Arial"/>
          <w:sz w:val="19"/>
          <w:szCs w:val="19"/>
          <w:color w:val="3E3935"/>
        </w:rPr>
        <w:t>As we transform our business to support production of EVs, we are not only considering end-of-life reusability and recyclability, but also working to ensure the use of sustainable materials in our vehicles from inception. This will be accomplished through our comprehensive Materials Commodity Management Plan, which includes purchased steel, aluminum, plastics, EV battery cell materials, textiles, and more. The plan aims to procure increasingly sustainable materials, with a focus on reducing carbon emissions through process innovation, recycled material content, renewable and fossil free energy for electricity, and carbon capture utilization and storage. The plan drives collaboration with our suppliers and applies data-driven strategies that can be customized to the specific attributes of each commodity. In addition, GM has a number of policies that document our commitment to responsibly sourced materials, including our Sustainable Natural Rubber Policy and our Responsible Minerals Sourcing Policy, in addition to our Global Environmental Policy, all which are</w:t>
      </w:r>
    </w:p>
    <w:p>
      <w:pPr>
        <w:spacing w:after="0" w:line="3" w:lineRule="exact"/>
        <w:rPr>
          <w:sz w:val="20"/>
          <w:szCs w:val="20"/>
          <w:color w:val="auto"/>
        </w:rPr>
      </w:pPr>
    </w:p>
    <w:p>
      <w:pPr>
        <w:ind w:left="120"/>
        <w:spacing w:after="0"/>
        <w:tabs>
          <w:tab w:leader="none" w:pos="5160" w:val="left"/>
        </w:tabs>
        <w:rPr>
          <w:sz w:val="20"/>
          <w:szCs w:val="20"/>
          <w:color w:val="auto"/>
        </w:rPr>
      </w:pPr>
      <w:r>
        <w:rPr>
          <w:rFonts w:ascii="Arial" w:cs="Arial" w:eastAsia="Arial" w:hAnsi="Arial"/>
          <w:sz w:val="19"/>
          <w:szCs w:val="19"/>
          <w:color w:val="3E3935"/>
        </w:rPr>
        <w:t>available</w:t>
      </w:r>
      <w:r>
        <w:rPr>
          <w:sz w:val="20"/>
          <w:szCs w:val="20"/>
          <w:color w:val="auto"/>
        </w:rPr>
        <w:tab/>
      </w:r>
      <w:r>
        <w:rPr>
          <w:rFonts w:ascii="Arial" w:cs="Arial" w:eastAsia="Arial" w:hAnsi="Arial"/>
          <w:sz w:val="19"/>
          <w:szCs w:val="19"/>
          <w:color w:val="3E3935"/>
        </w:rPr>
        <w:t>at:</w:t>
      </w:r>
    </w:p>
    <w:p>
      <w:pPr>
        <w:ind w:left="120"/>
        <w:spacing w:after="0"/>
        <w:rPr>
          <w:sz w:val="20"/>
          <w:szCs w:val="20"/>
          <w:color w:val="auto"/>
        </w:rPr>
      </w:pPr>
      <w:r>
        <w:rPr>
          <w:rFonts w:ascii="Arial" w:cs="Arial" w:eastAsia="Arial" w:hAnsi="Arial"/>
          <w:sz w:val="20"/>
          <w:szCs w:val="20"/>
          <w:i w:val="1"/>
          <w:iCs w:val="1"/>
          <w:color w:val="00C1DE"/>
        </w:rPr>
        <w:t>gmsustainability.com/esg-resources-and-downloads.html</w:t>
      </w:r>
      <w:r>
        <w:rPr>
          <w:rFonts w:ascii="Arial" w:cs="Arial" w:eastAsia="Arial" w:hAnsi="Arial"/>
          <w:sz w:val="20"/>
          <w:szCs w:val="20"/>
          <w:color w:val="3E3935"/>
        </w:rPr>
        <w:t>.</w:t>
      </w:r>
    </w:p>
    <w:p>
      <w:pPr>
        <w:spacing w:after="0" w:line="112" w:lineRule="exact"/>
        <w:rPr>
          <w:sz w:val="20"/>
          <w:szCs w:val="20"/>
          <w:color w:val="auto"/>
        </w:rPr>
      </w:pPr>
    </w:p>
    <w:p>
      <w:pPr>
        <w:jc w:val="both"/>
        <w:ind w:left="120"/>
        <w:spacing w:after="0" w:line="270" w:lineRule="auto"/>
        <w:rPr>
          <w:sz w:val="20"/>
          <w:szCs w:val="20"/>
          <w:color w:val="auto"/>
        </w:rPr>
      </w:pPr>
      <w:r>
        <w:rPr>
          <w:rFonts w:ascii="Arial" w:cs="Arial" w:eastAsia="Arial" w:hAnsi="Arial"/>
          <w:sz w:val="22"/>
          <w:szCs w:val="22"/>
          <w:b w:val="1"/>
          <w:bCs w:val="1"/>
          <w:i w:val="1"/>
          <w:iCs w:val="1"/>
          <w:color w:val="3E3935"/>
        </w:rPr>
        <w:t>Our vision of a world with zero emissions extends beyond GM and includes our suppliers.</w:t>
      </w:r>
    </w:p>
    <w:p>
      <w:pPr>
        <w:spacing w:after="0" w:line="57" w:lineRule="exact"/>
        <w:rPr>
          <w:sz w:val="20"/>
          <w:szCs w:val="20"/>
          <w:color w:val="auto"/>
        </w:rPr>
      </w:pPr>
    </w:p>
    <w:p>
      <w:pPr>
        <w:jc w:val="both"/>
        <w:ind w:left="120"/>
        <w:spacing w:after="0" w:line="228" w:lineRule="auto"/>
        <w:rPr>
          <w:sz w:val="20"/>
          <w:szCs w:val="20"/>
          <w:color w:val="auto"/>
        </w:rPr>
      </w:pPr>
      <w:r>
        <w:rPr>
          <w:rFonts w:ascii="Arial" w:cs="Arial" w:eastAsia="Arial" w:hAnsi="Arial"/>
          <w:sz w:val="20"/>
          <w:szCs w:val="20"/>
          <w:color w:val="3E3935"/>
        </w:rPr>
        <w:t>We know that our suppliers’ commitment is a critical component of our vision of zero crashes, zero emissions, and zero congestion. GM’s cross-functional teams work directly with suppliers to integrate sustainability into all aspects of our supply chain. In 2021, we launched our ESG Partnership Pledge, which invites our Tier 1 suppliers to embrace sustainability in a holistic manner, focusing on commitments related to environmental, social, and governance topics. By the end of 2022, 68 percent of our direct suppliers, by budgeted annual purchase value, had committed to the Pledge. Further, GM is working with CDP and EcoVadis, independent third parties, to rate and understand the sustainability performance of our supply base.</w:t>
      </w:r>
    </w:p>
    <w:p>
      <w:pPr>
        <w:spacing w:after="0" w:line="109" w:lineRule="exact"/>
        <w:rPr>
          <w:sz w:val="20"/>
          <w:szCs w:val="20"/>
          <w:color w:val="auto"/>
        </w:rPr>
      </w:pPr>
    </w:p>
    <w:p>
      <w:pPr>
        <w:jc w:val="both"/>
        <w:ind w:left="120"/>
        <w:spacing w:after="0" w:line="243" w:lineRule="auto"/>
        <w:rPr>
          <w:sz w:val="20"/>
          <w:szCs w:val="20"/>
          <w:color w:val="auto"/>
        </w:rPr>
      </w:pPr>
      <w:r>
        <w:rPr>
          <w:rFonts w:ascii="Arial" w:cs="Arial" w:eastAsia="Arial" w:hAnsi="Arial"/>
          <w:sz w:val="22"/>
          <w:szCs w:val="22"/>
          <w:b w:val="1"/>
          <w:bCs w:val="1"/>
          <w:i w:val="1"/>
          <w:iCs w:val="1"/>
          <w:color w:val="3E3935"/>
        </w:rPr>
        <w:t>GM collaborates with, and is an active member of, organizations inside and outside the automotive industry to develop sustainable and socially responsible supply chain programs.</w:t>
      </w:r>
    </w:p>
    <w:p>
      <w:pPr>
        <w:spacing w:after="0" w:line="101" w:lineRule="exact"/>
        <w:rPr>
          <w:sz w:val="20"/>
          <w:szCs w:val="20"/>
          <w:color w:val="auto"/>
        </w:rPr>
      </w:pPr>
    </w:p>
    <w:p>
      <w:pPr>
        <w:jc w:val="both"/>
        <w:ind w:left="120"/>
        <w:spacing w:after="0" w:line="237" w:lineRule="auto"/>
        <w:rPr>
          <w:sz w:val="20"/>
          <w:szCs w:val="20"/>
          <w:color w:val="auto"/>
        </w:rPr>
      </w:pPr>
      <w:r>
        <w:rPr>
          <w:rFonts w:ascii="Arial" w:cs="Arial" w:eastAsia="Arial" w:hAnsi="Arial"/>
          <w:sz w:val="20"/>
          <w:szCs w:val="20"/>
          <w:color w:val="3E3935"/>
        </w:rPr>
        <w:t>We work closely with many industry and supply chain-focused organizations, including the Automotive Industry Action Group (AIAG), where we actively participate in the Responsible Materials</w:t>
      </w:r>
    </w:p>
    <w:p>
      <w:pPr>
        <w:spacing w:after="0" w:line="20" w:lineRule="exact"/>
        <w:rPr>
          <w:sz w:val="20"/>
          <w:szCs w:val="20"/>
          <w:color w:val="auto"/>
        </w:rPr>
      </w:pPr>
      <w:r>
        <w:rPr>
          <w:sz w:val="20"/>
          <w:szCs w:val="20"/>
          <w:color w:val="auto"/>
        </w:rPr>
        <w:br w:type="column"/>
      </w:r>
    </w:p>
    <w:p>
      <w:pPr>
        <w:spacing w:after="0" w:line="65" w:lineRule="exact"/>
        <w:rPr>
          <w:sz w:val="20"/>
          <w:szCs w:val="20"/>
          <w:color w:val="auto"/>
        </w:rPr>
      </w:pPr>
    </w:p>
    <w:p>
      <w:pPr>
        <w:jc w:val="both"/>
        <w:spacing w:after="0" w:line="229" w:lineRule="auto"/>
        <w:rPr>
          <w:sz w:val="20"/>
          <w:szCs w:val="20"/>
          <w:color w:val="auto"/>
        </w:rPr>
      </w:pPr>
      <w:r>
        <w:rPr>
          <w:rFonts w:ascii="Arial" w:cs="Arial" w:eastAsia="Arial" w:hAnsi="Arial"/>
          <w:sz w:val="20"/>
          <w:szCs w:val="20"/>
          <w:color w:val="3E3935"/>
        </w:rPr>
        <w:t>Work Group and sit on the Corporate Responsibility Steering Committee, and the Suppliers Partnership for the Environment, which convenes companies in the automotive value chain, in partnership with U.S. Environmental Protection Agency, to advance projects with positive environmental, economic and community impact. GM has also partnered with the AIAG to provide business ethics, environment, and human rights and working conditions training to our employees and suppliers. Additionally, as the proponent acknowledges, GM is a member of the Global Platform for Sustainable Natural Rubber (GPSNR) and the First Movers Coalition.</w:t>
      </w:r>
    </w:p>
    <w:p>
      <w:pPr>
        <w:spacing w:after="0" w:line="102" w:lineRule="exact"/>
        <w:rPr>
          <w:sz w:val="20"/>
          <w:szCs w:val="20"/>
          <w:color w:val="auto"/>
        </w:rPr>
      </w:pPr>
    </w:p>
    <w:p>
      <w:pPr>
        <w:jc w:val="both"/>
        <w:ind w:right="20"/>
        <w:spacing w:after="0"/>
        <w:rPr>
          <w:sz w:val="20"/>
          <w:szCs w:val="20"/>
          <w:color w:val="auto"/>
        </w:rPr>
      </w:pPr>
      <w:r>
        <w:rPr>
          <w:rFonts w:ascii="Arial" w:cs="Arial" w:eastAsia="Arial" w:hAnsi="Arial"/>
          <w:sz w:val="22"/>
          <w:szCs w:val="22"/>
          <w:b w:val="1"/>
          <w:bCs w:val="1"/>
          <w:i w:val="1"/>
          <w:iCs w:val="1"/>
          <w:color w:val="3E3935"/>
        </w:rPr>
        <w:t>The proposal is unnecessary because GM has already set an ambitious sustainable sourcing strategy, which includes commitments to sustainable sourcing, high expectations for our suppliers, and transparent reporting practices.</w:t>
      </w:r>
    </w:p>
    <w:p>
      <w:pPr>
        <w:spacing w:after="0" w:line="104" w:lineRule="exact"/>
        <w:rPr>
          <w:sz w:val="20"/>
          <w:szCs w:val="20"/>
          <w:color w:val="auto"/>
        </w:rPr>
      </w:pPr>
    </w:p>
    <w:p>
      <w:pPr>
        <w:jc w:val="both"/>
        <w:spacing w:after="0" w:line="229" w:lineRule="auto"/>
        <w:rPr>
          <w:sz w:val="20"/>
          <w:szCs w:val="20"/>
          <w:color w:val="auto"/>
        </w:rPr>
      </w:pPr>
      <w:r>
        <w:rPr>
          <w:rFonts w:ascii="Arial" w:cs="Arial" w:eastAsia="Arial" w:hAnsi="Arial"/>
          <w:sz w:val="20"/>
          <w:szCs w:val="20"/>
          <w:color w:val="3E3935"/>
        </w:rPr>
        <w:t>As part of the ESG Partnership Pledge described above, GM is asking its suppliers to commit to carbon neutrality for their Scope 1 and Scope 2 emissions relevant to products or services provided to GM, with a target of (i) 2035 for manufacturing suppliers that provide vehicle components and purchased equipment and (ii) 2038 for raw materials suppliers that provide raw materials or logistics. In addition, we joined the First Movers Coalition late last year when we made our first procurement commitment aligned with the goals of the Coalition with respect to concrete, and we recently announced additional procurement commitments that are also aligned with the goals of the Coalition with respect to steel and aluminum.</w:t>
      </w:r>
    </w:p>
    <w:p>
      <w:pPr>
        <w:spacing w:after="0" w:line="63" w:lineRule="exact"/>
        <w:rPr>
          <w:sz w:val="20"/>
          <w:szCs w:val="20"/>
          <w:color w:val="auto"/>
        </w:rPr>
      </w:pPr>
    </w:p>
    <w:p>
      <w:pPr>
        <w:jc w:val="both"/>
        <w:spacing w:after="0" w:line="241" w:lineRule="auto"/>
        <w:rPr>
          <w:sz w:val="20"/>
          <w:szCs w:val="20"/>
          <w:color w:val="auto"/>
        </w:rPr>
      </w:pPr>
      <w:r>
        <w:rPr>
          <w:rFonts w:ascii="Arial" w:cs="Arial" w:eastAsia="Arial" w:hAnsi="Arial"/>
          <w:sz w:val="19"/>
          <w:szCs w:val="19"/>
          <w:color w:val="3E3935"/>
        </w:rPr>
        <w:t xml:space="preserve">We believe GM’s approach to supply chain sourcing and sustainability, which is described in our annual Sustainability Report, will encourage the development of low-carbon procurement technologies and enhance the supply of sustainably sourced materials, which are not currently available in sufficient quantities to support industry needs. Further, as a member of GPSNR, we report progress in implementing our Sustainable Natural Rubber Policy annually. GM will continue to provide robust public disclosure on its actions and engagements, including our expanding engagement with providers of raw materials throughout our supply chain. Visit </w:t>
      </w:r>
      <w:r>
        <w:rPr>
          <w:rFonts w:ascii="Arial" w:cs="Arial" w:eastAsia="Arial" w:hAnsi="Arial"/>
          <w:sz w:val="19"/>
          <w:szCs w:val="19"/>
          <w:i w:val="1"/>
          <w:iCs w:val="1"/>
          <w:color w:val="00C1DE"/>
        </w:rPr>
        <w:t>gmsustainability.com</w:t>
      </w:r>
      <w:r>
        <w:rPr>
          <w:rFonts w:ascii="Arial" w:cs="Arial" w:eastAsia="Arial" w:hAnsi="Arial"/>
          <w:sz w:val="19"/>
          <w:szCs w:val="19"/>
          <w:color w:val="3E3935"/>
        </w:rPr>
        <w:t xml:space="preserve"> for more information.</w:t>
      </w:r>
    </w:p>
    <w:p>
      <w:pPr>
        <w:spacing w:after="0" w:line="92" w:lineRule="exact"/>
        <w:rPr>
          <w:sz w:val="20"/>
          <w:szCs w:val="20"/>
          <w:color w:val="auto"/>
        </w:rPr>
      </w:pPr>
    </w:p>
    <w:p>
      <w:pPr>
        <w:jc w:val="both"/>
        <w:ind w:right="20"/>
        <w:spacing w:after="0" w:line="270" w:lineRule="auto"/>
        <w:rPr>
          <w:sz w:val="20"/>
          <w:szCs w:val="20"/>
          <w:color w:val="auto"/>
        </w:rPr>
      </w:pPr>
      <w:r>
        <w:rPr>
          <w:rFonts w:ascii="Arial" w:cs="Arial" w:eastAsia="Arial" w:hAnsi="Arial"/>
          <w:sz w:val="20"/>
          <w:szCs w:val="20"/>
          <w:b w:val="1"/>
          <w:bCs w:val="1"/>
          <w:color w:val="0071CE"/>
        </w:rPr>
        <w:t xml:space="preserve">Therefore, the Board of Directors recommends a vote </w:t>
      </w:r>
      <w:r>
        <w:rPr>
          <w:rFonts w:ascii="Arial" w:cs="Arial" w:eastAsia="Arial" w:hAnsi="Arial"/>
          <w:sz w:val="20"/>
          <w:szCs w:val="20"/>
          <w:b w:val="1"/>
          <w:bCs w:val="1"/>
          <w:u w:val="single" w:color="auto"/>
          <w:color w:val="00C1DE"/>
        </w:rPr>
        <w:t>AGAINST</w:t>
      </w:r>
      <w:r>
        <w:rPr>
          <w:rFonts w:ascii="Arial" w:cs="Arial" w:eastAsia="Arial" w:hAnsi="Arial"/>
          <w:sz w:val="20"/>
          <w:szCs w:val="20"/>
          <w:b w:val="1"/>
          <w:bCs w:val="1"/>
          <w:color w:val="0071CE"/>
        </w:rPr>
        <w:t xml:space="preserve"> this shareholder proposal.</w:t>
      </w:r>
    </w:p>
    <w:p>
      <w:pPr>
        <w:spacing w:after="0" w:line="1564" w:lineRule="exact"/>
        <w:rPr>
          <w:sz w:val="20"/>
          <w:szCs w:val="20"/>
          <w:color w:val="auto"/>
        </w:rPr>
      </w:pPr>
    </w:p>
    <w:p>
      <w:pPr>
        <w:sectPr>
          <w:pgSz w:w="11900" w:h="16838" w:orient="portrait"/>
          <w:cols w:equalWidth="0" w:num="2">
            <w:col w:w="5400" w:space="340"/>
            <w:col w:w="5400"/>
          </w:cols>
          <w:pgMar w:left="320" w:top="482" w:right="439" w:bottom="1440" w:gutter="0" w:footer="0" w:header="0"/>
          <w:type w:val="continuous"/>
        </w:sectPr>
      </w:pPr>
    </w:p>
    <w:p>
      <w:pPr>
        <w:spacing w:after="0" w:line="51" w:lineRule="exact"/>
        <w:rPr>
          <w:sz w:val="20"/>
          <w:szCs w:val="20"/>
          <w:color w:val="auto"/>
        </w:rPr>
      </w:pPr>
    </w:p>
    <w:p>
      <w:pPr>
        <w:jc w:val="center"/>
        <w:ind w:right="10660"/>
        <w:spacing w:after="0"/>
        <w:rPr>
          <w:sz w:val="20"/>
          <w:szCs w:val="20"/>
          <w:color w:val="auto"/>
        </w:rPr>
      </w:pPr>
      <w:r>
        <w:rPr>
          <w:rFonts w:ascii="Arial" w:cs="Arial" w:eastAsia="Arial" w:hAnsi="Arial"/>
          <w:sz w:val="14"/>
          <w:szCs w:val="14"/>
          <w:color w:val="0071CE"/>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wp:posOffset>
            </wp:positionH>
            <wp:positionV relativeFrom="paragraph">
              <wp:posOffset>-95885</wp:posOffset>
            </wp:positionV>
            <wp:extent cx="5983605" cy="10287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5983605" cy="102870"/>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type w:val="continuous"/>
        </w:sectPr>
      </w:pPr>
    </w:p>
    <w:bookmarkStart w:id="111" w:name="page112"/>
    <w:bookmarkEnd w:id="1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298" w:lineRule="exact"/>
        <w:rPr>
          <w:sz w:val="20"/>
          <w:szCs w:val="20"/>
          <w:color w:val="auto"/>
        </w:rPr>
      </w:pPr>
    </w:p>
    <w:p>
      <w:pPr>
        <w:ind w:left="120"/>
        <w:spacing w:after="0"/>
        <w:rPr>
          <w:sz w:val="20"/>
          <w:szCs w:val="20"/>
          <w:color w:val="auto"/>
        </w:rPr>
      </w:pPr>
      <w:r>
        <w:rPr>
          <w:rFonts w:ascii="Arial" w:cs="Arial" w:eastAsia="Arial" w:hAnsi="Arial"/>
          <w:sz w:val="32"/>
          <w:szCs w:val="32"/>
          <w:b w:val="1"/>
          <w:bCs w:val="1"/>
          <w:color w:val="0071CE"/>
        </w:rPr>
        <w:t>GENERAL INFORMATION ABOUT THE ANNUAL MEETING</w:t>
      </w:r>
    </w:p>
    <w:p>
      <w:pPr>
        <w:spacing w:after="0" w:line="305" w:lineRule="exact"/>
        <w:rPr>
          <w:sz w:val="20"/>
          <w:szCs w:val="20"/>
          <w:color w:val="auto"/>
        </w:rPr>
      </w:pPr>
    </w:p>
    <w:p>
      <w:pPr>
        <w:ind w:left="120"/>
        <w:spacing w:after="0"/>
        <w:rPr>
          <w:sz w:val="20"/>
          <w:szCs w:val="20"/>
          <w:color w:val="auto"/>
        </w:rPr>
      </w:pPr>
      <w:r>
        <w:rPr>
          <w:rFonts w:ascii="Arial" w:cs="Arial" w:eastAsia="Arial" w:hAnsi="Arial"/>
          <w:sz w:val="29"/>
          <w:szCs w:val="29"/>
          <w:color w:val="3E3935"/>
        </w:rPr>
        <w:t>Voting and Meeting Information</w:t>
      </w:r>
    </w:p>
    <w:p>
      <w:pPr>
        <w:spacing w:after="0" w:line="230" w:lineRule="exact"/>
        <w:rPr>
          <w:sz w:val="20"/>
          <w:szCs w:val="20"/>
          <w:color w:val="auto"/>
        </w:rPr>
      </w:pPr>
    </w:p>
    <w:p>
      <w:pPr>
        <w:ind w:left="660" w:hanging="544"/>
        <w:spacing w:after="0"/>
        <w:tabs>
          <w:tab w:leader="none" w:pos="660" w:val="left"/>
        </w:tabs>
        <w:numPr>
          <w:ilvl w:val="0"/>
          <w:numId w:val="154"/>
        </w:numPr>
        <w:rPr>
          <w:rFonts w:ascii="Times New Roman" w:cs="Times New Roman" w:eastAsia="Times New Roman" w:hAnsi="Times New Roman"/>
          <w:sz w:val="19"/>
          <w:szCs w:val="19"/>
          <w:color w:val="0071CE"/>
        </w:rPr>
      </w:pPr>
      <w:r>
        <w:rPr>
          <w:rFonts w:ascii="Arial" w:cs="Arial" w:eastAsia="Arial" w:hAnsi="Arial"/>
          <w:sz w:val="25"/>
          <w:szCs w:val="25"/>
          <w:color w:val="3E3935"/>
        </w:rPr>
        <w:t>Board Recommendations and Vote Requirements*</w:t>
      </w:r>
    </w:p>
    <w:p>
      <w:pPr>
        <w:spacing w:after="0" w:line="228" w:lineRule="exact"/>
        <w:rPr>
          <w:sz w:val="20"/>
          <w:szCs w:val="20"/>
          <w:color w:val="auto"/>
        </w:rPr>
      </w:pPr>
    </w:p>
    <w:tbl>
      <w:tblPr>
        <w:tblLayout w:type="fixed"/>
        <w:tblInd w:w="130" w:type="dxa"/>
        <w:tblCellMar>
          <w:top w:w="0" w:type="dxa"/>
          <w:left w:w="0" w:type="dxa"/>
          <w:bottom w:w="0" w:type="dxa"/>
          <w:right w:w="0" w:type="dxa"/>
        </w:tblCellMar>
      </w:tblPr>
      <w:tr>
        <w:trPr>
          <w:trHeight w:val="202"/>
        </w:trPr>
        <w:tc>
          <w:tcPr>
            <w:tcW w:w="860" w:type="dxa"/>
            <w:vAlign w:val="bottom"/>
            <w:tcBorders>
              <w:top w:val="single" w:sz="8" w:color="00C1DE"/>
              <w:left w:val="single" w:sz="8" w:color="00C1DE"/>
            </w:tcBorders>
          </w:tcPr>
          <w:p>
            <w:pPr>
              <w:spacing w:after="0"/>
              <w:rPr>
                <w:sz w:val="17"/>
                <w:szCs w:val="17"/>
                <w:color w:val="auto"/>
              </w:rPr>
            </w:pPr>
          </w:p>
        </w:tc>
        <w:tc>
          <w:tcPr>
            <w:tcW w:w="3000" w:type="dxa"/>
            <w:vAlign w:val="bottom"/>
            <w:tcBorders>
              <w:top w:val="single" w:sz="8" w:color="00C1DE"/>
            </w:tcBorders>
          </w:tcPr>
          <w:p>
            <w:pPr>
              <w:spacing w:after="0"/>
              <w:rPr>
                <w:sz w:val="17"/>
                <w:szCs w:val="17"/>
                <w:color w:val="auto"/>
              </w:rPr>
            </w:pPr>
          </w:p>
        </w:tc>
        <w:tc>
          <w:tcPr>
            <w:tcW w:w="1620" w:type="dxa"/>
            <w:vAlign w:val="bottom"/>
            <w:tcBorders>
              <w:top w:val="single" w:sz="8" w:color="00C1DE"/>
            </w:tcBorders>
          </w:tcPr>
          <w:p>
            <w:pPr>
              <w:spacing w:after="0"/>
              <w:rPr>
                <w:sz w:val="17"/>
                <w:szCs w:val="17"/>
                <w:color w:val="auto"/>
              </w:rPr>
            </w:pPr>
          </w:p>
        </w:tc>
        <w:tc>
          <w:tcPr>
            <w:tcW w:w="3040" w:type="dxa"/>
            <w:vAlign w:val="bottom"/>
            <w:tcBorders>
              <w:top w:val="single" w:sz="8" w:color="00C1DE"/>
            </w:tcBorders>
          </w:tcPr>
          <w:p>
            <w:pPr>
              <w:spacing w:after="0"/>
              <w:rPr>
                <w:sz w:val="17"/>
                <w:szCs w:val="17"/>
                <w:color w:val="auto"/>
              </w:rPr>
            </w:pPr>
          </w:p>
        </w:tc>
        <w:tc>
          <w:tcPr>
            <w:tcW w:w="1180" w:type="dxa"/>
            <w:vAlign w:val="bottom"/>
            <w:tcBorders>
              <w:top w:val="single" w:sz="8" w:color="00C1DE"/>
            </w:tcBorders>
          </w:tcPr>
          <w:p>
            <w:pPr>
              <w:spacing w:after="0"/>
              <w:rPr>
                <w:sz w:val="17"/>
                <w:szCs w:val="17"/>
                <w:color w:val="auto"/>
              </w:rPr>
            </w:pPr>
          </w:p>
        </w:tc>
        <w:tc>
          <w:tcPr>
            <w:tcW w:w="1220" w:type="dxa"/>
            <w:vAlign w:val="bottom"/>
            <w:tcBorders>
              <w:top w:val="single" w:sz="8" w:color="00C1DE"/>
              <w:right w:val="single" w:sz="8" w:color="00C1DE"/>
            </w:tcBorders>
          </w:tcPr>
          <w:p>
            <w:pPr>
              <w:jc w:val="center"/>
              <w:spacing w:after="0"/>
              <w:rPr>
                <w:sz w:val="20"/>
                <w:szCs w:val="20"/>
                <w:color w:val="auto"/>
              </w:rPr>
            </w:pPr>
            <w:r>
              <w:rPr>
                <w:rFonts w:ascii="Arial" w:cs="Arial" w:eastAsia="Arial" w:hAnsi="Arial"/>
                <w:sz w:val="16"/>
                <w:szCs w:val="16"/>
                <w:b w:val="1"/>
                <w:bCs w:val="1"/>
                <w:color w:val="00C1DE"/>
              </w:rPr>
              <w:t>Effect of</w:t>
            </w:r>
          </w:p>
        </w:tc>
        <w:tc>
          <w:tcPr>
            <w:tcW w:w="0" w:type="dxa"/>
            <w:vAlign w:val="bottom"/>
          </w:tcPr>
          <w:p>
            <w:pPr>
              <w:spacing w:after="0"/>
              <w:rPr>
                <w:sz w:val="1"/>
                <w:szCs w:val="1"/>
                <w:color w:val="auto"/>
              </w:rPr>
            </w:pPr>
          </w:p>
        </w:tc>
      </w:tr>
      <w:tr>
        <w:trPr>
          <w:trHeight w:val="189"/>
        </w:trPr>
        <w:tc>
          <w:tcPr>
            <w:tcW w:w="860" w:type="dxa"/>
            <w:vAlign w:val="bottom"/>
            <w:tcBorders>
              <w:left w:val="single" w:sz="8" w:color="00C1DE"/>
            </w:tcBorders>
          </w:tcPr>
          <w:p>
            <w:pPr>
              <w:ind w:left="200"/>
              <w:spacing w:after="0"/>
              <w:rPr>
                <w:sz w:val="20"/>
                <w:szCs w:val="20"/>
                <w:color w:val="auto"/>
              </w:rPr>
            </w:pPr>
            <w:r>
              <w:rPr>
                <w:rFonts w:ascii="Arial" w:cs="Arial" w:eastAsia="Arial" w:hAnsi="Arial"/>
                <w:sz w:val="16"/>
                <w:szCs w:val="16"/>
                <w:b w:val="1"/>
                <w:bCs w:val="1"/>
                <w:color w:val="00C1DE"/>
              </w:rPr>
              <w:t>Agenda</w:t>
            </w:r>
          </w:p>
        </w:tc>
        <w:tc>
          <w:tcPr>
            <w:tcW w:w="3000" w:type="dxa"/>
            <w:vAlign w:val="bottom"/>
          </w:tcPr>
          <w:p>
            <w:pPr>
              <w:spacing w:after="0"/>
              <w:rPr>
                <w:sz w:val="16"/>
                <w:szCs w:val="16"/>
                <w:color w:val="auto"/>
              </w:rPr>
            </w:pPr>
          </w:p>
        </w:tc>
        <w:tc>
          <w:tcPr>
            <w:tcW w:w="1620" w:type="dxa"/>
            <w:vAlign w:val="bottom"/>
          </w:tcPr>
          <w:p>
            <w:pPr>
              <w:jc w:val="center"/>
              <w:spacing w:after="0"/>
              <w:rPr>
                <w:sz w:val="20"/>
                <w:szCs w:val="20"/>
                <w:color w:val="auto"/>
              </w:rPr>
            </w:pPr>
            <w:r>
              <w:rPr>
                <w:rFonts w:ascii="Arial" w:cs="Arial" w:eastAsia="Arial" w:hAnsi="Arial"/>
                <w:sz w:val="16"/>
                <w:szCs w:val="16"/>
                <w:b w:val="1"/>
                <w:bCs w:val="1"/>
                <w:color w:val="00C1DE"/>
                <w:w w:val="99"/>
              </w:rPr>
              <w:t>Board</w:t>
            </w:r>
          </w:p>
        </w:tc>
        <w:tc>
          <w:tcPr>
            <w:tcW w:w="3040" w:type="dxa"/>
            <w:vAlign w:val="bottom"/>
          </w:tcPr>
          <w:p>
            <w:pPr>
              <w:jc w:val="center"/>
              <w:spacing w:after="0"/>
              <w:rPr>
                <w:sz w:val="20"/>
                <w:szCs w:val="20"/>
                <w:color w:val="auto"/>
              </w:rPr>
            </w:pPr>
            <w:r>
              <w:rPr>
                <w:rFonts w:ascii="Arial" w:cs="Arial" w:eastAsia="Arial" w:hAnsi="Arial"/>
                <w:sz w:val="16"/>
                <w:szCs w:val="16"/>
                <w:b w:val="1"/>
                <w:bCs w:val="1"/>
                <w:color w:val="00C1DE"/>
              </w:rPr>
              <w:t>Vote Requirement for</w:t>
            </w:r>
          </w:p>
        </w:tc>
        <w:tc>
          <w:tcPr>
            <w:tcW w:w="1180" w:type="dxa"/>
            <w:vAlign w:val="bottom"/>
          </w:tcPr>
          <w:p>
            <w:pPr>
              <w:jc w:val="center"/>
              <w:spacing w:after="0"/>
              <w:rPr>
                <w:sz w:val="20"/>
                <w:szCs w:val="20"/>
                <w:color w:val="auto"/>
              </w:rPr>
            </w:pPr>
            <w:r>
              <w:rPr>
                <w:rFonts w:ascii="Arial" w:cs="Arial" w:eastAsia="Arial" w:hAnsi="Arial"/>
                <w:sz w:val="16"/>
                <w:szCs w:val="16"/>
                <w:b w:val="1"/>
                <w:bCs w:val="1"/>
                <w:color w:val="00C1DE"/>
              </w:rPr>
              <w:t>Effect of</w:t>
            </w:r>
          </w:p>
        </w:tc>
        <w:tc>
          <w:tcPr>
            <w:tcW w:w="1220" w:type="dxa"/>
            <w:vAlign w:val="bottom"/>
            <w:tcBorders>
              <w:right w:val="single" w:sz="8" w:color="00C1DE"/>
            </w:tcBorders>
          </w:tcPr>
          <w:p>
            <w:pPr>
              <w:jc w:val="center"/>
              <w:spacing w:after="0"/>
              <w:rPr>
                <w:sz w:val="20"/>
                <w:szCs w:val="20"/>
                <w:color w:val="auto"/>
              </w:rPr>
            </w:pPr>
            <w:r>
              <w:rPr>
                <w:rFonts w:ascii="Arial" w:cs="Arial" w:eastAsia="Arial" w:hAnsi="Arial"/>
                <w:sz w:val="16"/>
                <w:szCs w:val="16"/>
                <w:b w:val="1"/>
                <w:bCs w:val="1"/>
                <w:color w:val="00C1DE"/>
              </w:rPr>
              <w:t>Broker</w:t>
            </w:r>
          </w:p>
        </w:tc>
        <w:tc>
          <w:tcPr>
            <w:tcW w:w="0" w:type="dxa"/>
            <w:vAlign w:val="bottom"/>
          </w:tcPr>
          <w:p>
            <w:pPr>
              <w:spacing w:after="0"/>
              <w:rPr>
                <w:sz w:val="1"/>
                <w:szCs w:val="1"/>
                <w:color w:val="auto"/>
              </w:rPr>
            </w:pPr>
          </w:p>
        </w:tc>
      </w:tr>
      <w:tr>
        <w:trPr>
          <w:trHeight w:val="240"/>
        </w:trPr>
        <w:tc>
          <w:tcPr>
            <w:tcW w:w="860" w:type="dxa"/>
            <w:vAlign w:val="bottom"/>
            <w:tcBorders>
              <w:left w:val="single" w:sz="8" w:color="00C1DE"/>
              <w:bottom w:val="single" w:sz="8" w:color="00C1DE"/>
            </w:tcBorders>
          </w:tcPr>
          <w:p>
            <w:pPr>
              <w:jc w:val="center"/>
              <w:ind w:left="79"/>
              <w:spacing w:after="0"/>
              <w:rPr>
                <w:sz w:val="20"/>
                <w:szCs w:val="20"/>
                <w:color w:val="auto"/>
              </w:rPr>
            </w:pPr>
            <w:r>
              <w:rPr>
                <w:rFonts w:ascii="Arial" w:cs="Arial" w:eastAsia="Arial" w:hAnsi="Arial"/>
                <w:sz w:val="16"/>
                <w:szCs w:val="16"/>
                <w:b w:val="1"/>
                <w:bCs w:val="1"/>
                <w:color w:val="00C1DE"/>
              </w:rPr>
              <w:t>Item</w:t>
            </w:r>
          </w:p>
        </w:tc>
        <w:tc>
          <w:tcPr>
            <w:tcW w:w="3000" w:type="dxa"/>
            <w:vAlign w:val="bottom"/>
            <w:tcBorders>
              <w:bottom w:val="single" w:sz="8" w:color="00C1DE"/>
            </w:tcBorders>
          </w:tcPr>
          <w:p>
            <w:pPr>
              <w:ind w:left="60"/>
              <w:spacing w:after="0"/>
              <w:rPr>
                <w:sz w:val="20"/>
                <w:szCs w:val="20"/>
                <w:color w:val="auto"/>
              </w:rPr>
            </w:pPr>
            <w:r>
              <w:rPr>
                <w:rFonts w:ascii="Arial" w:cs="Arial" w:eastAsia="Arial" w:hAnsi="Arial"/>
                <w:sz w:val="16"/>
                <w:szCs w:val="16"/>
                <w:b w:val="1"/>
                <w:bCs w:val="1"/>
                <w:color w:val="00C1DE"/>
              </w:rPr>
              <w:t>Description</w:t>
            </w:r>
          </w:p>
        </w:tc>
        <w:tc>
          <w:tcPr>
            <w:tcW w:w="1620" w:type="dxa"/>
            <w:vAlign w:val="bottom"/>
            <w:tcBorders>
              <w:bottom w:val="single" w:sz="8" w:color="00C1DE"/>
            </w:tcBorders>
          </w:tcPr>
          <w:p>
            <w:pPr>
              <w:jc w:val="center"/>
              <w:spacing w:after="0"/>
              <w:rPr>
                <w:sz w:val="20"/>
                <w:szCs w:val="20"/>
                <w:color w:val="auto"/>
              </w:rPr>
            </w:pPr>
            <w:r>
              <w:rPr>
                <w:rFonts w:ascii="Arial" w:cs="Arial" w:eastAsia="Arial" w:hAnsi="Arial"/>
                <w:sz w:val="16"/>
                <w:szCs w:val="16"/>
                <w:b w:val="1"/>
                <w:bCs w:val="1"/>
                <w:color w:val="00C1DE"/>
              </w:rPr>
              <w:t>Recommendation</w:t>
            </w:r>
          </w:p>
        </w:tc>
        <w:tc>
          <w:tcPr>
            <w:tcW w:w="3040" w:type="dxa"/>
            <w:vAlign w:val="bottom"/>
            <w:tcBorders>
              <w:bottom w:val="single" w:sz="8" w:color="00C1DE"/>
            </w:tcBorders>
          </w:tcPr>
          <w:p>
            <w:pPr>
              <w:jc w:val="center"/>
              <w:spacing w:after="0"/>
              <w:rPr>
                <w:sz w:val="20"/>
                <w:szCs w:val="20"/>
                <w:color w:val="auto"/>
              </w:rPr>
            </w:pPr>
            <w:r>
              <w:rPr>
                <w:rFonts w:ascii="Arial" w:cs="Arial" w:eastAsia="Arial" w:hAnsi="Arial"/>
                <w:sz w:val="16"/>
                <w:szCs w:val="16"/>
                <w:b w:val="1"/>
                <w:bCs w:val="1"/>
                <w:color w:val="00C1DE"/>
              </w:rPr>
              <w:t>Approval</w:t>
            </w:r>
          </w:p>
        </w:tc>
        <w:tc>
          <w:tcPr>
            <w:tcW w:w="1180" w:type="dxa"/>
            <w:vAlign w:val="bottom"/>
            <w:tcBorders>
              <w:bottom w:val="single" w:sz="8" w:color="00C1DE"/>
            </w:tcBorders>
          </w:tcPr>
          <w:p>
            <w:pPr>
              <w:ind w:left="80"/>
              <w:spacing w:after="0"/>
              <w:rPr>
                <w:sz w:val="20"/>
                <w:szCs w:val="20"/>
                <w:color w:val="auto"/>
              </w:rPr>
            </w:pPr>
            <w:r>
              <w:rPr>
                <w:rFonts w:ascii="Arial" w:cs="Arial" w:eastAsia="Arial" w:hAnsi="Arial"/>
                <w:sz w:val="16"/>
                <w:szCs w:val="16"/>
                <w:b w:val="1"/>
                <w:bCs w:val="1"/>
                <w:color w:val="00C1DE"/>
              </w:rPr>
              <w:t>Abstentions</w:t>
            </w:r>
          </w:p>
        </w:tc>
        <w:tc>
          <w:tcPr>
            <w:tcW w:w="1220" w:type="dxa"/>
            <w:vAlign w:val="bottom"/>
            <w:tcBorders>
              <w:bottom w:val="single" w:sz="8" w:color="00C1DE"/>
              <w:right w:val="single" w:sz="8" w:color="00C1DE"/>
            </w:tcBorders>
          </w:tcPr>
          <w:p>
            <w:pPr>
              <w:jc w:val="center"/>
              <w:spacing w:after="0"/>
              <w:rPr>
                <w:sz w:val="20"/>
                <w:szCs w:val="20"/>
                <w:color w:val="auto"/>
              </w:rPr>
            </w:pPr>
            <w:r>
              <w:rPr>
                <w:rFonts w:ascii="Arial" w:cs="Arial" w:eastAsia="Arial" w:hAnsi="Arial"/>
                <w:sz w:val="16"/>
                <w:szCs w:val="16"/>
                <w:b w:val="1"/>
                <w:bCs w:val="1"/>
                <w:color w:val="00C1DE"/>
                <w:w w:val="99"/>
              </w:rPr>
              <w:t>Non-Votes</w:t>
            </w:r>
          </w:p>
        </w:tc>
        <w:tc>
          <w:tcPr>
            <w:tcW w:w="0" w:type="dxa"/>
            <w:vAlign w:val="bottom"/>
          </w:tcPr>
          <w:p>
            <w:pPr>
              <w:spacing w:after="0"/>
              <w:rPr>
                <w:sz w:val="1"/>
                <w:szCs w:val="1"/>
                <w:color w:val="auto"/>
              </w:rPr>
            </w:pPr>
          </w:p>
        </w:tc>
      </w:tr>
      <w:tr>
        <w:trPr>
          <w:trHeight w:val="226"/>
        </w:trPr>
        <w:tc>
          <w:tcPr>
            <w:tcW w:w="860" w:type="dxa"/>
            <w:vAlign w:val="bottom"/>
            <w:tcBorders>
              <w:left w:val="single" w:sz="8" w:color="00C1DE"/>
            </w:tcBorders>
          </w:tcPr>
          <w:p>
            <w:pPr>
              <w:spacing w:after="0"/>
              <w:rPr>
                <w:sz w:val="19"/>
                <w:szCs w:val="19"/>
                <w:color w:val="auto"/>
              </w:rPr>
            </w:pPr>
          </w:p>
        </w:tc>
        <w:tc>
          <w:tcPr>
            <w:tcW w:w="3000" w:type="dxa"/>
            <w:vAlign w:val="bottom"/>
            <w:tcBorders>
              <w:right w:val="single" w:sz="8" w:color="3E3935"/>
            </w:tcBorders>
          </w:tcPr>
          <w:p>
            <w:pPr>
              <w:spacing w:after="0"/>
              <w:rPr>
                <w:sz w:val="19"/>
                <w:szCs w:val="19"/>
                <w:color w:val="auto"/>
              </w:rPr>
            </w:pPr>
          </w:p>
        </w:tc>
        <w:tc>
          <w:tcPr>
            <w:tcW w:w="1620" w:type="dxa"/>
            <w:vAlign w:val="bottom"/>
            <w:tcBorders>
              <w:right w:val="single" w:sz="8" w:color="3E3935"/>
            </w:tcBorders>
          </w:tcPr>
          <w:p>
            <w:pPr>
              <w:jc w:val="center"/>
              <w:spacing w:after="0"/>
              <w:rPr>
                <w:sz w:val="20"/>
                <w:szCs w:val="20"/>
                <w:color w:val="auto"/>
              </w:rPr>
            </w:pPr>
            <w:r>
              <w:rPr>
                <w:rFonts w:ascii="Arial" w:cs="Arial" w:eastAsia="Arial" w:hAnsi="Arial"/>
                <w:sz w:val="16"/>
                <w:szCs w:val="16"/>
                <w:color w:val="00C1DE"/>
              </w:rPr>
              <w:t>FOR</w:t>
            </w:r>
          </w:p>
        </w:tc>
        <w:tc>
          <w:tcPr>
            <w:tcW w:w="3040" w:type="dxa"/>
            <w:vAlign w:val="bottom"/>
            <w:tcBorders>
              <w:right w:val="single" w:sz="8" w:color="3E3935"/>
            </w:tcBorders>
          </w:tcPr>
          <w:p>
            <w:pPr>
              <w:spacing w:after="0"/>
              <w:rPr>
                <w:sz w:val="19"/>
                <w:szCs w:val="19"/>
                <w:color w:val="auto"/>
              </w:rPr>
            </w:pPr>
          </w:p>
        </w:tc>
        <w:tc>
          <w:tcPr>
            <w:tcW w:w="1180" w:type="dxa"/>
            <w:vAlign w:val="bottom"/>
            <w:tcBorders>
              <w:right w:val="single" w:sz="8" w:color="3E3935"/>
            </w:tcBorders>
          </w:tcPr>
          <w:p>
            <w:pPr>
              <w:spacing w:after="0"/>
              <w:rPr>
                <w:sz w:val="19"/>
                <w:szCs w:val="19"/>
                <w:color w:val="auto"/>
              </w:rPr>
            </w:pPr>
          </w:p>
        </w:tc>
        <w:tc>
          <w:tcPr>
            <w:tcW w:w="1220" w:type="dxa"/>
            <w:vAlign w:val="bottom"/>
            <w:tcBorders>
              <w:right w:val="single" w:sz="8" w:color="00C1DE"/>
            </w:tcBorders>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860" w:type="dxa"/>
            <w:vAlign w:val="bottom"/>
            <w:tcBorders>
              <w:left w:val="single" w:sz="8" w:color="00C1DE"/>
            </w:tcBorders>
          </w:tcPr>
          <w:p>
            <w:pPr>
              <w:jc w:val="center"/>
              <w:ind w:left="119"/>
              <w:spacing w:after="0"/>
              <w:rPr>
                <w:sz w:val="20"/>
                <w:szCs w:val="20"/>
                <w:color w:val="auto"/>
              </w:rPr>
            </w:pPr>
            <w:r>
              <w:rPr>
                <w:rFonts w:ascii="Arial" w:cs="Arial" w:eastAsia="Arial" w:hAnsi="Arial"/>
                <w:sz w:val="16"/>
                <w:szCs w:val="16"/>
                <w:color w:val="3E3935"/>
              </w:rPr>
              <w:t>1</w:t>
            </w:r>
          </w:p>
        </w:tc>
        <w:tc>
          <w:tcPr>
            <w:tcW w:w="3000" w:type="dxa"/>
            <w:vAlign w:val="bottom"/>
            <w:tcBorders>
              <w:right w:val="single" w:sz="8" w:color="3E3935"/>
            </w:tcBorders>
          </w:tcPr>
          <w:p>
            <w:pPr>
              <w:ind w:left="60"/>
              <w:spacing w:after="0"/>
              <w:rPr>
                <w:sz w:val="20"/>
                <w:szCs w:val="20"/>
                <w:color w:val="auto"/>
              </w:rPr>
            </w:pPr>
            <w:r>
              <w:rPr>
                <w:rFonts w:ascii="Arial" w:cs="Arial" w:eastAsia="Arial" w:hAnsi="Arial"/>
                <w:sz w:val="16"/>
                <w:szCs w:val="16"/>
                <w:color w:val="3E3935"/>
              </w:rPr>
              <w:t>Annual Election of Directors</w:t>
            </w:r>
          </w:p>
        </w:tc>
        <w:tc>
          <w:tcPr>
            <w:tcW w:w="1620" w:type="dxa"/>
            <w:vAlign w:val="bottom"/>
            <w:tcBorders>
              <w:right w:val="single" w:sz="8" w:color="3E3935"/>
            </w:tcBorders>
          </w:tcPr>
          <w:p>
            <w:pPr>
              <w:jc w:val="center"/>
              <w:spacing w:after="0"/>
              <w:rPr>
                <w:sz w:val="20"/>
                <w:szCs w:val="20"/>
                <w:color w:val="auto"/>
              </w:rPr>
            </w:pPr>
            <w:r>
              <w:rPr>
                <w:rFonts w:ascii="Arial" w:cs="Arial" w:eastAsia="Arial" w:hAnsi="Arial"/>
                <w:sz w:val="16"/>
                <w:szCs w:val="16"/>
                <w:color w:val="00C1DE"/>
              </w:rPr>
              <w:t>each director</w:t>
            </w:r>
          </w:p>
        </w:tc>
        <w:tc>
          <w:tcPr>
            <w:tcW w:w="3040" w:type="dxa"/>
            <w:vAlign w:val="bottom"/>
            <w:tcBorders>
              <w:right w:val="single" w:sz="8" w:color="3E3935"/>
            </w:tcBorders>
          </w:tcPr>
          <w:p>
            <w:pPr>
              <w:jc w:val="center"/>
              <w:spacing w:after="0"/>
              <w:rPr>
                <w:sz w:val="20"/>
                <w:szCs w:val="20"/>
                <w:color w:val="auto"/>
              </w:rPr>
            </w:pPr>
            <w:r>
              <w:rPr>
                <w:rFonts w:ascii="Arial" w:cs="Arial" w:eastAsia="Arial" w:hAnsi="Arial"/>
                <w:sz w:val="16"/>
                <w:szCs w:val="16"/>
                <w:color w:val="3E3935"/>
              </w:rPr>
              <w:t>Majority of votes cast</w:t>
            </w:r>
          </w:p>
        </w:tc>
        <w:tc>
          <w:tcPr>
            <w:tcW w:w="1180" w:type="dxa"/>
            <w:vAlign w:val="bottom"/>
            <w:tcBorders>
              <w:right w:val="single" w:sz="8" w:color="3E3935"/>
            </w:tcBorders>
          </w:tcPr>
          <w:p>
            <w:pPr>
              <w:jc w:val="center"/>
              <w:spacing w:after="0"/>
              <w:rPr>
                <w:sz w:val="20"/>
                <w:szCs w:val="20"/>
                <w:color w:val="auto"/>
              </w:rPr>
            </w:pPr>
            <w:r>
              <w:rPr>
                <w:rFonts w:ascii="Arial" w:cs="Arial" w:eastAsia="Arial" w:hAnsi="Arial"/>
                <w:sz w:val="16"/>
                <w:szCs w:val="16"/>
                <w:color w:val="3E3935"/>
              </w:rPr>
              <w:t>No effect</w:t>
            </w:r>
          </w:p>
        </w:tc>
        <w:tc>
          <w:tcPr>
            <w:tcW w:w="1220" w:type="dxa"/>
            <w:vAlign w:val="bottom"/>
            <w:tcBorders>
              <w:right w:val="single" w:sz="8" w:color="00C1DE"/>
            </w:tcBorders>
          </w:tcPr>
          <w:p>
            <w:pPr>
              <w:jc w:val="center"/>
              <w:spacing w:after="0"/>
              <w:rPr>
                <w:sz w:val="20"/>
                <w:szCs w:val="20"/>
                <w:color w:val="auto"/>
              </w:rPr>
            </w:pPr>
            <w:r>
              <w:rPr>
                <w:rFonts w:ascii="Arial" w:cs="Arial" w:eastAsia="Arial" w:hAnsi="Arial"/>
                <w:sz w:val="16"/>
                <w:szCs w:val="16"/>
                <w:color w:val="3E3935"/>
              </w:rPr>
              <w:t>No effect</w:t>
            </w:r>
          </w:p>
        </w:tc>
        <w:tc>
          <w:tcPr>
            <w:tcW w:w="0" w:type="dxa"/>
            <w:vAlign w:val="bottom"/>
          </w:tcPr>
          <w:p>
            <w:pPr>
              <w:spacing w:after="0"/>
              <w:rPr>
                <w:sz w:val="1"/>
                <w:szCs w:val="1"/>
                <w:color w:val="auto"/>
              </w:rPr>
            </w:pPr>
          </w:p>
        </w:tc>
      </w:tr>
      <w:tr>
        <w:trPr>
          <w:trHeight w:val="215"/>
        </w:trPr>
        <w:tc>
          <w:tcPr>
            <w:tcW w:w="860" w:type="dxa"/>
            <w:vAlign w:val="bottom"/>
            <w:tcBorders>
              <w:left w:val="single" w:sz="8" w:color="00C1DE"/>
            </w:tcBorders>
          </w:tcPr>
          <w:p>
            <w:pPr>
              <w:spacing w:after="0"/>
              <w:rPr>
                <w:sz w:val="18"/>
                <w:szCs w:val="18"/>
                <w:color w:val="auto"/>
              </w:rPr>
            </w:pPr>
          </w:p>
        </w:tc>
        <w:tc>
          <w:tcPr>
            <w:tcW w:w="3000" w:type="dxa"/>
            <w:vAlign w:val="bottom"/>
            <w:tcBorders>
              <w:right w:val="single" w:sz="8" w:color="3E3935"/>
            </w:tcBorders>
          </w:tcPr>
          <w:p>
            <w:pPr>
              <w:spacing w:after="0"/>
              <w:rPr>
                <w:sz w:val="18"/>
                <w:szCs w:val="18"/>
                <w:color w:val="auto"/>
              </w:rPr>
            </w:pPr>
          </w:p>
        </w:tc>
        <w:tc>
          <w:tcPr>
            <w:tcW w:w="1620" w:type="dxa"/>
            <w:vAlign w:val="bottom"/>
            <w:tcBorders>
              <w:right w:val="single" w:sz="8" w:color="3E3935"/>
            </w:tcBorders>
          </w:tcPr>
          <w:p>
            <w:pPr>
              <w:jc w:val="center"/>
              <w:spacing w:after="0"/>
              <w:rPr>
                <w:sz w:val="20"/>
                <w:szCs w:val="20"/>
                <w:color w:val="auto"/>
              </w:rPr>
            </w:pPr>
            <w:r>
              <w:rPr>
                <w:rFonts w:ascii="Arial" w:cs="Arial" w:eastAsia="Arial" w:hAnsi="Arial"/>
                <w:sz w:val="16"/>
                <w:szCs w:val="16"/>
                <w:color w:val="00C1DE"/>
              </w:rPr>
              <w:t>nominee</w:t>
            </w:r>
          </w:p>
        </w:tc>
        <w:tc>
          <w:tcPr>
            <w:tcW w:w="3040" w:type="dxa"/>
            <w:vAlign w:val="bottom"/>
            <w:tcBorders>
              <w:right w:val="single" w:sz="8" w:color="3E3935"/>
            </w:tcBorders>
          </w:tcPr>
          <w:p>
            <w:pPr>
              <w:spacing w:after="0"/>
              <w:rPr>
                <w:sz w:val="18"/>
                <w:szCs w:val="18"/>
                <w:color w:val="auto"/>
              </w:rPr>
            </w:pPr>
          </w:p>
        </w:tc>
        <w:tc>
          <w:tcPr>
            <w:tcW w:w="1180" w:type="dxa"/>
            <w:vAlign w:val="bottom"/>
            <w:tcBorders>
              <w:right w:val="single" w:sz="8" w:color="3E3935"/>
            </w:tcBorders>
          </w:tcPr>
          <w:p>
            <w:pPr>
              <w:spacing w:after="0"/>
              <w:rPr>
                <w:sz w:val="18"/>
                <w:szCs w:val="18"/>
                <w:color w:val="auto"/>
              </w:rPr>
            </w:pPr>
          </w:p>
        </w:tc>
        <w:tc>
          <w:tcPr>
            <w:tcW w:w="1220" w:type="dxa"/>
            <w:vAlign w:val="bottom"/>
            <w:tcBorders>
              <w:right w:val="single" w:sz="8" w:color="00C1DE"/>
            </w:tcBorders>
          </w:tcPr>
          <w:p>
            <w:pPr>
              <w:spacing w:after="0"/>
              <w:rPr>
                <w:sz w:val="18"/>
                <w:szCs w:val="18"/>
                <w:color w:val="auto"/>
              </w:rPr>
            </w:pPr>
          </w:p>
        </w:tc>
        <w:tc>
          <w:tcPr>
            <w:tcW w:w="0" w:type="dxa"/>
            <w:vAlign w:val="bottom"/>
          </w:tcPr>
          <w:p>
            <w:pPr>
              <w:spacing w:after="0"/>
              <w:rPr>
                <w:sz w:val="1"/>
                <w:szCs w:val="1"/>
                <w:color w:val="auto"/>
              </w:rPr>
            </w:pPr>
          </w:p>
        </w:tc>
      </w:tr>
      <w:tr>
        <w:trPr>
          <w:trHeight w:val="29"/>
        </w:trPr>
        <w:tc>
          <w:tcPr>
            <w:tcW w:w="860" w:type="dxa"/>
            <w:vAlign w:val="bottom"/>
            <w:tcBorders>
              <w:left w:val="single" w:sz="8" w:color="00C1DE"/>
              <w:bottom w:val="single" w:sz="8" w:color="3E3935"/>
            </w:tcBorders>
          </w:tcPr>
          <w:p>
            <w:pPr>
              <w:spacing w:after="0"/>
              <w:rPr>
                <w:sz w:val="2"/>
                <w:szCs w:val="2"/>
                <w:color w:val="auto"/>
              </w:rPr>
            </w:pPr>
          </w:p>
        </w:tc>
        <w:tc>
          <w:tcPr>
            <w:tcW w:w="3000" w:type="dxa"/>
            <w:vAlign w:val="bottom"/>
            <w:tcBorders>
              <w:bottom w:val="single" w:sz="8" w:color="3E3935"/>
              <w:right w:val="single" w:sz="8" w:color="3E3935"/>
            </w:tcBorders>
          </w:tcPr>
          <w:p>
            <w:pPr>
              <w:spacing w:after="0"/>
              <w:rPr>
                <w:sz w:val="2"/>
                <w:szCs w:val="2"/>
                <w:color w:val="auto"/>
              </w:rPr>
            </w:pPr>
          </w:p>
        </w:tc>
        <w:tc>
          <w:tcPr>
            <w:tcW w:w="1620" w:type="dxa"/>
            <w:vAlign w:val="bottom"/>
            <w:tcBorders>
              <w:bottom w:val="single" w:sz="8" w:color="3E3935"/>
              <w:right w:val="single" w:sz="8" w:color="3E3935"/>
            </w:tcBorders>
          </w:tcPr>
          <w:p>
            <w:pPr>
              <w:spacing w:after="0"/>
              <w:rPr>
                <w:sz w:val="2"/>
                <w:szCs w:val="2"/>
                <w:color w:val="auto"/>
              </w:rPr>
            </w:pPr>
          </w:p>
        </w:tc>
        <w:tc>
          <w:tcPr>
            <w:tcW w:w="3040" w:type="dxa"/>
            <w:vAlign w:val="bottom"/>
            <w:tcBorders>
              <w:bottom w:val="single" w:sz="8" w:color="3E3935"/>
              <w:right w:val="single" w:sz="8" w:color="3E3935"/>
            </w:tcBorders>
          </w:tcPr>
          <w:p>
            <w:pPr>
              <w:spacing w:after="0"/>
              <w:rPr>
                <w:sz w:val="2"/>
                <w:szCs w:val="2"/>
                <w:color w:val="auto"/>
              </w:rPr>
            </w:pPr>
          </w:p>
        </w:tc>
        <w:tc>
          <w:tcPr>
            <w:tcW w:w="1180" w:type="dxa"/>
            <w:vAlign w:val="bottom"/>
            <w:tcBorders>
              <w:bottom w:val="single" w:sz="8" w:color="3E3935"/>
              <w:right w:val="single" w:sz="8" w:color="3E3935"/>
            </w:tcBorders>
          </w:tcPr>
          <w:p>
            <w:pPr>
              <w:spacing w:after="0"/>
              <w:rPr>
                <w:sz w:val="2"/>
                <w:szCs w:val="2"/>
                <w:color w:val="auto"/>
              </w:rPr>
            </w:pPr>
          </w:p>
        </w:tc>
        <w:tc>
          <w:tcPr>
            <w:tcW w:w="1220" w:type="dxa"/>
            <w:vAlign w:val="bottom"/>
            <w:tcBorders>
              <w:bottom w:val="single" w:sz="8" w:color="3E3935"/>
              <w:right w:val="single" w:sz="8" w:color="00C1DE"/>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860" w:type="dxa"/>
            <w:vAlign w:val="bottom"/>
            <w:tcBorders>
              <w:left w:val="single" w:sz="8" w:color="00C1DE"/>
            </w:tcBorders>
          </w:tcPr>
          <w:p>
            <w:pPr>
              <w:spacing w:after="0"/>
              <w:rPr>
                <w:sz w:val="19"/>
                <w:szCs w:val="19"/>
                <w:color w:val="auto"/>
              </w:rPr>
            </w:pPr>
          </w:p>
        </w:tc>
        <w:tc>
          <w:tcPr>
            <w:tcW w:w="3000" w:type="dxa"/>
            <w:vAlign w:val="bottom"/>
            <w:tcBorders>
              <w:right w:val="single" w:sz="8" w:color="3E3935"/>
            </w:tcBorders>
          </w:tcPr>
          <w:p>
            <w:pPr>
              <w:ind w:left="60"/>
              <w:spacing w:after="0"/>
              <w:rPr>
                <w:sz w:val="20"/>
                <w:szCs w:val="20"/>
                <w:color w:val="auto"/>
              </w:rPr>
            </w:pPr>
            <w:r>
              <w:rPr>
                <w:rFonts w:ascii="Arial" w:cs="Arial" w:eastAsia="Arial" w:hAnsi="Arial"/>
                <w:sz w:val="16"/>
                <w:szCs w:val="16"/>
                <w:color w:val="3E3935"/>
              </w:rPr>
              <w:t>Proposal to Ratify the Selection of</w:t>
            </w:r>
          </w:p>
        </w:tc>
        <w:tc>
          <w:tcPr>
            <w:tcW w:w="1620" w:type="dxa"/>
            <w:vAlign w:val="bottom"/>
            <w:tcBorders>
              <w:right w:val="single" w:sz="8" w:color="3E3935"/>
            </w:tcBorders>
          </w:tcPr>
          <w:p>
            <w:pPr>
              <w:spacing w:after="0"/>
              <w:rPr>
                <w:sz w:val="19"/>
                <w:szCs w:val="19"/>
                <w:color w:val="auto"/>
              </w:rPr>
            </w:pPr>
          </w:p>
        </w:tc>
        <w:tc>
          <w:tcPr>
            <w:tcW w:w="3040" w:type="dxa"/>
            <w:vAlign w:val="bottom"/>
            <w:tcBorders>
              <w:right w:val="single" w:sz="8" w:color="3E3935"/>
            </w:tcBorders>
          </w:tcPr>
          <w:p>
            <w:pPr>
              <w:spacing w:after="0"/>
              <w:rPr>
                <w:sz w:val="19"/>
                <w:szCs w:val="19"/>
                <w:color w:val="auto"/>
              </w:rPr>
            </w:pPr>
          </w:p>
        </w:tc>
        <w:tc>
          <w:tcPr>
            <w:tcW w:w="1180" w:type="dxa"/>
            <w:vAlign w:val="bottom"/>
            <w:tcBorders>
              <w:right w:val="single" w:sz="8" w:color="3E3935"/>
            </w:tcBorders>
          </w:tcPr>
          <w:p>
            <w:pPr>
              <w:spacing w:after="0"/>
              <w:rPr>
                <w:sz w:val="19"/>
                <w:szCs w:val="19"/>
                <w:color w:val="auto"/>
              </w:rPr>
            </w:pPr>
          </w:p>
        </w:tc>
        <w:tc>
          <w:tcPr>
            <w:tcW w:w="1220" w:type="dxa"/>
            <w:vAlign w:val="bottom"/>
            <w:tcBorders>
              <w:right w:val="single" w:sz="8" w:color="00C1DE"/>
            </w:tcBorders>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860" w:type="dxa"/>
            <w:vAlign w:val="bottom"/>
            <w:tcBorders>
              <w:left w:val="single" w:sz="8" w:color="00C1DE"/>
            </w:tcBorders>
            <w:vMerge w:val="restart"/>
          </w:tcPr>
          <w:p>
            <w:pPr>
              <w:jc w:val="center"/>
              <w:ind w:left="119"/>
              <w:spacing w:after="0"/>
              <w:rPr>
                <w:sz w:val="20"/>
                <w:szCs w:val="20"/>
                <w:color w:val="auto"/>
              </w:rPr>
            </w:pPr>
            <w:r>
              <w:rPr>
                <w:rFonts w:ascii="Arial" w:cs="Arial" w:eastAsia="Arial" w:hAnsi="Arial"/>
                <w:sz w:val="16"/>
                <w:szCs w:val="16"/>
                <w:color w:val="3E3935"/>
              </w:rPr>
              <w:t>2</w:t>
            </w:r>
          </w:p>
        </w:tc>
        <w:tc>
          <w:tcPr>
            <w:tcW w:w="3000" w:type="dxa"/>
            <w:vAlign w:val="bottom"/>
            <w:tcBorders>
              <w:right w:val="single" w:sz="8" w:color="3E3935"/>
            </w:tcBorders>
          </w:tcPr>
          <w:p>
            <w:pPr>
              <w:ind w:left="60"/>
              <w:spacing w:after="0"/>
              <w:rPr>
                <w:sz w:val="20"/>
                <w:szCs w:val="20"/>
                <w:color w:val="auto"/>
              </w:rPr>
            </w:pPr>
            <w:r>
              <w:rPr>
                <w:rFonts w:ascii="Arial" w:cs="Arial" w:eastAsia="Arial" w:hAnsi="Arial"/>
                <w:sz w:val="16"/>
                <w:szCs w:val="16"/>
                <w:color w:val="3E3935"/>
              </w:rPr>
              <w:t>Ernst &amp; Young LLP as the Company’s</w:t>
            </w:r>
          </w:p>
        </w:tc>
        <w:tc>
          <w:tcPr>
            <w:tcW w:w="1620" w:type="dxa"/>
            <w:vAlign w:val="bottom"/>
            <w:tcBorders>
              <w:right w:val="single" w:sz="8" w:color="3E3935"/>
            </w:tcBorders>
            <w:vMerge w:val="restart"/>
          </w:tcPr>
          <w:p>
            <w:pPr>
              <w:jc w:val="center"/>
              <w:spacing w:after="0"/>
              <w:rPr>
                <w:sz w:val="20"/>
                <w:szCs w:val="20"/>
                <w:color w:val="auto"/>
              </w:rPr>
            </w:pPr>
            <w:r>
              <w:rPr>
                <w:rFonts w:ascii="Arial" w:cs="Arial" w:eastAsia="Arial" w:hAnsi="Arial"/>
                <w:sz w:val="16"/>
                <w:szCs w:val="16"/>
                <w:color w:val="00C1DE"/>
              </w:rPr>
              <w:t>FOR</w:t>
            </w:r>
          </w:p>
        </w:tc>
        <w:tc>
          <w:tcPr>
            <w:tcW w:w="3040" w:type="dxa"/>
            <w:vAlign w:val="bottom"/>
            <w:tcBorders>
              <w:right w:val="single" w:sz="8" w:color="3E3935"/>
            </w:tcBorders>
          </w:tcPr>
          <w:p>
            <w:pPr>
              <w:spacing w:after="0"/>
              <w:rPr>
                <w:sz w:val="16"/>
                <w:szCs w:val="16"/>
                <w:color w:val="auto"/>
              </w:rPr>
            </w:pPr>
          </w:p>
        </w:tc>
        <w:tc>
          <w:tcPr>
            <w:tcW w:w="1180" w:type="dxa"/>
            <w:vAlign w:val="bottom"/>
            <w:tcBorders>
              <w:right w:val="single" w:sz="8" w:color="3E3935"/>
            </w:tcBorders>
          </w:tcPr>
          <w:p>
            <w:pPr>
              <w:spacing w:after="0"/>
              <w:rPr>
                <w:sz w:val="16"/>
                <w:szCs w:val="16"/>
                <w:color w:val="auto"/>
              </w:rPr>
            </w:pPr>
          </w:p>
        </w:tc>
        <w:tc>
          <w:tcPr>
            <w:tcW w:w="1220" w:type="dxa"/>
            <w:vAlign w:val="bottom"/>
            <w:tcBorders>
              <w:right w:val="single" w:sz="8" w:color="00C1DE"/>
            </w:tcBorders>
          </w:tcPr>
          <w:p>
            <w:pPr>
              <w:jc w:val="center"/>
              <w:spacing w:after="0"/>
              <w:rPr>
                <w:sz w:val="20"/>
                <w:szCs w:val="20"/>
                <w:color w:val="auto"/>
              </w:rPr>
            </w:pPr>
            <w:r>
              <w:rPr>
                <w:rFonts w:ascii="Arial" w:cs="Arial" w:eastAsia="Arial" w:hAnsi="Arial"/>
                <w:sz w:val="16"/>
                <w:szCs w:val="16"/>
                <w:color w:val="3E3935"/>
              </w:rPr>
              <w:t>Discretionary</w:t>
            </w:r>
          </w:p>
        </w:tc>
        <w:tc>
          <w:tcPr>
            <w:tcW w:w="0" w:type="dxa"/>
            <w:vAlign w:val="bottom"/>
          </w:tcPr>
          <w:p>
            <w:pPr>
              <w:spacing w:after="0"/>
              <w:rPr>
                <w:sz w:val="1"/>
                <w:szCs w:val="1"/>
                <w:color w:val="auto"/>
              </w:rPr>
            </w:pPr>
          </w:p>
        </w:tc>
      </w:tr>
      <w:tr>
        <w:trPr>
          <w:trHeight w:val="146"/>
        </w:trPr>
        <w:tc>
          <w:tcPr>
            <w:tcW w:w="860" w:type="dxa"/>
            <w:vAlign w:val="bottom"/>
            <w:tcBorders>
              <w:left w:val="single" w:sz="8" w:color="00C1DE"/>
            </w:tcBorders>
            <w:vMerge w:val="continue"/>
          </w:tcPr>
          <w:p>
            <w:pPr>
              <w:spacing w:after="0"/>
              <w:rPr>
                <w:sz w:val="12"/>
                <w:szCs w:val="12"/>
                <w:color w:val="auto"/>
              </w:rPr>
            </w:pPr>
          </w:p>
        </w:tc>
        <w:tc>
          <w:tcPr>
            <w:tcW w:w="3000" w:type="dxa"/>
            <w:vAlign w:val="bottom"/>
            <w:tcBorders>
              <w:right w:val="single" w:sz="8" w:color="3E3935"/>
            </w:tcBorders>
            <w:vMerge w:val="restart"/>
          </w:tcPr>
          <w:p>
            <w:pPr>
              <w:ind w:left="60"/>
              <w:spacing w:after="0"/>
              <w:rPr>
                <w:sz w:val="20"/>
                <w:szCs w:val="20"/>
                <w:color w:val="auto"/>
              </w:rPr>
            </w:pPr>
            <w:r>
              <w:rPr>
                <w:rFonts w:ascii="Arial" w:cs="Arial" w:eastAsia="Arial" w:hAnsi="Arial"/>
                <w:sz w:val="16"/>
                <w:szCs w:val="16"/>
                <w:color w:val="3E3935"/>
              </w:rPr>
              <w:t>Independent Registered Public</w:t>
            </w:r>
          </w:p>
        </w:tc>
        <w:tc>
          <w:tcPr>
            <w:tcW w:w="1620" w:type="dxa"/>
            <w:vAlign w:val="bottom"/>
            <w:tcBorders>
              <w:right w:val="single" w:sz="8" w:color="3E3935"/>
            </w:tcBorders>
            <w:vMerge w:val="continue"/>
          </w:tcPr>
          <w:p>
            <w:pPr>
              <w:spacing w:after="0"/>
              <w:rPr>
                <w:sz w:val="12"/>
                <w:szCs w:val="12"/>
                <w:color w:val="auto"/>
              </w:rPr>
            </w:pPr>
          </w:p>
        </w:tc>
        <w:tc>
          <w:tcPr>
            <w:tcW w:w="3040" w:type="dxa"/>
            <w:vAlign w:val="bottom"/>
            <w:tcBorders>
              <w:right w:val="single" w:sz="8" w:color="3E3935"/>
            </w:tcBorders>
          </w:tcPr>
          <w:p>
            <w:pPr>
              <w:spacing w:after="0"/>
              <w:rPr>
                <w:sz w:val="12"/>
                <w:szCs w:val="12"/>
                <w:color w:val="auto"/>
              </w:rPr>
            </w:pPr>
          </w:p>
        </w:tc>
        <w:tc>
          <w:tcPr>
            <w:tcW w:w="1180" w:type="dxa"/>
            <w:vAlign w:val="bottom"/>
            <w:tcBorders>
              <w:right w:val="single" w:sz="8" w:color="3E3935"/>
            </w:tcBorders>
          </w:tcPr>
          <w:p>
            <w:pPr>
              <w:spacing w:after="0"/>
              <w:rPr>
                <w:sz w:val="12"/>
                <w:szCs w:val="12"/>
                <w:color w:val="auto"/>
              </w:rPr>
            </w:pPr>
          </w:p>
        </w:tc>
        <w:tc>
          <w:tcPr>
            <w:tcW w:w="1220" w:type="dxa"/>
            <w:vAlign w:val="bottom"/>
            <w:tcBorders>
              <w:right w:val="single" w:sz="8" w:color="00C1DE"/>
            </w:tcBorders>
            <w:vMerge w:val="restart"/>
          </w:tcPr>
          <w:p>
            <w:pPr>
              <w:jc w:val="center"/>
              <w:spacing w:after="0"/>
              <w:rPr>
                <w:sz w:val="20"/>
                <w:szCs w:val="20"/>
                <w:color w:val="auto"/>
              </w:rPr>
            </w:pPr>
            <w:r>
              <w:rPr>
                <w:rFonts w:ascii="Arial" w:cs="Arial" w:eastAsia="Arial" w:hAnsi="Arial"/>
                <w:sz w:val="16"/>
                <w:szCs w:val="16"/>
                <w:color w:val="3E3935"/>
                <w:w w:val="99"/>
              </w:rPr>
              <w:t>vote</w:t>
            </w:r>
          </w:p>
        </w:tc>
        <w:tc>
          <w:tcPr>
            <w:tcW w:w="0" w:type="dxa"/>
            <w:vAlign w:val="bottom"/>
          </w:tcPr>
          <w:p>
            <w:pPr>
              <w:spacing w:after="0"/>
              <w:rPr>
                <w:sz w:val="1"/>
                <w:szCs w:val="1"/>
                <w:color w:val="auto"/>
              </w:rPr>
            </w:pPr>
          </w:p>
        </w:tc>
      </w:tr>
      <w:tr>
        <w:trPr>
          <w:trHeight w:val="43"/>
        </w:trPr>
        <w:tc>
          <w:tcPr>
            <w:tcW w:w="860" w:type="dxa"/>
            <w:vAlign w:val="bottom"/>
            <w:tcBorders>
              <w:left w:val="single" w:sz="8" w:color="00C1DE"/>
            </w:tcBorders>
          </w:tcPr>
          <w:p>
            <w:pPr>
              <w:spacing w:after="0"/>
              <w:rPr>
                <w:sz w:val="3"/>
                <w:szCs w:val="3"/>
                <w:color w:val="auto"/>
              </w:rPr>
            </w:pPr>
          </w:p>
        </w:tc>
        <w:tc>
          <w:tcPr>
            <w:tcW w:w="3000" w:type="dxa"/>
            <w:vAlign w:val="bottom"/>
            <w:tcBorders>
              <w:right w:val="single" w:sz="8" w:color="3E3935"/>
            </w:tcBorders>
            <w:vMerge w:val="continue"/>
          </w:tcPr>
          <w:p>
            <w:pPr>
              <w:spacing w:after="0"/>
              <w:rPr>
                <w:sz w:val="3"/>
                <w:szCs w:val="3"/>
                <w:color w:val="auto"/>
              </w:rPr>
            </w:pPr>
          </w:p>
        </w:tc>
        <w:tc>
          <w:tcPr>
            <w:tcW w:w="1620" w:type="dxa"/>
            <w:vAlign w:val="bottom"/>
            <w:tcBorders>
              <w:right w:val="single" w:sz="8" w:color="3E3935"/>
            </w:tcBorders>
          </w:tcPr>
          <w:p>
            <w:pPr>
              <w:spacing w:after="0"/>
              <w:rPr>
                <w:sz w:val="3"/>
                <w:szCs w:val="3"/>
                <w:color w:val="auto"/>
              </w:rPr>
            </w:pPr>
          </w:p>
        </w:tc>
        <w:tc>
          <w:tcPr>
            <w:tcW w:w="3040" w:type="dxa"/>
            <w:vAlign w:val="bottom"/>
            <w:tcBorders>
              <w:right w:val="single" w:sz="8" w:color="3E3935"/>
            </w:tcBorders>
          </w:tcPr>
          <w:p>
            <w:pPr>
              <w:spacing w:after="0"/>
              <w:rPr>
                <w:sz w:val="3"/>
                <w:szCs w:val="3"/>
                <w:color w:val="auto"/>
              </w:rPr>
            </w:pPr>
          </w:p>
        </w:tc>
        <w:tc>
          <w:tcPr>
            <w:tcW w:w="1180" w:type="dxa"/>
            <w:vAlign w:val="bottom"/>
            <w:tcBorders>
              <w:right w:val="single" w:sz="8" w:color="3E3935"/>
            </w:tcBorders>
          </w:tcPr>
          <w:p>
            <w:pPr>
              <w:spacing w:after="0"/>
              <w:rPr>
                <w:sz w:val="3"/>
                <w:szCs w:val="3"/>
                <w:color w:val="auto"/>
              </w:rPr>
            </w:pPr>
          </w:p>
        </w:tc>
        <w:tc>
          <w:tcPr>
            <w:tcW w:w="1220" w:type="dxa"/>
            <w:vAlign w:val="bottom"/>
            <w:tcBorders>
              <w:right w:val="single" w:sz="8" w:color="00C1DE"/>
            </w:tcBorders>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15"/>
        </w:trPr>
        <w:tc>
          <w:tcPr>
            <w:tcW w:w="860" w:type="dxa"/>
            <w:vAlign w:val="bottom"/>
            <w:tcBorders>
              <w:left w:val="single" w:sz="8" w:color="00C1DE"/>
            </w:tcBorders>
          </w:tcPr>
          <w:p>
            <w:pPr>
              <w:spacing w:after="0"/>
              <w:rPr>
                <w:sz w:val="18"/>
                <w:szCs w:val="18"/>
                <w:color w:val="auto"/>
              </w:rPr>
            </w:pPr>
          </w:p>
        </w:tc>
        <w:tc>
          <w:tcPr>
            <w:tcW w:w="3000" w:type="dxa"/>
            <w:vAlign w:val="bottom"/>
            <w:tcBorders>
              <w:right w:val="single" w:sz="8" w:color="3E3935"/>
            </w:tcBorders>
          </w:tcPr>
          <w:p>
            <w:pPr>
              <w:ind w:left="60"/>
              <w:spacing w:after="0"/>
              <w:rPr>
                <w:sz w:val="20"/>
                <w:szCs w:val="20"/>
                <w:color w:val="auto"/>
              </w:rPr>
            </w:pPr>
            <w:r>
              <w:rPr>
                <w:rFonts w:ascii="Arial" w:cs="Arial" w:eastAsia="Arial" w:hAnsi="Arial"/>
                <w:sz w:val="16"/>
                <w:szCs w:val="16"/>
                <w:color w:val="3E3935"/>
              </w:rPr>
              <w:t>Accounting Firm for 2023</w:t>
            </w:r>
          </w:p>
        </w:tc>
        <w:tc>
          <w:tcPr>
            <w:tcW w:w="1620" w:type="dxa"/>
            <w:vAlign w:val="bottom"/>
            <w:tcBorders>
              <w:right w:val="single" w:sz="8" w:color="3E3935"/>
            </w:tcBorders>
          </w:tcPr>
          <w:p>
            <w:pPr>
              <w:spacing w:after="0"/>
              <w:rPr>
                <w:sz w:val="18"/>
                <w:szCs w:val="18"/>
                <w:color w:val="auto"/>
              </w:rPr>
            </w:pPr>
          </w:p>
        </w:tc>
        <w:tc>
          <w:tcPr>
            <w:tcW w:w="3040" w:type="dxa"/>
            <w:vAlign w:val="bottom"/>
            <w:tcBorders>
              <w:right w:val="single" w:sz="8" w:color="3E3935"/>
            </w:tcBorders>
          </w:tcPr>
          <w:p>
            <w:pPr>
              <w:spacing w:after="0"/>
              <w:rPr>
                <w:sz w:val="18"/>
                <w:szCs w:val="18"/>
                <w:color w:val="auto"/>
              </w:rPr>
            </w:pPr>
          </w:p>
        </w:tc>
        <w:tc>
          <w:tcPr>
            <w:tcW w:w="1180" w:type="dxa"/>
            <w:vAlign w:val="bottom"/>
            <w:tcBorders>
              <w:right w:val="single" w:sz="8" w:color="3E3935"/>
            </w:tcBorders>
          </w:tcPr>
          <w:p>
            <w:pPr>
              <w:spacing w:after="0"/>
              <w:rPr>
                <w:sz w:val="18"/>
                <w:szCs w:val="18"/>
                <w:color w:val="auto"/>
              </w:rPr>
            </w:pPr>
          </w:p>
        </w:tc>
        <w:tc>
          <w:tcPr>
            <w:tcW w:w="1220" w:type="dxa"/>
            <w:vAlign w:val="bottom"/>
            <w:tcBorders>
              <w:right w:val="single" w:sz="8" w:color="00C1DE"/>
            </w:tcBorders>
          </w:tcPr>
          <w:p>
            <w:pPr>
              <w:spacing w:after="0"/>
              <w:rPr>
                <w:sz w:val="18"/>
                <w:szCs w:val="18"/>
                <w:color w:val="auto"/>
              </w:rPr>
            </w:pPr>
          </w:p>
        </w:tc>
        <w:tc>
          <w:tcPr>
            <w:tcW w:w="0" w:type="dxa"/>
            <w:vAlign w:val="bottom"/>
          </w:tcPr>
          <w:p>
            <w:pPr>
              <w:spacing w:after="0"/>
              <w:rPr>
                <w:sz w:val="1"/>
                <w:szCs w:val="1"/>
                <w:color w:val="auto"/>
              </w:rPr>
            </w:pPr>
          </w:p>
        </w:tc>
      </w:tr>
      <w:tr>
        <w:trPr>
          <w:trHeight w:val="69"/>
        </w:trPr>
        <w:tc>
          <w:tcPr>
            <w:tcW w:w="860" w:type="dxa"/>
            <w:vAlign w:val="bottom"/>
            <w:tcBorders>
              <w:left w:val="single" w:sz="8" w:color="00C1DE"/>
              <w:bottom w:val="single" w:sz="8" w:color="3E3935"/>
            </w:tcBorders>
          </w:tcPr>
          <w:p>
            <w:pPr>
              <w:spacing w:after="0"/>
              <w:rPr>
                <w:sz w:val="5"/>
                <w:szCs w:val="5"/>
                <w:color w:val="auto"/>
              </w:rPr>
            </w:pPr>
          </w:p>
        </w:tc>
        <w:tc>
          <w:tcPr>
            <w:tcW w:w="3000" w:type="dxa"/>
            <w:vAlign w:val="bottom"/>
            <w:tcBorders>
              <w:bottom w:val="single" w:sz="8" w:color="3E3935"/>
              <w:right w:val="single" w:sz="8" w:color="3E3935"/>
            </w:tcBorders>
          </w:tcPr>
          <w:p>
            <w:pPr>
              <w:spacing w:after="0"/>
              <w:rPr>
                <w:sz w:val="5"/>
                <w:szCs w:val="5"/>
                <w:color w:val="auto"/>
              </w:rPr>
            </w:pPr>
          </w:p>
        </w:tc>
        <w:tc>
          <w:tcPr>
            <w:tcW w:w="1620" w:type="dxa"/>
            <w:vAlign w:val="bottom"/>
            <w:tcBorders>
              <w:bottom w:val="single" w:sz="8" w:color="3E3935"/>
              <w:right w:val="single" w:sz="8" w:color="3E3935"/>
            </w:tcBorders>
          </w:tcPr>
          <w:p>
            <w:pPr>
              <w:spacing w:after="0"/>
              <w:rPr>
                <w:sz w:val="5"/>
                <w:szCs w:val="5"/>
                <w:color w:val="auto"/>
              </w:rPr>
            </w:pPr>
          </w:p>
        </w:tc>
        <w:tc>
          <w:tcPr>
            <w:tcW w:w="3040" w:type="dxa"/>
            <w:vAlign w:val="bottom"/>
            <w:tcBorders>
              <w:right w:val="single" w:sz="8" w:color="3E3935"/>
            </w:tcBorders>
          </w:tcPr>
          <w:p>
            <w:pPr>
              <w:spacing w:after="0"/>
              <w:rPr>
                <w:sz w:val="5"/>
                <w:szCs w:val="5"/>
                <w:color w:val="auto"/>
              </w:rPr>
            </w:pPr>
          </w:p>
        </w:tc>
        <w:tc>
          <w:tcPr>
            <w:tcW w:w="1180" w:type="dxa"/>
            <w:vAlign w:val="bottom"/>
            <w:tcBorders>
              <w:right w:val="single" w:sz="8" w:color="3E3935"/>
            </w:tcBorders>
          </w:tcPr>
          <w:p>
            <w:pPr>
              <w:spacing w:after="0"/>
              <w:rPr>
                <w:sz w:val="5"/>
                <w:szCs w:val="5"/>
                <w:color w:val="auto"/>
              </w:rPr>
            </w:pPr>
          </w:p>
        </w:tc>
        <w:tc>
          <w:tcPr>
            <w:tcW w:w="1220" w:type="dxa"/>
            <w:vAlign w:val="bottom"/>
            <w:tcBorders>
              <w:bottom w:val="single" w:sz="8" w:color="3E3935"/>
              <w:right w:val="single" w:sz="8" w:color="00C1DE"/>
            </w:tcBorders>
          </w:tcPr>
          <w:p>
            <w:pPr>
              <w:spacing w:after="0"/>
              <w:rPr>
                <w:sz w:val="5"/>
                <w:szCs w:val="5"/>
                <w:color w:val="auto"/>
              </w:rPr>
            </w:pPr>
          </w:p>
        </w:tc>
        <w:tc>
          <w:tcPr>
            <w:tcW w:w="0" w:type="dxa"/>
            <w:vAlign w:val="bottom"/>
          </w:tcPr>
          <w:p>
            <w:pPr>
              <w:spacing w:after="0"/>
              <w:rPr>
                <w:sz w:val="1"/>
                <w:szCs w:val="1"/>
                <w:color w:val="auto"/>
              </w:rPr>
            </w:pPr>
          </w:p>
        </w:tc>
      </w:tr>
      <w:tr>
        <w:trPr>
          <w:trHeight w:val="168"/>
        </w:trPr>
        <w:tc>
          <w:tcPr>
            <w:tcW w:w="860" w:type="dxa"/>
            <w:vAlign w:val="bottom"/>
            <w:tcBorders>
              <w:left w:val="single" w:sz="8" w:color="00C1DE"/>
            </w:tcBorders>
          </w:tcPr>
          <w:p>
            <w:pPr>
              <w:spacing w:after="0"/>
              <w:rPr>
                <w:sz w:val="14"/>
                <w:szCs w:val="14"/>
                <w:color w:val="auto"/>
              </w:rPr>
            </w:pPr>
          </w:p>
        </w:tc>
        <w:tc>
          <w:tcPr>
            <w:tcW w:w="3000" w:type="dxa"/>
            <w:vAlign w:val="bottom"/>
            <w:tcBorders>
              <w:right w:val="single" w:sz="8" w:color="3E3935"/>
            </w:tcBorders>
          </w:tcPr>
          <w:p>
            <w:pPr>
              <w:ind w:left="60"/>
              <w:spacing w:after="0" w:line="168" w:lineRule="exact"/>
              <w:rPr>
                <w:sz w:val="20"/>
                <w:szCs w:val="20"/>
                <w:color w:val="auto"/>
              </w:rPr>
            </w:pPr>
            <w:r>
              <w:rPr>
                <w:rFonts w:ascii="Arial" w:cs="Arial" w:eastAsia="Arial" w:hAnsi="Arial"/>
                <w:sz w:val="16"/>
                <w:szCs w:val="16"/>
                <w:color w:val="3E3935"/>
              </w:rPr>
              <w:t>Proposal to Approve, on an Advisory</w:t>
            </w:r>
          </w:p>
        </w:tc>
        <w:tc>
          <w:tcPr>
            <w:tcW w:w="1620" w:type="dxa"/>
            <w:vAlign w:val="bottom"/>
            <w:tcBorders>
              <w:right w:val="single" w:sz="8" w:color="3E3935"/>
            </w:tcBorders>
          </w:tcPr>
          <w:p>
            <w:pPr>
              <w:spacing w:after="0"/>
              <w:rPr>
                <w:sz w:val="14"/>
                <w:szCs w:val="14"/>
                <w:color w:val="auto"/>
              </w:rPr>
            </w:pPr>
          </w:p>
        </w:tc>
        <w:tc>
          <w:tcPr>
            <w:tcW w:w="3040" w:type="dxa"/>
            <w:vAlign w:val="bottom"/>
            <w:tcBorders>
              <w:right w:val="single" w:sz="8" w:color="3E3935"/>
            </w:tcBorders>
          </w:tcPr>
          <w:p>
            <w:pPr>
              <w:spacing w:after="0"/>
              <w:rPr>
                <w:sz w:val="14"/>
                <w:szCs w:val="14"/>
                <w:color w:val="auto"/>
              </w:rPr>
            </w:pPr>
          </w:p>
        </w:tc>
        <w:tc>
          <w:tcPr>
            <w:tcW w:w="1180" w:type="dxa"/>
            <w:vAlign w:val="bottom"/>
            <w:tcBorders>
              <w:right w:val="single" w:sz="8" w:color="3E3935"/>
            </w:tcBorders>
          </w:tcPr>
          <w:p>
            <w:pPr>
              <w:spacing w:after="0"/>
              <w:rPr>
                <w:sz w:val="14"/>
                <w:szCs w:val="14"/>
                <w:color w:val="auto"/>
              </w:rPr>
            </w:pPr>
          </w:p>
        </w:tc>
        <w:tc>
          <w:tcPr>
            <w:tcW w:w="1220" w:type="dxa"/>
            <w:vAlign w:val="bottom"/>
            <w:tcBorders>
              <w:right w:val="single" w:sz="8" w:color="00C1DE"/>
            </w:tcBorders>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860" w:type="dxa"/>
            <w:vAlign w:val="bottom"/>
            <w:tcBorders>
              <w:left w:val="single" w:sz="8" w:color="00C1DE"/>
            </w:tcBorders>
          </w:tcPr>
          <w:p>
            <w:pPr>
              <w:jc w:val="center"/>
              <w:ind w:left="119"/>
              <w:spacing w:after="0"/>
              <w:rPr>
                <w:sz w:val="20"/>
                <w:szCs w:val="20"/>
                <w:color w:val="auto"/>
              </w:rPr>
            </w:pPr>
            <w:r>
              <w:rPr>
                <w:rFonts w:ascii="Arial" w:cs="Arial" w:eastAsia="Arial" w:hAnsi="Arial"/>
                <w:sz w:val="16"/>
                <w:szCs w:val="16"/>
                <w:color w:val="3E3935"/>
              </w:rPr>
              <w:t>3</w:t>
            </w:r>
          </w:p>
        </w:tc>
        <w:tc>
          <w:tcPr>
            <w:tcW w:w="3000" w:type="dxa"/>
            <w:vAlign w:val="bottom"/>
            <w:tcBorders>
              <w:right w:val="single" w:sz="8" w:color="3E3935"/>
            </w:tcBorders>
          </w:tcPr>
          <w:p>
            <w:pPr>
              <w:ind w:left="60"/>
              <w:spacing w:after="0"/>
              <w:rPr>
                <w:sz w:val="20"/>
                <w:szCs w:val="20"/>
                <w:color w:val="auto"/>
              </w:rPr>
            </w:pPr>
            <w:r>
              <w:rPr>
                <w:rFonts w:ascii="Arial" w:cs="Arial" w:eastAsia="Arial" w:hAnsi="Arial"/>
                <w:sz w:val="16"/>
                <w:szCs w:val="16"/>
                <w:color w:val="3E3935"/>
              </w:rPr>
              <w:t>Basis, Named Executive Officer</w:t>
            </w:r>
          </w:p>
        </w:tc>
        <w:tc>
          <w:tcPr>
            <w:tcW w:w="1620" w:type="dxa"/>
            <w:vAlign w:val="bottom"/>
            <w:tcBorders>
              <w:right w:val="single" w:sz="8" w:color="3E3935"/>
            </w:tcBorders>
          </w:tcPr>
          <w:p>
            <w:pPr>
              <w:jc w:val="center"/>
              <w:spacing w:after="0"/>
              <w:rPr>
                <w:sz w:val="20"/>
                <w:szCs w:val="20"/>
                <w:color w:val="auto"/>
              </w:rPr>
            </w:pPr>
            <w:r>
              <w:rPr>
                <w:rFonts w:ascii="Arial" w:cs="Arial" w:eastAsia="Arial" w:hAnsi="Arial"/>
                <w:sz w:val="16"/>
                <w:szCs w:val="16"/>
                <w:color w:val="00C1DE"/>
              </w:rPr>
              <w:t>FOR</w:t>
            </w:r>
          </w:p>
        </w:tc>
        <w:tc>
          <w:tcPr>
            <w:tcW w:w="3040" w:type="dxa"/>
            <w:vAlign w:val="bottom"/>
            <w:tcBorders>
              <w:right w:val="single" w:sz="8" w:color="3E3935"/>
            </w:tcBorders>
          </w:tcPr>
          <w:p>
            <w:pPr>
              <w:spacing w:after="0"/>
              <w:rPr>
                <w:sz w:val="16"/>
                <w:szCs w:val="16"/>
                <w:color w:val="auto"/>
              </w:rPr>
            </w:pPr>
          </w:p>
        </w:tc>
        <w:tc>
          <w:tcPr>
            <w:tcW w:w="1180" w:type="dxa"/>
            <w:vAlign w:val="bottom"/>
            <w:tcBorders>
              <w:right w:val="single" w:sz="8" w:color="3E3935"/>
            </w:tcBorders>
          </w:tcPr>
          <w:p>
            <w:pPr>
              <w:spacing w:after="0"/>
              <w:rPr>
                <w:sz w:val="16"/>
                <w:szCs w:val="16"/>
                <w:color w:val="auto"/>
              </w:rPr>
            </w:pPr>
          </w:p>
        </w:tc>
        <w:tc>
          <w:tcPr>
            <w:tcW w:w="1220" w:type="dxa"/>
            <w:vAlign w:val="bottom"/>
            <w:tcBorders>
              <w:right w:val="single" w:sz="8" w:color="00C1DE"/>
            </w:tcBorders>
          </w:tcPr>
          <w:p>
            <w:pPr>
              <w:jc w:val="center"/>
              <w:spacing w:after="0"/>
              <w:rPr>
                <w:sz w:val="20"/>
                <w:szCs w:val="20"/>
                <w:color w:val="auto"/>
              </w:rPr>
            </w:pPr>
            <w:r>
              <w:rPr>
                <w:rFonts w:ascii="Arial" w:cs="Arial" w:eastAsia="Arial" w:hAnsi="Arial"/>
                <w:sz w:val="16"/>
                <w:szCs w:val="16"/>
                <w:color w:val="3E3935"/>
              </w:rPr>
              <w:t>No effect</w:t>
            </w:r>
          </w:p>
        </w:tc>
        <w:tc>
          <w:tcPr>
            <w:tcW w:w="0" w:type="dxa"/>
            <w:vAlign w:val="bottom"/>
          </w:tcPr>
          <w:p>
            <w:pPr>
              <w:spacing w:after="0"/>
              <w:rPr>
                <w:sz w:val="1"/>
                <w:szCs w:val="1"/>
                <w:color w:val="auto"/>
              </w:rPr>
            </w:pPr>
          </w:p>
        </w:tc>
      </w:tr>
      <w:tr>
        <w:trPr>
          <w:trHeight w:val="215"/>
        </w:trPr>
        <w:tc>
          <w:tcPr>
            <w:tcW w:w="860" w:type="dxa"/>
            <w:vAlign w:val="bottom"/>
            <w:tcBorders>
              <w:left w:val="single" w:sz="8" w:color="00C1DE"/>
            </w:tcBorders>
          </w:tcPr>
          <w:p>
            <w:pPr>
              <w:spacing w:after="0"/>
              <w:rPr>
                <w:sz w:val="18"/>
                <w:szCs w:val="18"/>
                <w:color w:val="auto"/>
              </w:rPr>
            </w:pPr>
          </w:p>
        </w:tc>
        <w:tc>
          <w:tcPr>
            <w:tcW w:w="3000" w:type="dxa"/>
            <w:vAlign w:val="bottom"/>
            <w:tcBorders>
              <w:right w:val="single" w:sz="8" w:color="3E3935"/>
            </w:tcBorders>
          </w:tcPr>
          <w:p>
            <w:pPr>
              <w:ind w:left="60"/>
              <w:spacing w:after="0"/>
              <w:rPr>
                <w:sz w:val="20"/>
                <w:szCs w:val="20"/>
                <w:color w:val="auto"/>
              </w:rPr>
            </w:pPr>
            <w:r>
              <w:rPr>
                <w:rFonts w:ascii="Arial" w:cs="Arial" w:eastAsia="Arial" w:hAnsi="Arial"/>
                <w:sz w:val="16"/>
                <w:szCs w:val="16"/>
                <w:color w:val="3E3935"/>
              </w:rPr>
              <w:t>Compensation</w:t>
            </w:r>
          </w:p>
        </w:tc>
        <w:tc>
          <w:tcPr>
            <w:tcW w:w="1620" w:type="dxa"/>
            <w:vAlign w:val="bottom"/>
            <w:tcBorders>
              <w:right w:val="single" w:sz="8" w:color="3E3935"/>
            </w:tcBorders>
          </w:tcPr>
          <w:p>
            <w:pPr>
              <w:spacing w:after="0"/>
              <w:rPr>
                <w:sz w:val="18"/>
                <w:szCs w:val="18"/>
                <w:color w:val="auto"/>
              </w:rPr>
            </w:pPr>
          </w:p>
        </w:tc>
        <w:tc>
          <w:tcPr>
            <w:tcW w:w="3040" w:type="dxa"/>
            <w:vAlign w:val="bottom"/>
            <w:tcBorders>
              <w:right w:val="single" w:sz="8" w:color="3E3935"/>
            </w:tcBorders>
          </w:tcPr>
          <w:p>
            <w:pPr>
              <w:spacing w:after="0"/>
              <w:rPr>
                <w:sz w:val="18"/>
                <w:szCs w:val="18"/>
                <w:color w:val="auto"/>
              </w:rPr>
            </w:pPr>
          </w:p>
        </w:tc>
        <w:tc>
          <w:tcPr>
            <w:tcW w:w="1180" w:type="dxa"/>
            <w:vAlign w:val="bottom"/>
            <w:tcBorders>
              <w:right w:val="single" w:sz="8" w:color="3E3935"/>
            </w:tcBorders>
          </w:tcPr>
          <w:p>
            <w:pPr>
              <w:spacing w:after="0"/>
              <w:rPr>
                <w:sz w:val="18"/>
                <w:szCs w:val="18"/>
                <w:color w:val="auto"/>
              </w:rPr>
            </w:pPr>
          </w:p>
        </w:tc>
        <w:tc>
          <w:tcPr>
            <w:tcW w:w="1220" w:type="dxa"/>
            <w:vAlign w:val="bottom"/>
            <w:tcBorders>
              <w:right w:val="single" w:sz="8" w:color="00C1DE"/>
            </w:tcBorders>
          </w:tcPr>
          <w:p>
            <w:pPr>
              <w:spacing w:after="0"/>
              <w:rPr>
                <w:sz w:val="18"/>
                <w:szCs w:val="18"/>
                <w:color w:val="auto"/>
              </w:rPr>
            </w:pPr>
          </w:p>
        </w:tc>
        <w:tc>
          <w:tcPr>
            <w:tcW w:w="0" w:type="dxa"/>
            <w:vAlign w:val="bottom"/>
          </w:tcPr>
          <w:p>
            <w:pPr>
              <w:spacing w:after="0"/>
              <w:rPr>
                <w:sz w:val="1"/>
                <w:szCs w:val="1"/>
                <w:color w:val="auto"/>
              </w:rPr>
            </w:pPr>
          </w:p>
        </w:tc>
      </w:tr>
      <w:tr>
        <w:trPr>
          <w:trHeight w:val="69"/>
        </w:trPr>
        <w:tc>
          <w:tcPr>
            <w:tcW w:w="860" w:type="dxa"/>
            <w:vAlign w:val="bottom"/>
            <w:tcBorders>
              <w:left w:val="single" w:sz="8" w:color="00C1DE"/>
              <w:bottom w:val="single" w:sz="8" w:color="3E3935"/>
            </w:tcBorders>
          </w:tcPr>
          <w:p>
            <w:pPr>
              <w:spacing w:after="0"/>
              <w:rPr>
                <w:sz w:val="5"/>
                <w:szCs w:val="5"/>
                <w:color w:val="auto"/>
              </w:rPr>
            </w:pPr>
          </w:p>
        </w:tc>
        <w:tc>
          <w:tcPr>
            <w:tcW w:w="3000" w:type="dxa"/>
            <w:vAlign w:val="bottom"/>
            <w:tcBorders>
              <w:bottom w:val="single" w:sz="8" w:color="3E3935"/>
              <w:right w:val="single" w:sz="8" w:color="3E3935"/>
            </w:tcBorders>
          </w:tcPr>
          <w:p>
            <w:pPr>
              <w:spacing w:after="0"/>
              <w:rPr>
                <w:sz w:val="5"/>
                <w:szCs w:val="5"/>
                <w:color w:val="auto"/>
              </w:rPr>
            </w:pPr>
          </w:p>
        </w:tc>
        <w:tc>
          <w:tcPr>
            <w:tcW w:w="1620" w:type="dxa"/>
            <w:vAlign w:val="bottom"/>
            <w:tcBorders>
              <w:bottom w:val="single" w:sz="8" w:color="3E3935"/>
              <w:right w:val="single" w:sz="8" w:color="3E3935"/>
            </w:tcBorders>
          </w:tcPr>
          <w:p>
            <w:pPr>
              <w:spacing w:after="0"/>
              <w:rPr>
                <w:sz w:val="5"/>
                <w:szCs w:val="5"/>
                <w:color w:val="auto"/>
              </w:rPr>
            </w:pPr>
          </w:p>
        </w:tc>
        <w:tc>
          <w:tcPr>
            <w:tcW w:w="3040" w:type="dxa"/>
            <w:vAlign w:val="bottom"/>
            <w:tcBorders>
              <w:right w:val="single" w:sz="8" w:color="3E3935"/>
            </w:tcBorders>
            <w:vMerge w:val="restart"/>
          </w:tcPr>
          <w:p>
            <w:pPr>
              <w:jc w:val="center"/>
              <w:spacing w:after="0"/>
              <w:rPr>
                <w:sz w:val="20"/>
                <w:szCs w:val="20"/>
                <w:color w:val="auto"/>
              </w:rPr>
            </w:pPr>
            <w:r>
              <w:rPr>
                <w:rFonts w:ascii="Arial" w:cs="Arial" w:eastAsia="Arial" w:hAnsi="Arial"/>
                <w:sz w:val="16"/>
                <w:szCs w:val="16"/>
                <w:color w:val="3E3935"/>
              </w:rPr>
              <w:t>Majority of shares present</w:t>
            </w:r>
          </w:p>
        </w:tc>
        <w:tc>
          <w:tcPr>
            <w:tcW w:w="1180" w:type="dxa"/>
            <w:vAlign w:val="bottom"/>
            <w:tcBorders>
              <w:right w:val="single" w:sz="8" w:color="3E3935"/>
            </w:tcBorders>
          </w:tcPr>
          <w:p>
            <w:pPr>
              <w:spacing w:after="0"/>
              <w:rPr>
                <w:sz w:val="5"/>
                <w:szCs w:val="5"/>
                <w:color w:val="auto"/>
              </w:rPr>
            </w:pPr>
          </w:p>
        </w:tc>
        <w:tc>
          <w:tcPr>
            <w:tcW w:w="1220" w:type="dxa"/>
            <w:vAlign w:val="bottom"/>
            <w:tcBorders>
              <w:bottom w:val="single" w:sz="8" w:color="3E3935"/>
              <w:right w:val="single" w:sz="8" w:color="00C1DE"/>
            </w:tcBorders>
          </w:tcPr>
          <w:p>
            <w:pPr>
              <w:spacing w:after="0"/>
              <w:rPr>
                <w:sz w:val="5"/>
                <w:szCs w:val="5"/>
                <w:color w:val="auto"/>
              </w:rPr>
            </w:pPr>
          </w:p>
        </w:tc>
        <w:tc>
          <w:tcPr>
            <w:tcW w:w="0" w:type="dxa"/>
            <w:vAlign w:val="bottom"/>
          </w:tcPr>
          <w:p>
            <w:pPr>
              <w:spacing w:after="0"/>
              <w:rPr>
                <w:sz w:val="1"/>
                <w:szCs w:val="1"/>
                <w:color w:val="auto"/>
              </w:rPr>
            </w:pPr>
          </w:p>
        </w:tc>
      </w:tr>
      <w:tr>
        <w:trPr>
          <w:trHeight w:val="183"/>
        </w:trPr>
        <w:tc>
          <w:tcPr>
            <w:tcW w:w="860" w:type="dxa"/>
            <w:vAlign w:val="bottom"/>
            <w:tcBorders>
              <w:left w:val="single" w:sz="8" w:color="00C1DE"/>
            </w:tcBorders>
          </w:tcPr>
          <w:p>
            <w:pPr>
              <w:spacing w:after="0"/>
              <w:rPr>
                <w:sz w:val="15"/>
                <w:szCs w:val="15"/>
                <w:color w:val="auto"/>
              </w:rPr>
            </w:pPr>
          </w:p>
        </w:tc>
        <w:tc>
          <w:tcPr>
            <w:tcW w:w="3000" w:type="dxa"/>
            <w:vAlign w:val="bottom"/>
            <w:tcBorders>
              <w:right w:val="single" w:sz="8" w:color="3E3935"/>
            </w:tcBorders>
          </w:tcPr>
          <w:p>
            <w:pPr>
              <w:ind w:left="60"/>
              <w:spacing w:after="0" w:line="183" w:lineRule="exact"/>
              <w:rPr>
                <w:sz w:val="20"/>
                <w:szCs w:val="20"/>
                <w:color w:val="auto"/>
              </w:rPr>
            </w:pPr>
            <w:r>
              <w:rPr>
                <w:rFonts w:ascii="Arial" w:cs="Arial" w:eastAsia="Arial" w:hAnsi="Arial"/>
                <w:sz w:val="16"/>
                <w:szCs w:val="16"/>
                <w:color w:val="3E3935"/>
              </w:rPr>
              <w:t>Proposal to Approve Amendment No. 1</w:t>
            </w:r>
          </w:p>
        </w:tc>
        <w:tc>
          <w:tcPr>
            <w:tcW w:w="1620" w:type="dxa"/>
            <w:vAlign w:val="bottom"/>
            <w:tcBorders>
              <w:right w:val="single" w:sz="8" w:color="3E3935"/>
            </w:tcBorders>
          </w:tcPr>
          <w:p>
            <w:pPr>
              <w:spacing w:after="0"/>
              <w:rPr>
                <w:sz w:val="15"/>
                <w:szCs w:val="15"/>
                <w:color w:val="auto"/>
              </w:rPr>
            </w:pPr>
          </w:p>
        </w:tc>
        <w:tc>
          <w:tcPr>
            <w:tcW w:w="3040" w:type="dxa"/>
            <w:vAlign w:val="bottom"/>
            <w:tcBorders>
              <w:right w:val="single" w:sz="8" w:color="3E3935"/>
            </w:tcBorders>
            <w:vMerge w:val="continue"/>
          </w:tcPr>
          <w:p>
            <w:pPr>
              <w:spacing w:after="0"/>
              <w:rPr>
                <w:sz w:val="15"/>
                <w:szCs w:val="15"/>
                <w:color w:val="auto"/>
              </w:rPr>
            </w:pPr>
          </w:p>
        </w:tc>
        <w:tc>
          <w:tcPr>
            <w:tcW w:w="1180" w:type="dxa"/>
            <w:vAlign w:val="bottom"/>
            <w:tcBorders>
              <w:right w:val="single" w:sz="8" w:color="3E3935"/>
            </w:tcBorders>
          </w:tcPr>
          <w:p>
            <w:pPr>
              <w:jc w:val="center"/>
              <w:spacing w:after="0" w:line="183" w:lineRule="exact"/>
              <w:rPr>
                <w:sz w:val="20"/>
                <w:szCs w:val="20"/>
                <w:color w:val="auto"/>
              </w:rPr>
            </w:pPr>
            <w:r>
              <w:rPr>
                <w:rFonts w:ascii="Arial" w:cs="Arial" w:eastAsia="Arial" w:hAnsi="Arial"/>
                <w:sz w:val="16"/>
                <w:szCs w:val="16"/>
                <w:color w:val="3E3935"/>
              </w:rPr>
              <w:t>Counted as</w:t>
            </w:r>
          </w:p>
        </w:tc>
        <w:tc>
          <w:tcPr>
            <w:tcW w:w="1220" w:type="dxa"/>
            <w:vAlign w:val="bottom"/>
            <w:tcBorders>
              <w:right w:val="single" w:sz="8" w:color="00C1DE"/>
            </w:tcBorders>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860" w:type="dxa"/>
            <w:vAlign w:val="bottom"/>
            <w:tcBorders>
              <w:left w:val="single" w:sz="8" w:color="00C1DE"/>
            </w:tcBorders>
          </w:tcPr>
          <w:p>
            <w:pPr>
              <w:spacing w:after="0"/>
              <w:rPr>
                <w:sz w:val="16"/>
                <w:szCs w:val="16"/>
                <w:color w:val="auto"/>
              </w:rPr>
            </w:pPr>
          </w:p>
        </w:tc>
        <w:tc>
          <w:tcPr>
            <w:tcW w:w="3000" w:type="dxa"/>
            <w:vAlign w:val="bottom"/>
            <w:tcBorders>
              <w:right w:val="single" w:sz="8" w:color="3E3935"/>
            </w:tcBorders>
          </w:tcPr>
          <w:p>
            <w:pPr>
              <w:ind w:left="60"/>
              <w:spacing w:after="0"/>
              <w:rPr>
                <w:sz w:val="20"/>
                <w:szCs w:val="20"/>
                <w:color w:val="auto"/>
              </w:rPr>
            </w:pPr>
            <w:r>
              <w:rPr>
                <w:rFonts w:ascii="Arial" w:cs="Arial" w:eastAsia="Arial" w:hAnsi="Arial"/>
                <w:sz w:val="16"/>
                <w:szCs w:val="16"/>
                <w:color w:val="3E3935"/>
              </w:rPr>
              <w:t>to the Company’s 2020 Long-Term</w:t>
            </w:r>
          </w:p>
        </w:tc>
        <w:tc>
          <w:tcPr>
            <w:tcW w:w="1620" w:type="dxa"/>
            <w:vAlign w:val="bottom"/>
            <w:tcBorders>
              <w:right w:val="single" w:sz="8" w:color="3E3935"/>
            </w:tcBorders>
          </w:tcPr>
          <w:p>
            <w:pPr>
              <w:spacing w:after="0"/>
              <w:rPr>
                <w:sz w:val="16"/>
                <w:szCs w:val="16"/>
                <w:color w:val="auto"/>
              </w:rPr>
            </w:pPr>
          </w:p>
        </w:tc>
        <w:tc>
          <w:tcPr>
            <w:tcW w:w="3040" w:type="dxa"/>
            <w:vAlign w:val="bottom"/>
            <w:tcBorders>
              <w:right w:val="single" w:sz="8" w:color="3E3935"/>
            </w:tcBorders>
          </w:tcPr>
          <w:p>
            <w:pPr>
              <w:jc w:val="center"/>
              <w:spacing w:after="0"/>
              <w:rPr>
                <w:sz w:val="20"/>
                <w:szCs w:val="20"/>
                <w:color w:val="auto"/>
              </w:rPr>
            </w:pPr>
            <w:r>
              <w:rPr>
                <w:rFonts w:ascii="Arial" w:cs="Arial" w:eastAsia="Arial" w:hAnsi="Arial"/>
                <w:sz w:val="16"/>
                <w:szCs w:val="16"/>
                <w:color w:val="3E3935"/>
              </w:rPr>
              <w:t>(in person or by proxy)</w:t>
            </w:r>
          </w:p>
        </w:tc>
        <w:tc>
          <w:tcPr>
            <w:tcW w:w="1180" w:type="dxa"/>
            <w:vAlign w:val="bottom"/>
            <w:tcBorders>
              <w:right w:val="single" w:sz="8" w:color="3E3935"/>
            </w:tcBorders>
          </w:tcPr>
          <w:p>
            <w:pPr>
              <w:jc w:val="center"/>
              <w:spacing w:after="0"/>
              <w:rPr>
                <w:sz w:val="20"/>
                <w:szCs w:val="20"/>
                <w:color w:val="auto"/>
              </w:rPr>
            </w:pPr>
            <w:r>
              <w:rPr>
                <w:rFonts w:ascii="Arial" w:cs="Arial" w:eastAsia="Arial" w:hAnsi="Arial"/>
                <w:sz w:val="16"/>
                <w:szCs w:val="16"/>
                <w:color w:val="3E3935"/>
              </w:rPr>
              <w:t>“AGAINST”</w:t>
            </w:r>
          </w:p>
        </w:tc>
        <w:tc>
          <w:tcPr>
            <w:tcW w:w="1220" w:type="dxa"/>
            <w:vAlign w:val="bottom"/>
            <w:tcBorders>
              <w:right w:val="single" w:sz="8" w:color="00C1DE"/>
            </w:tcBorders>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860" w:type="dxa"/>
            <w:vAlign w:val="bottom"/>
            <w:tcBorders>
              <w:left w:val="single" w:sz="8" w:color="00C1DE"/>
            </w:tcBorders>
          </w:tcPr>
          <w:p>
            <w:pPr>
              <w:jc w:val="center"/>
              <w:ind w:left="119"/>
              <w:spacing w:after="0" w:line="175" w:lineRule="exact"/>
              <w:rPr>
                <w:sz w:val="20"/>
                <w:szCs w:val="20"/>
                <w:color w:val="auto"/>
              </w:rPr>
            </w:pPr>
            <w:r>
              <w:rPr>
                <w:rFonts w:ascii="Arial" w:cs="Arial" w:eastAsia="Arial" w:hAnsi="Arial"/>
                <w:sz w:val="16"/>
                <w:szCs w:val="16"/>
                <w:color w:val="3E3935"/>
              </w:rPr>
              <w:t>4</w:t>
            </w:r>
          </w:p>
        </w:tc>
        <w:tc>
          <w:tcPr>
            <w:tcW w:w="3000" w:type="dxa"/>
            <w:vAlign w:val="bottom"/>
            <w:tcBorders>
              <w:right w:val="single" w:sz="8" w:color="3E3935"/>
            </w:tcBorders>
          </w:tcPr>
          <w:p>
            <w:pPr>
              <w:ind w:left="60"/>
              <w:spacing w:after="0" w:line="175" w:lineRule="exact"/>
              <w:rPr>
                <w:sz w:val="20"/>
                <w:szCs w:val="20"/>
                <w:color w:val="auto"/>
              </w:rPr>
            </w:pPr>
            <w:r>
              <w:rPr>
                <w:rFonts w:ascii="Arial" w:cs="Arial" w:eastAsia="Arial" w:hAnsi="Arial"/>
                <w:sz w:val="16"/>
                <w:szCs w:val="16"/>
                <w:color w:val="3E3935"/>
              </w:rPr>
              <w:t>Incentive Plan to Increase the Number</w:t>
            </w:r>
          </w:p>
        </w:tc>
        <w:tc>
          <w:tcPr>
            <w:tcW w:w="1620" w:type="dxa"/>
            <w:vAlign w:val="bottom"/>
            <w:tcBorders>
              <w:right w:val="single" w:sz="8" w:color="3E3935"/>
            </w:tcBorders>
          </w:tcPr>
          <w:p>
            <w:pPr>
              <w:jc w:val="center"/>
              <w:spacing w:after="0" w:line="175" w:lineRule="exact"/>
              <w:rPr>
                <w:sz w:val="20"/>
                <w:szCs w:val="20"/>
                <w:color w:val="auto"/>
              </w:rPr>
            </w:pPr>
            <w:r>
              <w:rPr>
                <w:rFonts w:ascii="Arial" w:cs="Arial" w:eastAsia="Arial" w:hAnsi="Arial"/>
                <w:sz w:val="16"/>
                <w:szCs w:val="16"/>
                <w:color w:val="00C1DE"/>
              </w:rPr>
              <w:t>FOR</w:t>
            </w:r>
          </w:p>
        </w:tc>
        <w:tc>
          <w:tcPr>
            <w:tcW w:w="3040" w:type="dxa"/>
            <w:vAlign w:val="bottom"/>
            <w:tcBorders>
              <w:right w:val="single" w:sz="8" w:color="3E3935"/>
            </w:tcBorders>
          </w:tcPr>
          <w:p>
            <w:pPr>
              <w:jc w:val="center"/>
              <w:spacing w:after="0" w:line="175" w:lineRule="exact"/>
              <w:rPr>
                <w:sz w:val="20"/>
                <w:szCs w:val="20"/>
                <w:color w:val="auto"/>
              </w:rPr>
            </w:pPr>
            <w:r>
              <w:rPr>
                <w:rFonts w:ascii="Arial" w:cs="Arial" w:eastAsia="Arial" w:hAnsi="Arial"/>
                <w:sz w:val="16"/>
                <w:szCs w:val="16"/>
                <w:color w:val="3E3935"/>
              </w:rPr>
              <w:t>and entitled to vote</w:t>
            </w:r>
          </w:p>
        </w:tc>
        <w:tc>
          <w:tcPr>
            <w:tcW w:w="1180" w:type="dxa"/>
            <w:vAlign w:val="bottom"/>
            <w:tcBorders>
              <w:right w:val="single" w:sz="8" w:color="3E3935"/>
            </w:tcBorders>
          </w:tcPr>
          <w:p>
            <w:pPr>
              <w:spacing w:after="0"/>
              <w:rPr>
                <w:sz w:val="15"/>
                <w:szCs w:val="15"/>
                <w:color w:val="auto"/>
              </w:rPr>
            </w:pPr>
          </w:p>
        </w:tc>
        <w:tc>
          <w:tcPr>
            <w:tcW w:w="1220" w:type="dxa"/>
            <w:vAlign w:val="bottom"/>
            <w:tcBorders>
              <w:right w:val="single" w:sz="8" w:color="00C1DE"/>
            </w:tcBorders>
          </w:tcPr>
          <w:p>
            <w:pPr>
              <w:jc w:val="center"/>
              <w:spacing w:after="0" w:line="175" w:lineRule="exact"/>
              <w:rPr>
                <w:sz w:val="20"/>
                <w:szCs w:val="20"/>
                <w:color w:val="auto"/>
              </w:rPr>
            </w:pPr>
            <w:r>
              <w:rPr>
                <w:rFonts w:ascii="Arial" w:cs="Arial" w:eastAsia="Arial" w:hAnsi="Arial"/>
                <w:sz w:val="16"/>
                <w:szCs w:val="16"/>
                <w:color w:val="3E3935"/>
              </w:rPr>
              <w:t>No effect</w:t>
            </w:r>
          </w:p>
        </w:tc>
        <w:tc>
          <w:tcPr>
            <w:tcW w:w="0" w:type="dxa"/>
            <w:vAlign w:val="bottom"/>
          </w:tcPr>
          <w:p>
            <w:pPr>
              <w:spacing w:after="0"/>
              <w:rPr>
                <w:sz w:val="1"/>
                <w:szCs w:val="1"/>
                <w:color w:val="auto"/>
              </w:rPr>
            </w:pPr>
          </w:p>
        </w:tc>
      </w:tr>
      <w:tr>
        <w:trPr>
          <w:trHeight w:val="188"/>
        </w:trPr>
        <w:tc>
          <w:tcPr>
            <w:tcW w:w="860" w:type="dxa"/>
            <w:vAlign w:val="bottom"/>
            <w:tcBorders>
              <w:left w:val="single" w:sz="8" w:color="00C1DE"/>
            </w:tcBorders>
          </w:tcPr>
          <w:p>
            <w:pPr>
              <w:spacing w:after="0"/>
              <w:rPr>
                <w:sz w:val="16"/>
                <w:szCs w:val="16"/>
                <w:color w:val="auto"/>
              </w:rPr>
            </w:pPr>
          </w:p>
        </w:tc>
        <w:tc>
          <w:tcPr>
            <w:tcW w:w="3000" w:type="dxa"/>
            <w:vAlign w:val="bottom"/>
            <w:tcBorders>
              <w:right w:val="single" w:sz="8" w:color="3E3935"/>
            </w:tcBorders>
          </w:tcPr>
          <w:p>
            <w:pPr>
              <w:ind w:left="60"/>
              <w:spacing w:after="0"/>
              <w:rPr>
                <w:sz w:val="20"/>
                <w:szCs w:val="20"/>
                <w:color w:val="auto"/>
              </w:rPr>
            </w:pPr>
            <w:r>
              <w:rPr>
                <w:rFonts w:ascii="Arial" w:cs="Arial" w:eastAsia="Arial" w:hAnsi="Arial"/>
                <w:sz w:val="16"/>
                <w:szCs w:val="16"/>
                <w:color w:val="3E3935"/>
              </w:rPr>
              <w:t>of Shares Available for Issuance</w:t>
            </w:r>
          </w:p>
        </w:tc>
        <w:tc>
          <w:tcPr>
            <w:tcW w:w="1620" w:type="dxa"/>
            <w:vAlign w:val="bottom"/>
            <w:tcBorders>
              <w:right w:val="single" w:sz="8" w:color="3E3935"/>
            </w:tcBorders>
          </w:tcPr>
          <w:p>
            <w:pPr>
              <w:spacing w:after="0"/>
              <w:rPr>
                <w:sz w:val="16"/>
                <w:szCs w:val="16"/>
                <w:color w:val="auto"/>
              </w:rPr>
            </w:pPr>
          </w:p>
        </w:tc>
        <w:tc>
          <w:tcPr>
            <w:tcW w:w="3040" w:type="dxa"/>
            <w:vAlign w:val="bottom"/>
            <w:tcBorders>
              <w:right w:val="single" w:sz="8" w:color="3E3935"/>
            </w:tcBorders>
          </w:tcPr>
          <w:p>
            <w:pPr>
              <w:spacing w:after="0"/>
              <w:rPr>
                <w:sz w:val="16"/>
                <w:szCs w:val="16"/>
                <w:color w:val="auto"/>
              </w:rPr>
            </w:pPr>
          </w:p>
        </w:tc>
        <w:tc>
          <w:tcPr>
            <w:tcW w:w="1180" w:type="dxa"/>
            <w:vAlign w:val="bottom"/>
            <w:tcBorders>
              <w:right w:val="single" w:sz="8" w:color="3E3935"/>
            </w:tcBorders>
          </w:tcPr>
          <w:p>
            <w:pPr>
              <w:spacing w:after="0"/>
              <w:rPr>
                <w:sz w:val="16"/>
                <w:szCs w:val="16"/>
                <w:color w:val="auto"/>
              </w:rPr>
            </w:pPr>
          </w:p>
        </w:tc>
        <w:tc>
          <w:tcPr>
            <w:tcW w:w="1220" w:type="dxa"/>
            <w:vAlign w:val="bottom"/>
            <w:tcBorders>
              <w:right w:val="single" w:sz="8" w:color="00C1DE"/>
            </w:tcBorders>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860" w:type="dxa"/>
            <w:vAlign w:val="bottom"/>
            <w:tcBorders>
              <w:left w:val="single" w:sz="8" w:color="00C1DE"/>
            </w:tcBorders>
          </w:tcPr>
          <w:p>
            <w:pPr>
              <w:spacing w:after="0"/>
              <w:rPr>
                <w:sz w:val="18"/>
                <w:szCs w:val="18"/>
                <w:color w:val="auto"/>
              </w:rPr>
            </w:pPr>
          </w:p>
        </w:tc>
        <w:tc>
          <w:tcPr>
            <w:tcW w:w="3000" w:type="dxa"/>
            <w:vAlign w:val="bottom"/>
            <w:tcBorders>
              <w:right w:val="single" w:sz="8" w:color="3E3935"/>
            </w:tcBorders>
          </w:tcPr>
          <w:p>
            <w:pPr>
              <w:ind w:left="60"/>
              <w:spacing w:after="0"/>
              <w:rPr>
                <w:sz w:val="20"/>
                <w:szCs w:val="20"/>
                <w:color w:val="auto"/>
              </w:rPr>
            </w:pPr>
            <w:r>
              <w:rPr>
                <w:rFonts w:ascii="Arial" w:cs="Arial" w:eastAsia="Arial" w:hAnsi="Arial"/>
                <w:sz w:val="16"/>
                <w:szCs w:val="16"/>
                <w:color w:val="3E3935"/>
              </w:rPr>
              <w:t>Thereunder</w:t>
            </w:r>
          </w:p>
        </w:tc>
        <w:tc>
          <w:tcPr>
            <w:tcW w:w="1620" w:type="dxa"/>
            <w:vAlign w:val="bottom"/>
            <w:tcBorders>
              <w:right w:val="single" w:sz="8" w:color="3E3935"/>
            </w:tcBorders>
          </w:tcPr>
          <w:p>
            <w:pPr>
              <w:spacing w:after="0"/>
              <w:rPr>
                <w:sz w:val="18"/>
                <w:szCs w:val="18"/>
                <w:color w:val="auto"/>
              </w:rPr>
            </w:pPr>
          </w:p>
        </w:tc>
        <w:tc>
          <w:tcPr>
            <w:tcW w:w="3040" w:type="dxa"/>
            <w:vAlign w:val="bottom"/>
            <w:tcBorders>
              <w:right w:val="single" w:sz="8" w:color="3E3935"/>
            </w:tcBorders>
          </w:tcPr>
          <w:p>
            <w:pPr>
              <w:spacing w:after="0"/>
              <w:rPr>
                <w:sz w:val="18"/>
                <w:szCs w:val="18"/>
                <w:color w:val="auto"/>
              </w:rPr>
            </w:pPr>
          </w:p>
        </w:tc>
        <w:tc>
          <w:tcPr>
            <w:tcW w:w="1180" w:type="dxa"/>
            <w:vAlign w:val="bottom"/>
            <w:tcBorders>
              <w:right w:val="single" w:sz="8" w:color="3E3935"/>
            </w:tcBorders>
          </w:tcPr>
          <w:p>
            <w:pPr>
              <w:spacing w:after="0"/>
              <w:rPr>
                <w:sz w:val="18"/>
                <w:szCs w:val="18"/>
                <w:color w:val="auto"/>
              </w:rPr>
            </w:pPr>
          </w:p>
        </w:tc>
        <w:tc>
          <w:tcPr>
            <w:tcW w:w="1220" w:type="dxa"/>
            <w:vAlign w:val="bottom"/>
            <w:tcBorders>
              <w:right w:val="single" w:sz="8" w:color="00C1DE"/>
            </w:tcBorders>
          </w:tcPr>
          <w:p>
            <w:pPr>
              <w:spacing w:after="0"/>
              <w:rPr>
                <w:sz w:val="18"/>
                <w:szCs w:val="18"/>
                <w:color w:val="auto"/>
              </w:rPr>
            </w:pPr>
          </w:p>
        </w:tc>
        <w:tc>
          <w:tcPr>
            <w:tcW w:w="0" w:type="dxa"/>
            <w:vAlign w:val="bottom"/>
          </w:tcPr>
          <w:p>
            <w:pPr>
              <w:spacing w:after="0"/>
              <w:rPr>
                <w:sz w:val="1"/>
                <w:szCs w:val="1"/>
                <w:color w:val="auto"/>
              </w:rPr>
            </w:pPr>
          </w:p>
        </w:tc>
      </w:tr>
      <w:tr>
        <w:trPr>
          <w:trHeight w:val="70"/>
        </w:trPr>
        <w:tc>
          <w:tcPr>
            <w:tcW w:w="860" w:type="dxa"/>
            <w:vAlign w:val="bottom"/>
            <w:tcBorders>
              <w:left w:val="single" w:sz="8" w:color="00C1DE"/>
              <w:bottom w:val="single" w:sz="8" w:color="3E3935"/>
            </w:tcBorders>
          </w:tcPr>
          <w:p>
            <w:pPr>
              <w:spacing w:after="0"/>
              <w:rPr>
                <w:sz w:val="6"/>
                <w:szCs w:val="6"/>
                <w:color w:val="auto"/>
              </w:rPr>
            </w:pPr>
          </w:p>
        </w:tc>
        <w:tc>
          <w:tcPr>
            <w:tcW w:w="3000" w:type="dxa"/>
            <w:vAlign w:val="bottom"/>
            <w:tcBorders>
              <w:bottom w:val="single" w:sz="8" w:color="3E3935"/>
              <w:right w:val="single" w:sz="8" w:color="3E3935"/>
            </w:tcBorders>
          </w:tcPr>
          <w:p>
            <w:pPr>
              <w:spacing w:after="0"/>
              <w:rPr>
                <w:sz w:val="6"/>
                <w:szCs w:val="6"/>
                <w:color w:val="auto"/>
              </w:rPr>
            </w:pPr>
          </w:p>
        </w:tc>
        <w:tc>
          <w:tcPr>
            <w:tcW w:w="1620" w:type="dxa"/>
            <w:vAlign w:val="bottom"/>
            <w:tcBorders>
              <w:bottom w:val="single" w:sz="8" w:color="3E3935"/>
              <w:right w:val="single" w:sz="8" w:color="3E3935"/>
            </w:tcBorders>
          </w:tcPr>
          <w:p>
            <w:pPr>
              <w:spacing w:after="0"/>
              <w:rPr>
                <w:sz w:val="6"/>
                <w:szCs w:val="6"/>
                <w:color w:val="auto"/>
              </w:rPr>
            </w:pPr>
          </w:p>
        </w:tc>
        <w:tc>
          <w:tcPr>
            <w:tcW w:w="3040" w:type="dxa"/>
            <w:vAlign w:val="bottom"/>
            <w:tcBorders>
              <w:right w:val="single" w:sz="8" w:color="3E3935"/>
            </w:tcBorders>
          </w:tcPr>
          <w:p>
            <w:pPr>
              <w:spacing w:after="0"/>
              <w:rPr>
                <w:sz w:val="6"/>
                <w:szCs w:val="6"/>
                <w:color w:val="auto"/>
              </w:rPr>
            </w:pPr>
          </w:p>
        </w:tc>
        <w:tc>
          <w:tcPr>
            <w:tcW w:w="1180" w:type="dxa"/>
            <w:vAlign w:val="bottom"/>
            <w:tcBorders>
              <w:right w:val="single" w:sz="8" w:color="3E3935"/>
            </w:tcBorders>
          </w:tcPr>
          <w:p>
            <w:pPr>
              <w:spacing w:after="0"/>
              <w:rPr>
                <w:sz w:val="6"/>
                <w:szCs w:val="6"/>
                <w:color w:val="auto"/>
              </w:rPr>
            </w:pPr>
          </w:p>
        </w:tc>
        <w:tc>
          <w:tcPr>
            <w:tcW w:w="1220" w:type="dxa"/>
            <w:vAlign w:val="bottom"/>
            <w:tcBorders>
              <w:bottom w:val="single" w:sz="8" w:color="3E3935"/>
              <w:right w:val="single" w:sz="8" w:color="00C1DE"/>
            </w:tcBorders>
          </w:tcPr>
          <w:p>
            <w:pPr>
              <w:spacing w:after="0"/>
              <w:rPr>
                <w:sz w:val="6"/>
                <w:szCs w:val="6"/>
                <w:color w:val="auto"/>
              </w:rPr>
            </w:pPr>
          </w:p>
        </w:tc>
        <w:tc>
          <w:tcPr>
            <w:tcW w:w="0" w:type="dxa"/>
            <w:vAlign w:val="bottom"/>
          </w:tcPr>
          <w:p>
            <w:pPr>
              <w:spacing w:after="0"/>
              <w:rPr>
                <w:sz w:val="1"/>
                <w:szCs w:val="1"/>
                <w:color w:val="auto"/>
              </w:rPr>
            </w:pPr>
          </w:p>
        </w:tc>
      </w:tr>
      <w:tr>
        <w:trPr>
          <w:trHeight w:val="168"/>
        </w:trPr>
        <w:tc>
          <w:tcPr>
            <w:tcW w:w="860" w:type="dxa"/>
            <w:vAlign w:val="bottom"/>
            <w:tcBorders>
              <w:left w:val="single" w:sz="8" w:color="00C1DE"/>
            </w:tcBorders>
          </w:tcPr>
          <w:p>
            <w:pPr>
              <w:spacing w:after="0"/>
              <w:rPr>
                <w:sz w:val="14"/>
                <w:szCs w:val="14"/>
                <w:color w:val="auto"/>
              </w:rPr>
            </w:pPr>
          </w:p>
        </w:tc>
        <w:tc>
          <w:tcPr>
            <w:tcW w:w="3000" w:type="dxa"/>
            <w:vAlign w:val="bottom"/>
            <w:tcBorders>
              <w:right w:val="single" w:sz="8" w:color="3E3935"/>
            </w:tcBorders>
          </w:tcPr>
          <w:p>
            <w:pPr>
              <w:ind w:left="60"/>
              <w:spacing w:after="0" w:line="168" w:lineRule="exact"/>
              <w:rPr>
                <w:sz w:val="20"/>
                <w:szCs w:val="20"/>
                <w:color w:val="auto"/>
              </w:rPr>
            </w:pPr>
            <w:r>
              <w:rPr>
                <w:rFonts w:ascii="Arial" w:cs="Arial" w:eastAsia="Arial" w:hAnsi="Arial"/>
                <w:sz w:val="16"/>
                <w:szCs w:val="16"/>
                <w:color w:val="3E3935"/>
              </w:rPr>
              <w:t>Shareholder Proposal Requesting a</w:t>
            </w:r>
          </w:p>
        </w:tc>
        <w:tc>
          <w:tcPr>
            <w:tcW w:w="1620" w:type="dxa"/>
            <w:vAlign w:val="bottom"/>
            <w:tcBorders>
              <w:right w:val="single" w:sz="8" w:color="3E3935"/>
            </w:tcBorders>
          </w:tcPr>
          <w:p>
            <w:pPr>
              <w:spacing w:after="0"/>
              <w:rPr>
                <w:sz w:val="14"/>
                <w:szCs w:val="14"/>
                <w:color w:val="auto"/>
              </w:rPr>
            </w:pPr>
          </w:p>
        </w:tc>
        <w:tc>
          <w:tcPr>
            <w:tcW w:w="3040" w:type="dxa"/>
            <w:vAlign w:val="bottom"/>
            <w:tcBorders>
              <w:right w:val="single" w:sz="8" w:color="3E3935"/>
            </w:tcBorders>
          </w:tcPr>
          <w:p>
            <w:pPr>
              <w:spacing w:after="0"/>
              <w:rPr>
                <w:sz w:val="14"/>
                <w:szCs w:val="14"/>
                <w:color w:val="auto"/>
              </w:rPr>
            </w:pPr>
          </w:p>
        </w:tc>
        <w:tc>
          <w:tcPr>
            <w:tcW w:w="1180" w:type="dxa"/>
            <w:vAlign w:val="bottom"/>
            <w:tcBorders>
              <w:right w:val="single" w:sz="8" w:color="3E3935"/>
            </w:tcBorders>
          </w:tcPr>
          <w:p>
            <w:pPr>
              <w:spacing w:after="0"/>
              <w:rPr>
                <w:sz w:val="14"/>
                <w:szCs w:val="14"/>
                <w:color w:val="auto"/>
              </w:rPr>
            </w:pPr>
          </w:p>
        </w:tc>
        <w:tc>
          <w:tcPr>
            <w:tcW w:w="1220" w:type="dxa"/>
            <w:vAlign w:val="bottom"/>
            <w:tcBorders>
              <w:right w:val="single" w:sz="8" w:color="00C1DE"/>
            </w:tcBorders>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860" w:type="dxa"/>
            <w:vAlign w:val="bottom"/>
            <w:tcBorders>
              <w:left w:val="single" w:sz="8" w:color="00C1DE"/>
            </w:tcBorders>
          </w:tcPr>
          <w:p>
            <w:pPr>
              <w:jc w:val="center"/>
              <w:ind w:left="119"/>
              <w:spacing w:after="0"/>
              <w:rPr>
                <w:sz w:val="20"/>
                <w:szCs w:val="20"/>
                <w:color w:val="auto"/>
              </w:rPr>
            </w:pPr>
            <w:r>
              <w:rPr>
                <w:rFonts w:ascii="Arial" w:cs="Arial" w:eastAsia="Arial" w:hAnsi="Arial"/>
                <w:sz w:val="16"/>
                <w:szCs w:val="16"/>
                <w:color w:val="3E3935"/>
              </w:rPr>
              <w:t>5</w:t>
            </w:r>
          </w:p>
        </w:tc>
        <w:tc>
          <w:tcPr>
            <w:tcW w:w="3000" w:type="dxa"/>
            <w:vAlign w:val="bottom"/>
            <w:tcBorders>
              <w:right w:val="single" w:sz="8" w:color="3E3935"/>
            </w:tcBorders>
          </w:tcPr>
          <w:p>
            <w:pPr>
              <w:ind w:left="60"/>
              <w:spacing w:after="0"/>
              <w:rPr>
                <w:sz w:val="20"/>
                <w:szCs w:val="20"/>
                <w:color w:val="auto"/>
              </w:rPr>
            </w:pPr>
            <w:r>
              <w:rPr>
                <w:rFonts w:ascii="Arial" w:cs="Arial" w:eastAsia="Arial" w:hAnsi="Arial"/>
                <w:sz w:val="16"/>
                <w:szCs w:val="16"/>
                <w:color w:val="3E3935"/>
              </w:rPr>
              <w:t>Report on the Company’s Operations in</w:t>
            </w:r>
          </w:p>
        </w:tc>
        <w:tc>
          <w:tcPr>
            <w:tcW w:w="1620" w:type="dxa"/>
            <w:vAlign w:val="bottom"/>
            <w:tcBorders>
              <w:right w:val="single" w:sz="8" w:color="3E3935"/>
            </w:tcBorders>
          </w:tcPr>
          <w:p>
            <w:pPr>
              <w:jc w:val="center"/>
              <w:spacing w:after="0"/>
              <w:rPr>
                <w:sz w:val="20"/>
                <w:szCs w:val="20"/>
                <w:color w:val="auto"/>
              </w:rPr>
            </w:pPr>
            <w:r>
              <w:rPr>
                <w:rFonts w:ascii="Arial" w:cs="Arial" w:eastAsia="Arial" w:hAnsi="Arial"/>
                <w:sz w:val="16"/>
                <w:szCs w:val="16"/>
                <w:color w:val="00C1DE"/>
                <w:w w:val="99"/>
              </w:rPr>
              <w:t>AGAINST</w:t>
            </w:r>
          </w:p>
        </w:tc>
        <w:tc>
          <w:tcPr>
            <w:tcW w:w="3040" w:type="dxa"/>
            <w:vAlign w:val="bottom"/>
            <w:tcBorders>
              <w:right w:val="single" w:sz="8" w:color="3E3935"/>
            </w:tcBorders>
          </w:tcPr>
          <w:p>
            <w:pPr>
              <w:spacing w:after="0"/>
              <w:rPr>
                <w:sz w:val="16"/>
                <w:szCs w:val="16"/>
                <w:color w:val="auto"/>
              </w:rPr>
            </w:pPr>
          </w:p>
        </w:tc>
        <w:tc>
          <w:tcPr>
            <w:tcW w:w="1180" w:type="dxa"/>
            <w:vAlign w:val="bottom"/>
            <w:tcBorders>
              <w:right w:val="single" w:sz="8" w:color="3E3935"/>
            </w:tcBorders>
          </w:tcPr>
          <w:p>
            <w:pPr>
              <w:spacing w:after="0"/>
              <w:rPr>
                <w:sz w:val="16"/>
                <w:szCs w:val="16"/>
                <w:color w:val="auto"/>
              </w:rPr>
            </w:pPr>
          </w:p>
        </w:tc>
        <w:tc>
          <w:tcPr>
            <w:tcW w:w="1220" w:type="dxa"/>
            <w:vAlign w:val="bottom"/>
            <w:tcBorders>
              <w:right w:val="single" w:sz="8" w:color="00C1DE"/>
            </w:tcBorders>
          </w:tcPr>
          <w:p>
            <w:pPr>
              <w:jc w:val="center"/>
              <w:spacing w:after="0"/>
              <w:rPr>
                <w:sz w:val="20"/>
                <w:szCs w:val="20"/>
                <w:color w:val="auto"/>
              </w:rPr>
            </w:pPr>
            <w:r>
              <w:rPr>
                <w:rFonts w:ascii="Arial" w:cs="Arial" w:eastAsia="Arial" w:hAnsi="Arial"/>
                <w:sz w:val="16"/>
                <w:szCs w:val="16"/>
                <w:color w:val="3E3935"/>
              </w:rPr>
              <w:t>No effect</w:t>
            </w:r>
          </w:p>
        </w:tc>
        <w:tc>
          <w:tcPr>
            <w:tcW w:w="0" w:type="dxa"/>
            <w:vAlign w:val="bottom"/>
          </w:tcPr>
          <w:p>
            <w:pPr>
              <w:spacing w:after="0"/>
              <w:rPr>
                <w:sz w:val="1"/>
                <w:szCs w:val="1"/>
                <w:color w:val="auto"/>
              </w:rPr>
            </w:pPr>
          </w:p>
        </w:tc>
      </w:tr>
      <w:tr>
        <w:trPr>
          <w:trHeight w:val="215"/>
        </w:trPr>
        <w:tc>
          <w:tcPr>
            <w:tcW w:w="860" w:type="dxa"/>
            <w:vAlign w:val="bottom"/>
            <w:tcBorders>
              <w:left w:val="single" w:sz="8" w:color="00C1DE"/>
            </w:tcBorders>
          </w:tcPr>
          <w:p>
            <w:pPr>
              <w:spacing w:after="0"/>
              <w:rPr>
                <w:sz w:val="18"/>
                <w:szCs w:val="18"/>
                <w:color w:val="auto"/>
              </w:rPr>
            </w:pPr>
          </w:p>
        </w:tc>
        <w:tc>
          <w:tcPr>
            <w:tcW w:w="3000" w:type="dxa"/>
            <w:vAlign w:val="bottom"/>
            <w:tcBorders>
              <w:right w:val="single" w:sz="8" w:color="3E3935"/>
            </w:tcBorders>
          </w:tcPr>
          <w:p>
            <w:pPr>
              <w:ind w:left="60"/>
              <w:spacing w:after="0"/>
              <w:rPr>
                <w:sz w:val="20"/>
                <w:szCs w:val="20"/>
                <w:color w:val="auto"/>
              </w:rPr>
            </w:pPr>
            <w:r>
              <w:rPr>
                <w:rFonts w:ascii="Arial" w:cs="Arial" w:eastAsia="Arial" w:hAnsi="Arial"/>
                <w:sz w:val="16"/>
                <w:szCs w:val="16"/>
                <w:color w:val="3E3935"/>
              </w:rPr>
              <w:t>China</w:t>
            </w:r>
          </w:p>
        </w:tc>
        <w:tc>
          <w:tcPr>
            <w:tcW w:w="1620" w:type="dxa"/>
            <w:vAlign w:val="bottom"/>
            <w:tcBorders>
              <w:right w:val="single" w:sz="8" w:color="3E3935"/>
            </w:tcBorders>
          </w:tcPr>
          <w:p>
            <w:pPr>
              <w:spacing w:after="0"/>
              <w:rPr>
                <w:sz w:val="18"/>
                <w:szCs w:val="18"/>
                <w:color w:val="auto"/>
              </w:rPr>
            </w:pPr>
          </w:p>
        </w:tc>
        <w:tc>
          <w:tcPr>
            <w:tcW w:w="3040" w:type="dxa"/>
            <w:vAlign w:val="bottom"/>
            <w:tcBorders>
              <w:right w:val="single" w:sz="8" w:color="3E3935"/>
            </w:tcBorders>
          </w:tcPr>
          <w:p>
            <w:pPr>
              <w:spacing w:after="0"/>
              <w:rPr>
                <w:sz w:val="18"/>
                <w:szCs w:val="18"/>
                <w:color w:val="auto"/>
              </w:rPr>
            </w:pPr>
          </w:p>
        </w:tc>
        <w:tc>
          <w:tcPr>
            <w:tcW w:w="1180" w:type="dxa"/>
            <w:vAlign w:val="bottom"/>
            <w:tcBorders>
              <w:right w:val="single" w:sz="8" w:color="3E3935"/>
            </w:tcBorders>
          </w:tcPr>
          <w:p>
            <w:pPr>
              <w:spacing w:after="0"/>
              <w:rPr>
                <w:sz w:val="18"/>
                <w:szCs w:val="18"/>
                <w:color w:val="auto"/>
              </w:rPr>
            </w:pPr>
          </w:p>
        </w:tc>
        <w:tc>
          <w:tcPr>
            <w:tcW w:w="1220" w:type="dxa"/>
            <w:vAlign w:val="bottom"/>
            <w:tcBorders>
              <w:right w:val="single" w:sz="8" w:color="00C1DE"/>
            </w:tcBorders>
          </w:tcPr>
          <w:p>
            <w:pPr>
              <w:spacing w:after="0"/>
              <w:rPr>
                <w:sz w:val="18"/>
                <w:szCs w:val="18"/>
                <w:color w:val="auto"/>
              </w:rPr>
            </w:pPr>
          </w:p>
        </w:tc>
        <w:tc>
          <w:tcPr>
            <w:tcW w:w="0" w:type="dxa"/>
            <w:vAlign w:val="bottom"/>
          </w:tcPr>
          <w:p>
            <w:pPr>
              <w:spacing w:after="0"/>
              <w:rPr>
                <w:sz w:val="1"/>
                <w:szCs w:val="1"/>
                <w:color w:val="auto"/>
              </w:rPr>
            </w:pPr>
          </w:p>
        </w:tc>
      </w:tr>
      <w:tr>
        <w:trPr>
          <w:trHeight w:val="69"/>
        </w:trPr>
        <w:tc>
          <w:tcPr>
            <w:tcW w:w="860" w:type="dxa"/>
            <w:vAlign w:val="bottom"/>
            <w:tcBorders>
              <w:left w:val="single" w:sz="8" w:color="00C1DE"/>
              <w:bottom w:val="single" w:sz="8" w:color="3E3935"/>
            </w:tcBorders>
          </w:tcPr>
          <w:p>
            <w:pPr>
              <w:spacing w:after="0"/>
              <w:rPr>
                <w:sz w:val="5"/>
                <w:szCs w:val="5"/>
                <w:color w:val="auto"/>
              </w:rPr>
            </w:pPr>
          </w:p>
        </w:tc>
        <w:tc>
          <w:tcPr>
            <w:tcW w:w="3000" w:type="dxa"/>
            <w:vAlign w:val="bottom"/>
            <w:tcBorders>
              <w:bottom w:val="single" w:sz="8" w:color="3E3935"/>
              <w:right w:val="single" w:sz="8" w:color="3E3935"/>
            </w:tcBorders>
          </w:tcPr>
          <w:p>
            <w:pPr>
              <w:spacing w:after="0"/>
              <w:rPr>
                <w:sz w:val="5"/>
                <w:szCs w:val="5"/>
                <w:color w:val="auto"/>
              </w:rPr>
            </w:pPr>
          </w:p>
        </w:tc>
        <w:tc>
          <w:tcPr>
            <w:tcW w:w="1620" w:type="dxa"/>
            <w:vAlign w:val="bottom"/>
            <w:tcBorders>
              <w:bottom w:val="single" w:sz="8" w:color="3E3935"/>
              <w:right w:val="single" w:sz="8" w:color="3E3935"/>
            </w:tcBorders>
          </w:tcPr>
          <w:p>
            <w:pPr>
              <w:spacing w:after="0"/>
              <w:rPr>
                <w:sz w:val="5"/>
                <w:szCs w:val="5"/>
                <w:color w:val="auto"/>
              </w:rPr>
            </w:pPr>
          </w:p>
        </w:tc>
        <w:tc>
          <w:tcPr>
            <w:tcW w:w="3040" w:type="dxa"/>
            <w:vAlign w:val="bottom"/>
            <w:tcBorders>
              <w:right w:val="single" w:sz="8" w:color="3E3935"/>
            </w:tcBorders>
          </w:tcPr>
          <w:p>
            <w:pPr>
              <w:spacing w:after="0"/>
              <w:rPr>
                <w:sz w:val="5"/>
                <w:szCs w:val="5"/>
                <w:color w:val="auto"/>
              </w:rPr>
            </w:pPr>
          </w:p>
        </w:tc>
        <w:tc>
          <w:tcPr>
            <w:tcW w:w="1180" w:type="dxa"/>
            <w:vAlign w:val="bottom"/>
            <w:tcBorders>
              <w:right w:val="single" w:sz="8" w:color="3E3935"/>
            </w:tcBorders>
          </w:tcPr>
          <w:p>
            <w:pPr>
              <w:spacing w:after="0"/>
              <w:rPr>
                <w:sz w:val="5"/>
                <w:szCs w:val="5"/>
                <w:color w:val="auto"/>
              </w:rPr>
            </w:pPr>
          </w:p>
        </w:tc>
        <w:tc>
          <w:tcPr>
            <w:tcW w:w="1220" w:type="dxa"/>
            <w:vAlign w:val="bottom"/>
            <w:tcBorders>
              <w:bottom w:val="single" w:sz="8" w:color="3E3935"/>
              <w:right w:val="single" w:sz="8" w:color="00C1DE"/>
            </w:tcBorders>
          </w:tcPr>
          <w:p>
            <w:pPr>
              <w:spacing w:after="0"/>
              <w:rPr>
                <w:sz w:val="5"/>
                <w:szCs w:val="5"/>
                <w:color w:val="auto"/>
              </w:rPr>
            </w:pPr>
          </w:p>
        </w:tc>
        <w:tc>
          <w:tcPr>
            <w:tcW w:w="0" w:type="dxa"/>
            <w:vAlign w:val="bottom"/>
          </w:tcPr>
          <w:p>
            <w:pPr>
              <w:spacing w:after="0"/>
              <w:rPr>
                <w:sz w:val="1"/>
                <w:szCs w:val="1"/>
                <w:color w:val="auto"/>
              </w:rPr>
            </w:pPr>
          </w:p>
        </w:tc>
      </w:tr>
      <w:tr>
        <w:trPr>
          <w:trHeight w:val="168"/>
        </w:trPr>
        <w:tc>
          <w:tcPr>
            <w:tcW w:w="860" w:type="dxa"/>
            <w:vAlign w:val="bottom"/>
            <w:tcBorders>
              <w:left w:val="single" w:sz="8" w:color="00C1DE"/>
            </w:tcBorders>
            <w:vMerge w:val="restart"/>
          </w:tcPr>
          <w:p>
            <w:pPr>
              <w:jc w:val="center"/>
              <w:ind w:left="119"/>
              <w:spacing w:after="0"/>
              <w:rPr>
                <w:sz w:val="20"/>
                <w:szCs w:val="20"/>
                <w:color w:val="auto"/>
              </w:rPr>
            </w:pPr>
            <w:r>
              <w:rPr>
                <w:rFonts w:ascii="Arial" w:cs="Arial" w:eastAsia="Arial" w:hAnsi="Arial"/>
                <w:sz w:val="16"/>
                <w:szCs w:val="16"/>
                <w:color w:val="3E3935"/>
              </w:rPr>
              <w:t>6</w:t>
            </w:r>
          </w:p>
        </w:tc>
        <w:tc>
          <w:tcPr>
            <w:tcW w:w="3000" w:type="dxa"/>
            <w:vAlign w:val="bottom"/>
            <w:tcBorders>
              <w:right w:val="single" w:sz="8" w:color="3E3935"/>
            </w:tcBorders>
          </w:tcPr>
          <w:p>
            <w:pPr>
              <w:ind w:left="60"/>
              <w:spacing w:after="0" w:line="168" w:lineRule="exact"/>
              <w:rPr>
                <w:sz w:val="20"/>
                <w:szCs w:val="20"/>
                <w:color w:val="auto"/>
              </w:rPr>
            </w:pPr>
            <w:r>
              <w:rPr>
                <w:rFonts w:ascii="Arial" w:cs="Arial" w:eastAsia="Arial" w:hAnsi="Arial"/>
                <w:sz w:val="16"/>
                <w:szCs w:val="16"/>
                <w:color w:val="3E3935"/>
              </w:rPr>
              <w:t>Shareholder Proposal Regarding</w:t>
            </w:r>
          </w:p>
        </w:tc>
        <w:tc>
          <w:tcPr>
            <w:tcW w:w="1620" w:type="dxa"/>
            <w:vAlign w:val="bottom"/>
            <w:tcBorders>
              <w:right w:val="single" w:sz="8" w:color="3E3935"/>
            </w:tcBorders>
            <w:vMerge w:val="restart"/>
          </w:tcPr>
          <w:p>
            <w:pPr>
              <w:jc w:val="center"/>
              <w:spacing w:after="0"/>
              <w:rPr>
                <w:sz w:val="20"/>
                <w:szCs w:val="20"/>
                <w:color w:val="auto"/>
              </w:rPr>
            </w:pPr>
            <w:r>
              <w:rPr>
                <w:rFonts w:ascii="Arial" w:cs="Arial" w:eastAsia="Arial" w:hAnsi="Arial"/>
                <w:sz w:val="16"/>
                <w:szCs w:val="16"/>
                <w:color w:val="00C1DE"/>
                <w:w w:val="99"/>
              </w:rPr>
              <w:t>AGAINST</w:t>
            </w:r>
          </w:p>
        </w:tc>
        <w:tc>
          <w:tcPr>
            <w:tcW w:w="3040" w:type="dxa"/>
            <w:vAlign w:val="bottom"/>
            <w:tcBorders>
              <w:right w:val="single" w:sz="8" w:color="3E3935"/>
            </w:tcBorders>
          </w:tcPr>
          <w:p>
            <w:pPr>
              <w:spacing w:after="0"/>
              <w:rPr>
                <w:sz w:val="14"/>
                <w:szCs w:val="14"/>
                <w:color w:val="auto"/>
              </w:rPr>
            </w:pPr>
          </w:p>
        </w:tc>
        <w:tc>
          <w:tcPr>
            <w:tcW w:w="1180" w:type="dxa"/>
            <w:vAlign w:val="bottom"/>
            <w:tcBorders>
              <w:right w:val="single" w:sz="8" w:color="3E3935"/>
            </w:tcBorders>
          </w:tcPr>
          <w:p>
            <w:pPr>
              <w:spacing w:after="0"/>
              <w:rPr>
                <w:sz w:val="14"/>
                <w:szCs w:val="14"/>
                <w:color w:val="auto"/>
              </w:rPr>
            </w:pPr>
          </w:p>
        </w:tc>
        <w:tc>
          <w:tcPr>
            <w:tcW w:w="1220" w:type="dxa"/>
            <w:vAlign w:val="bottom"/>
            <w:tcBorders>
              <w:right w:val="single" w:sz="8" w:color="00C1DE"/>
            </w:tcBorders>
            <w:vMerge w:val="restart"/>
          </w:tcPr>
          <w:p>
            <w:pPr>
              <w:jc w:val="center"/>
              <w:spacing w:after="0"/>
              <w:rPr>
                <w:sz w:val="20"/>
                <w:szCs w:val="20"/>
                <w:color w:val="auto"/>
              </w:rPr>
            </w:pPr>
            <w:r>
              <w:rPr>
                <w:rFonts w:ascii="Arial" w:cs="Arial" w:eastAsia="Arial" w:hAnsi="Arial"/>
                <w:sz w:val="16"/>
                <w:szCs w:val="16"/>
                <w:color w:val="3E3935"/>
              </w:rPr>
              <w:t>No effect</w:t>
            </w:r>
          </w:p>
        </w:tc>
        <w:tc>
          <w:tcPr>
            <w:tcW w:w="0" w:type="dxa"/>
            <w:vAlign w:val="bottom"/>
          </w:tcPr>
          <w:p>
            <w:pPr>
              <w:spacing w:after="0"/>
              <w:rPr>
                <w:sz w:val="1"/>
                <w:szCs w:val="1"/>
                <w:color w:val="auto"/>
              </w:rPr>
            </w:pPr>
          </w:p>
        </w:tc>
      </w:tr>
      <w:tr>
        <w:trPr>
          <w:trHeight w:val="147"/>
        </w:trPr>
        <w:tc>
          <w:tcPr>
            <w:tcW w:w="860" w:type="dxa"/>
            <w:vAlign w:val="bottom"/>
            <w:tcBorders>
              <w:left w:val="single" w:sz="8" w:color="00C1DE"/>
            </w:tcBorders>
            <w:vMerge w:val="continue"/>
          </w:tcPr>
          <w:p>
            <w:pPr>
              <w:spacing w:after="0"/>
              <w:rPr>
                <w:sz w:val="12"/>
                <w:szCs w:val="12"/>
                <w:color w:val="auto"/>
              </w:rPr>
            </w:pPr>
          </w:p>
        </w:tc>
        <w:tc>
          <w:tcPr>
            <w:tcW w:w="3000" w:type="dxa"/>
            <w:vAlign w:val="bottom"/>
            <w:tcBorders>
              <w:right w:val="single" w:sz="8" w:color="3E3935"/>
            </w:tcBorders>
            <w:vMerge w:val="restart"/>
          </w:tcPr>
          <w:p>
            <w:pPr>
              <w:ind w:left="60"/>
              <w:spacing w:after="0"/>
              <w:rPr>
                <w:sz w:val="20"/>
                <w:szCs w:val="20"/>
                <w:color w:val="auto"/>
              </w:rPr>
            </w:pPr>
            <w:r>
              <w:rPr>
                <w:rFonts w:ascii="Arial" w:cs="Arial" w:eastAsia="Arial" w:hAnsi="Arial"/>
                <w:sz w:val="16"/>
                <w:szCs w:val="16"/>
                <w:color w:val="3E3935"/>
              </w:rPr>
              <w:t>Shareholder Written Consent</w:t>
            </w:r>
          </w:p>
        </w:tc>
        <w:tc>
          <w:tcPr>
            <w:tcW w:w="1620" w:type="dxa"/>
            <w:vAlign w:val="bottom"/>
            <w:tcBorders>
              <w:right w:val="single" w:sz="8" w:color="3E3935"/>
            </w:tcBorders>
            <w:vMerge w:val="continue"/>
          </w:tcPr>
          <w:p>
            <w:pPr>
              <w:spacing w:after="0"/>
              <w:rPr>
                <w:sz w:val="12"/>
                <w:szCs w:val="12"/>
                <w:color w:val="auto"/>
              </w:rPr>
            </w:pPr>
          </w:p>
        </w:tc>
        <w:tc>
          <w:tcPr>
            <w:tcW w:w="3040" w:type="dxa"/>
            <w:vAlign w:val="bottom"/>
            <w:tcBorders>
              <w:right w:val="single" w:sz="8" w:color="3E3935"/>
            </w:tcBorders>
          </w:tcPr>
          <w:p>
            <w:pPr>
              <w:spacing w:after="0"/>
              <w:rPr>
                <w:sz w:val="12"/>
                <w:szCs w:val="12"/>
                <w:color w:val="auto"/>
              </w:rPr>
            </w:pPr>
          </w:p>
        </w:tc>
        <w:tc>
          <w:tcPr>
            <w:tcW w:w="1180" w:type="dxa"/>
            <w:vAlign w:val="bottom"/>
            <w:tcBorders>
              <w:right w:val="single" w:sz="8" w:color="3E3935"/>
            </w:tcBorders>
          </w:tcPr>
          <w:p>
            <w:pPr>
              <w:spacing w:after="0"/>
              <w:rPr>
                <w:sz w:val="12"/>
                <w:szCs w:val="12"/>
                <w:color w:val="auto"/>
              </w:rPr>
            </w:pPr>
          </w:p>
        </w:tc>
        <w:tc>
          <w:tcPr>
            <w:tcW w:w="1220" w:type="dxa"/>
            <w:vAlign w:val="bottom"/>
            <w:tcBorders>
              <w:right w:val="single" w:sz="8" w:color="00C1DE"/>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860" w:type="dxa"/>
            <w:vAlign w:val="bottom"/>
            <w:tcBorders>
              <w:left w:val="single" w:sz="8" w:color="00C1DE"/>
            </w:tcBorders>
          </w:tcPr>
          <w:p>
            <w:pPr>
              <w:spacing w:after="0"/>
              <w:rPr>
                <w:sz w:val="5"/>
                <w:szCs w:val="5"/>
                <w:color w:val="auto"/>
              </w:rPr>
            </w:pPr>
          </w:p>
        </w:tc>
        <w:tc>
          <w:tcPr>
            <w:tcW w:w="3000" w:type="dxa"/>
            <w:vAlign w:val="bottom"/>
            <w:tcBorders>
              <w:right w:val="single" w:sz="8" w:color="3E3935"/>
            </w:tcBorders>
            <w:vMerge w:val="continue"/>
          </w:tcPr>
          <w:p>
            <w:pPr>
              <w:spacing w:after="0"/>
              <w:rPr>
                <w:sz w:val="5"/>
                <w:szCs w:val="5"/>
                <w:color w:val="auto"/>
              </w:rPr>
            </w:pPr>
          </w:p>
        </w:tc>
        <w:tc>
          <w:tcPr>
            <w:tcW w:w="1620" w:type="dxa"/>
            <w:vAlign w:val="bottom"/>
            <w:tcBorders>
              <w:right w:val="single" w:sz="8" w:color="3E3935"/>
            </w:tcBorders>
          </w:tcPr>
          <w:p>
            <w:pPr>
              <w:spacing w:after="0"/>
              <w:rPr>
                <w:sz w:val="5"/>
                <w:szCs w:val="5"/>
                <w:color w:val="auto"/>
              </w:rPr>
            </w:pPr>
          </w:p>
        </w:tc>
        <w:tc>
          <w:tcPr>
            <w:tcW w:w="3040" w:type="dxa"/>
            <w:vAlign w:val="bottom"/>
            <w:tcBorders>
              <w:right w:val="single" w:sz="8" w:color="3E3935"/>
            </w:tcBorders>
          </w:tcPr>
          <w:p>
            <w:pPr>
              <w:spacing w:after="0"/>
              <w:rPr>
                <w:sz w:val="5"/>
                <w:szCs w:val="5"/>
                <w:color w:val="auto"/>
              </w:rPr>
            </w:pPr>
          </w:p>
        </w:tc>
        <w:tc>
          <w:tcPr>
            <w:tcW w:w="1180" w:type="dxa"/>
            <w:vAlign w:val="bottom"/>
            <w:tcBorders>
              <w:right w:val="single" w:sz="8" w:color="3E3935"/>
            </w:tcBorders>
          </w:tcPr>
          <w:p>
            <w:pPr>
              <w:spacing w:after="0"/>
              <w:rPr>
                <w:sz w:val="5"/>
                <w:szCs w:val="5"/>
                <w:color w:val="auto"/>
              </w:rPr>
            </w:pPr>
          </w:p>
        </w:tc>
        <w:tc>
          <w:tcPr>
            <w:tcW w:w="1220" w:type="dxa"/>
            <w:vAlign w:val="bottom"/>
            <w:tcBorders>
              <w:right w:val="single" w:sz="8" w:color="00C1DE"/>
            </w:tcBorders>
          </w:tcPr>
          <w:p>
            <w:pPr>
              <w:spacing w:after="0"/>
              <w:rPr>
                <w:sz w:val="5"/>
                <w:szCs w:val="5"/>
                <w:color w:val="auto"/>
              </w:rPr>
            </w:pPr>
          </w:p>
        </w:tc>
        <w:tc>
          <w:tcPr>
            <w:tcW w:w="0" w:type="dxa"/>
            <w:vAlign w:val="bottom"/>
          </w:tcPr>
          <w:p>
            <w:pPr>
              <w:spacing w:after="0"/>
              <w:rPr>
                <w:sz w:val="1"/>
                <w:szCs w:val="1"/>
                <w:color w:val="auto"/>
              </w:rPr>
            </w:pPr>
          </w:p>
        </w:tc>
      </w:tr>
      <w:tr>
        <w:trPr>
          <w:trHeight w:val="70"/>
        </w:trPr>
        <w:tc>
          <w:tcPr>
            <w:tcW w:w="860" w:type="dxa"/>
            <w:vAlign w:val="bottom"/>
            <w:tcBorders>
              <w:left w:val="single" w:sz="8" w:color="00C1DE"/>
              <w:bottom w:val="single" w:sz="8" w:color="3E3935"/>
            </w:tcBorders>
          </w:tcPr>
          <w:p>
            <w:pPr>
              <w:spacing w:after="0"/>
              <w:rPr>
                <w:sz w:val="6"/>
                <w:szCs w:val="6"/>
                <w:color w:val="auto"/>
              </w:rPr>
            </w:pPr>
          </w:p>
        </w:tc>
        <w:tc>
          <w:tcPr>
            <w:tcW w:w="3000" w:type="dxa"/>
            <w:vAlign w:val="bottom"/>
            <w:tcBorders>
              <w:bottom w:val="single" w:sz="8" w:color="3E3935"/>
              <w:right w:val="single" w:sz="8" w:color="3E3935"/>
            </w:tcBorders>
          </w:tcPr>
          <w:p>
            <w:pPr>
              <w:spacing w:after="0"/>
              <w:rPr>
                <w:sz w:val="6"/>
                <w:szCs w:val="6"/>
                <w:color w:val="auto"/>
              </w:rPr>
            </w:pPr>
          </w:p>
        </w:tc>
        <w:tc>
          <w:tcPr>
            <w:tcW w:w="1620" w:type="dxa"/>
            <w:vAlign w:val="bottom"/>
            <w:tcBorders>
              <w:bottom w:val="single" w:sz="8" w:color="3E3935"/>
              <w:right w:val="single" w:sz="8" w:color="3E3935"/>
            </w:tcBorders>
          </w:tcPr>
          <w:p>
            <w:pPr>
              <w:spacing w:after="0"/>
              <w:rPr>
                <w:sz w:val="6"/>
                <w:szCs w:val="6"/>
                <w:color w:val="auto"/>
              </w:rPr>
            </w:pPr>
          </w:p>
        </w:tc>
        <w:tc>
          <w:tcPr>
            <w:tcW w:w="3040" w:type="dxa"/>
            <w:vAlign w:val="bottom"/>
            <w:tcBorders>
              <w:right w:val="single" w:sz="8" w:color="3E3935"/>
            </w:tcBorders>
          </w:tcPr>
          <w:p>
            <w:pPr>
              <w:spacing w:after="0"/>
              <w:rPr>
                <w:sz w:val="6"/>
                <w:szCs w:val="6"/>
                <w:color w:val="auto"/>
              </w:rPr>
            </w:pPr>
          </w:p>
        </w:tc>
        <w:tc>
          <w:tcPr>
            <w:tcW w:w="1180" w:type="dxa"/>
            <w:vAlign w:val="bottom"/>
            <w:tcBorders>
              <w:right w:val="single" w:sz="8" w:color="3E3935"/>
            </w:tcBorders>
          </w:tcPr>
          <w:p>
            <w:pPr>
              <w:spacing w:after="0"/>
              <w:rPr>
                <w:sz w:val="6"/>
                <w:szCs w:val="6"/>
                <w:color w:val="auto"/>
              </w:rPr>
            </w:pPr>
          </w:p>
        </w:tc>
        <w:tc>
          <w:tcPr>
            <w:tcW w:w="1220" w:type="dxa"/>
            <w:vAlign w:val="bottom"/>
            <w:tcBorders>
              <w:bottom w:val="single" w:sz="8" w:color="3E3935"/>
              <w:right w:val="single" w:sz="8" w:color="00C1DE"/>
            </w:tcBorders>
          </w:tcPr>
          <w:p>
            <w:pPr>
              <w:spacing w:after="0"/>
              <w:rPr>
                <w:sz w:val="6"/>
                <w:szCs w:val="6"/>
                <w:color w:val="auto"/>
              </w:rPr>
            </w:pPr>
          </w:p>
        </w:tc>
        <w:tc>
          <w:tcPr>
            <w:tcW w:w="0" w:type="dxa"/>
            <w:vAlign w:val="bottom"/>
          </w:tcPr>
          <w:p>
            <w:pPr>
              <w:spacing w:after="0"/>
              <w:rPr>
                <w:sz w:val="1"/>
                <w:szCs w:val="1"/>
                <w:color w:val="auto"/>
              </w:rPr>
            </w:pPr>
          </w:p>
        </w:tc>
      </w:tr>
      <w:tr>
        <w:trPr>
          <w:trHeight w:val="168"/>
        </w:trPr>
        <w:tc>
          <w:tcPr>
            <w:tcW w:w="860" w:type="dxa"/>
            <w:vAlign w:val="bottom"/>
            <w:tcBorders>
              <w:left w:val="single" w:sz="8" w:color="00C1DE"/>
            </w:tcBorders>
          </w:tcPr>
          <w:p>
            <w:pPr>
              <w:spacing w:after="0"/>
              <w:rPr>
                <w:sz w:val="14"/>
                <w:szCs w:val="14"/>
                <w:color w:val="auto"/>
              </w:rPr>
            </w:pPr>
          </w:p>
        </w:tc>
        <w:tc>
          <w:tcPr>
            <w:tcW w:w="3000" w:type="dxa"/>
            <w:vAlign w:val="bottom"/>
            <w:tcBorders>
              <w:right w:val="single" w:sz="8" w:color="3E3935"/>
            </w:tcBorders>
          </w:tcPr>
          <w:p>
            <w:pPr>
              <w:ind w:left="60"/>
              <w:spacing w:after="0" w:line="168" w:lineRule="exact"/>
              <w:rPr>
                <w:sz w:val="20"/>
                <w:szCs w:val="20"/>
                <w:color w:val="auto"/>
              </w:rPr>
            </w:pPr>
            <w:r>
              <w:rPr>
                <w:rFonts w:ascii="Arial" w:cs="Arial" w:eastAsia="Arial" w:hAnsi="Arial"/>
                <w:sz w:val="16"/>
                <w:szCs w:val="16"/>
                <w:color w:val="3E3935"/>
              </w:rPr>
              <w:t>Shareholder Proposal Regarding</w:t>
            </w:r>
          </w:p>
        </w:tc>
        <w:tc>
          <w:tcPr>
            <w:tcW w:w="1620" w:type="dxa"/>
            <w:vAlign w:val="bottom"/>
            <w:tcBorders>
              <w:right w:val="single" w:sz="8" w:color="3E3935"/>
            </w:tcBorders>
          </w:tcPr>
          <w:p>
            <w:pPr>
              <w:spacing w:after="0"/>
              <w:rPr>
                <w:sz w:val="14"/>
                <w:szCs w:val="14"/>
                <w:color w:val="auto"/>
              </w:rPr>
            </w:pPr>
          </w:p>
        </w:tc>
        <w:tc>
          <w:tcPr>
            <w:tcW w:w="3040" w:type="dxa"/>
            <w:vAlign w:val="bottom"/>
            <w:tcBorders>
              <w:right w:val="single" w:sz="8" w:color="3E3935"/>
            </w:tcBorders>
          </w:tcPr>
          <w:p>
            <w:pPr>
              <w:spacing w:after="0"/>
              <w:rPr>
                <w:sz w:val="14"/>
                <w:szCs w:val="14"/>
                <w:color w:val="auto"/>
              </w:rPr>
            </w:pPr>
          </w:p>
        </w:tc>
        <w:tc>
          <w:tcPr>
            <w:tcW w:w="1180" w:type="dxa"/>
            <w:vAlign w:val="bottom"/>
            <w:tcBorders>
              <w:right w:val="single" w:sz="8" w:color="3E3935"/>
            </w:tcBorders>
          </w:tcPr>
          <w:p>
            <w:pPr>
              <w:spacing w:after="0"/>
              <w:rPr>
                <w:sz w:val="14"/>
                <w:szCs w:val="14"/>
                <w:color w:val="auto"/>
              </w:rPr>
            </w:pPr>
          </w:p>
        </w:tc>
        <w:tc>
          <w:tcPr>
            <w:tcW w:w="1220" w:type="dxa"/>
            <w:vAlign w:val="bottom"/>
            <w:tcBorders>
              <w:right w:val="single" w:sz="8" w:color="00C1DE"/>
            </w:tcBorders>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860" w:type="dxa"/>
            <w:vAlign w:val="bottom"/>
            <w:tcBorders>
              <w:left w:val="single" w:sz="8" w:color="00C1DE"/>
            </w:tcBorders>
          </w:tcPr>
          <w:p>
            <w:pPr>
              <w:jc w:val="center"/>
              <w:ind w:left="119"/>
              <w:spacing w:after="0"/>
              <w:rPr>
                <w:sz w:val="20"/>
                <w:szCs w:val="20"/>
                <w:color w:val="auto"/>
              </w:rPr>
            </w:pPr>
            <w:r>
              <w:rPr>
                <w:rFonts w:ascii="Arial" w:cs="Arial" w:eastAsia="Arial" w:hAnsi="Arial"/>
                <w:sz w:val="16"/>
                <w:szCs w:val="16"/>
                <w:color w:val="3E3935"/>
              </w:rPr>
              <w:t>7</w:t>
            </w:r>
          </w:p>
        </w:tc>
        <w:tc>
          <w:tcPr>
            <w:tcW w:w="3000" w:type="dxa"/>
            <w:vAlign w:val="bottom"/>
            <w:tcBorders>
              <w:right w:val="single" w:sz="8" w:color="3E3935"/>
            </w:tcBorders>
          </w:tcPr>
          <w:p>
            <w:pPr>
              <w:ind w:left="60"/>
              <w:spacing w:after="0"/>
              <w:rPr>
                <w:sz w:val="20"/>
                <w:szCs w:val="20"/>
                <w:color w:val="auto"/>
              </w:rPr>
            </w:pPr>
            <w:r>
              <w:rPr>
                <w:rFonts w:ascii="Arial" w:cs="Arial" w:eastAsia="Arial" w:hAnsi="Arial"/>
                <w:sz w:val="16"/>
                <w:szCs w:val="16"/>
                <w:color w:val="3E3935"/>
              </w:rPr>
              <w:t>Sustainable Materials Procurement</w:t>
            </w:r>
          </w:p>
        </w:tc>
        <w:tc>
          <w:tcPr>
            <w:tcW w:w="1620" w:type="dxa"/>
            <w:vAlign w:val="bottom"/>
            <w:tcBorders>
              <w:right w:val="single" w:sz="8" w:color="3E3935"/>
            </w:tcBorders>
          </w:tcPr>
          <w:p>
            <w:pPr>
              <w:jc w:val="center"/>
              <w:spacing w:after="0"/>
              <w:rPr>
                <w:sz w:val="20"/>
                <w:szCs w:val="20"/>
                <w:color w:val="auto"/>
              </w:rPr>
            </w:pPr>
            <w:r>
              <w:rPr>
                <w:rFonts w:ascii="Arial" w:cs="Arial" w:eastAsia="Arial" w:hAnsi="Arial"/>
                <w:sz w:val="16"/>
                <w:szCs w:val="16"/>
                <w:color w:val="00C1DE"/>
                <w:w w:val="99"/>
              </w:rPr>
              <w:t>AGAINST</w:t>
            </w:r>
          </w:p>
        </w:tc>
        <w:tc>
          <w:tcPr>
            <w:tcW w:w="3040" w:type="dxa"/>
            <w:vAlign w:val="bottom"/>
            <w:tcBorders>
              <w:right w:val="single" w:sz="8" w:color="3E3935"/>
            </w:tcBorders>
          </w:tcPr>
          <w:p>
            <w:pPr>
              <w:spacing w:after="0"/>
              <w:rPr>
                <w:sz w:val="16"/>
                <w:szCs w:val="16"/>
                <w:color w:val="auto"/>
              </w:rPr>
            </w:pPr>
          </w:p>
        </w:tc>
        <w:tc>
          <w:tcPr>
            <w:tcW w:w="1180" w:type="dxa"/>
            <w:vAlign w:val="bottom"/>
            <w:tcBorders>
              <w:right w:val="single" w:sz="8" w:color="3E3935"/>
            </w:tcBorders>
          </w:tcPr>
          <w:p>
            <w:pPr>
              <w:spacing w:after="0"/>
              <w:rPr>
                <w:sz w:val="16"/>
                <w:szCs w:val="16"/>
                <w:color w:val="auto"/>
              </w:rPr>
            </w:pPr>
          </w:p>
        </w:tc>
        <w:tc>
          <w:tcPr>
            <w:tcW w:w="1220" w:type="dxa"/>
            <w:vAlign w:val="bottom"/>
            <w:tcBorders>
              <w:right w:val="single" w:sz="8" w:color="00C1DE"/>
            </w:tcBorders>
          </w:tcPr>
          <w:p>
            <w:pPr>
              <w:jc w:val="center"/>
              <w:spacing w:after="0"/>
              <w:rPr>
                <w:sz w:val="20"/>
                <w:szCs w:val="20"/>
                <w:color w:val="auto"/>
              </w:rPr>
            </w:pPr>
            <w:r>
              <w:rPr>
                <w:rFonts w:ascii="Arial" w:cs="Arial" w:eastAsia="Arial" w:hAnsi="Arial"/>
                <w:sz w:val="16"/>
                <w:szCs w:val="16"/>
                <w:color w:val="3E3935"/>
              </w:rPr>
              <w:t>No effect</w:t>
            </w:r>
          </w:p>
        </w:tc>
        <w:tc>
          <w:tcPr>
            <w:tcW w:w="0" w:type="dxa"/>
            <w:vAlign w:val="bottom"/>
          </w:tcPr>
          <w:p>
            <w:pPr>
              <w:spacing w:after="0"/>
              <w:rPr>
                <w:sz w:val="1"/>
                <w:szCs w:val="1"/>
                <w:color w:val="auto"/>
              </w:rPr>
            </w:pPr>
          </w:p>
        </w:tc>
      </w:tr>
      <w:tr>
        <w:trPr>
          <w:trHeight w:val="224"/>
        </w:trPr>
        <w:tc>
          <w:tcPr>
            <w:tcW w:w="860" w:type="dxa"/>
            <w:vAlign w:val="bottom"/>
            <w:tcBorders>
              <w:left w:val="single" w:sz="8" w:color="00C1DE"/>
              <w:bottom w:val="single" w:sz="8" w:color="00C1DE"/>
            </w:tcBorders>
          </w:tcPr>
          <w:p>
            <w:pPr>
              <w:spacing w:after="0"/>
              <w:rPr>
                <w:sz w:val="19"/>
                <w:szCs w:val="19"/>
                <w:color w:val="auto"/>
              </w:rPr>
            </w:pPr>
          </w:p>
        </w:tc>
        <w:tc>
          <w:tcPr>
            <w:tcW w:w="3000" w:type="dxa"/>
            <w:vAlign w:val="bottom"/>
            <w:tcBorders>
              <w:bottom w:val="single" w:sz="8" w:color="00C1DE"/>
              <w:right w:val="single" w:sz="8" w:color="3E3935"/>
            </w:tcBorders>
          </w:tcPr>
          <w:p>
            <w:pPr>
              <w:ind w:left="60"/>
              <w:spacing w:after="0"/>
              <w:rPr>
                <w:sz w:val="20"/>
                <w:szCs w:val="20"/>
                <w:color w:val="auto"/>
              </w:rPr>
            </w:pPr>
            <w:r>
              <w:rPr>
                <w:rFonts w:ascii="Arial" w:cs="Arial" w:eastAsia="Arial" w:hAnsi="Arial"/>
                <w:sz w:val="16"/>
                <w:szCs w:val="16"/>
                <w:color w:val="3E3935"/>
              </w:rPr>
              <w:t>Targets</w:t>
            </w:r>
          </w:p>
        </w:tc>
        <w:tc>
          <w:tcPr>
            <w:tcW w:w="1620" w:type="dxa"/>
            <w:vAlign w:val="bottom"/>
            <w:tcBorders>
              <w:bottom w:val="single" w:sz="8" w:color="00C1DE"/>
              <w:right w:val="single" w:sz="8" w:color="3E3935"/>
            </w:tcBorders>
          </w:tcPr>
          <w:p>
            <w:pPr>
              <w:spacing w:after="0"/>
              <w:rPr>
                <w:sz w:val="19"/>
                <w:szCs w:val="19"/>
                <w:color w:val="auto"/>
              </w:rPr>
            </w:pPr>
          </w:p>
        </w:tc>
        <w:tc>
          <w:tcPr>
            <w:tcW w:w="3040" w:type="dxa"/>
            <w:vAlign w:val="bottom"/>
            <w:tcBorders>
              <w:bottom w:val="single" w:sz="8" w:color="00C1DE"/>
              <w:right w:val="single" w:sz="8" w:color="3E3935"/>
            </w:tcBorders>
          </w:tcPr>
          <w:p>
            <w:pPr>
              <w:spacing w:after="0"/>
              <w:rPr>
                <w:sz w:val="19"/>
                <w:szCs w:val="19"/>
                <w:color w:val="auto"/>
              </w:rPr>
            </w:pPr>
          </w:p>
        </w:tc>
        <w:tc>
          <w:tcPr>
            <w:tcW w:w="1180" w:type="dxa"/>
            <w:vAlign w:val="bottom"/>
            <w:tcBorders>
              <w:bottom w:val="single" w:sz="8" w:color="3E3935"/>
              <w:right w:val="single" w:sz="8" w:color="3E3935"/>
            </w:tcBorders>
          </w:tcPr>
          <w:p>
            <w:pPr>
              <w:spacing w:after="0"/>
              <w:rPr>
                <w:sz w:val="19"/>
                <w:szCs w:val="19"/>
                <w:color w:val="auto"/>
              </w:rPr>
            </w:pPr>
          </w:p>
        </w:tc>
        <w:tc>
          <w:tcPr>
            <w:tcW w:w="1220" w:type="dxa"/>
            <w:vAlign w:val="bottom"/>
            <w:tcBorders>
              <w:bottom w:val="single" w:sz="8" w:color="00C1DE"/>
              <w:right w:val="single" w:sz="8" w:color="00C1DE"/>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51" w:lineRule="exact"/>
        <w:rPr>
          <w:sz w:val="20"/>
          <w:szCs w:val="20"/>
          <w:color w:val="auto"/>
        </w:rPr>
      </w:pPr>
    </w:p>
    <w:p>
      <w:pPr>
        <w:ind w:left="540" w:hanging="424"/>
        <w:spacing w:after="0" w:line="269" w:lineRule="auto"/>
        <w:tabs>
          <w:tab w:leader="none" w:pos="540" w:val="left"/>
        </w:tabs>
        <w:numPr>
          <w:ilvl w:val="0"/>
          <w:numId w:val="155"/>
        </w:numPr>
        <w:rPr>
          <w:rFonts w:ascii="Arial" w:cs="Arial" w:eastAsia="Arial" w:hAnsi="Arial"/>
          <w:sz w:val="18"/>
          <w:szCs w:val="18"/>
          <w:i w:val="1"/>
          <w:iCs w:val="1"/>
          <w:color w:val="3E3935"/>
        </w:rPr>
      </w:pPr>
      <w:r>
        <w:rPr>
          <w:rFonts w:ascii="Arial" w:cs="Arial" w:eastAsia="Arial" w:hAnsi="Arial"/>
          <w:sz w:val="18"/>
          <w:szCs w:val="18"/>
          <w:i w:val="1"/>
          <w:iCs w:val="1"/>
          <w:color w:val="3E3935"/>
        </w:rPr>
        <w:t>See sections 1.7 and 2.2(c) of the Company’s Bylaws for a description of the vote requirements and the impact of abstentions and broker non-votes on the meeting agenda items listed above.</w:t>
      </w:r>
    </w:p>
    <w:p>
      <w:pPr>
        <w:spacing w:after="0" w:line="273" w:lineRule="exact"/>
        <w:rPr>
          <w:sz w:val="20"/>
          <w:szCs w:val="20"/>
          <w:color w:val="auto"/>
        </w:rPr>
      </w:pPr>
    </w:p>
    <w:p>
      <w:pPr>
        <w:ind w:left="660" w:hanging="544"/>
        <w:spacing w:after="0"/>
        <w:tabs>
          <w:tab w:leader="none" w:pos="660" w:val="left"/>
        </w:tabs>
        <w:numPr>
          <w:ilvl w:val="0"/>
          <w:numId w:val="156"/>
        </w:numPr>
        <w:rPr>
          <w:rFonts w:ascii="Times New Roman" w:cs="Times New Roman" w:eastAsia="Times New Roman" w:hAnsi="Times New Roman"/>
          <w:sz w:val="19"/>
          <w:szCs w:val="19"/>
          <w:color w:val="0071CE"/>
        </w:rPr>
      </w:pPr>
      <w:r>
        <w:rPr>
          <w:rFonts w:ascii="Arial" w:cs="Arial" w:eastAsia="Arial" w:hAnsi="Arial"/>
          <w:sz w:val="25"/>
          <w:szCs w:val="25"/>
          <w:color w:val="3E3935"/>
        </w:rPr>
        <w:t>Other Matters to Be Presented at the Annual Meeting</w:t>
      </w:r>
    </w:p>
    <w:p>
      <w:pPr>
        <w:spacing w:after="0" w:line="145" w:lineRule="exact"/>
        <w:rPr>
          <w:sz w:val="20"/>
          <w:szCs w:val="20"/>
          <w:color w:val="auto"/>
        </w:rPr>
      </w:pPr>
    </w:p>
    <w:p>
      <w:pPr>
        <w:jc w:val="both"/>
        <w:ind w:left="120"/>
        <w:spacing w:after="0" w:line="237" w:lineRule="auto"/>
        <w:rPr>
          <w:sz w:val="20"/>
          <w:szCs w:val="20"/>
          <w:color w:val="auto"/>
        </w:rPr>
      </w:pPr>
      <w:r>
        <w:rPr>
          <w:rFonts w:ascii="Arial" w:cs="Arial" w:eastAsia="Arial" w:hAnsi="Arial"/>
          <w:sz w:val="20"/>
          <w:szCs w:val="20"/>
          <w:color w:val="3E3935"/>
        </w:rPr>
        <w:t>We do not know of any matters to be voted on by shareholders at the Annual Meeting other than those included in this Proxy Statement. If any matter other than the election of directors or items 2 through 7 in this Proxy Statement is properly presented at the meeting, your executed proxy gives the Proxies discretionary authority to vote your shares in accordance with their best judgment with respect to the matter presented.</w:t>
      </w:r>
    </w:p>
    <w:p>
      <w:pPr>
        <w:spacing w:after="0" w:line="116" w:lineRule="exact"/>
        <w:rPr>
          <w:sz w:val="20"/>
          <w:szCs w:val="20"/>
          <w:color w:val="auto"/>
        </w:rPr>
      </w:pPr>
    </w:p>
    <w:p>
      <w:pPr>
        <w:ind w:left="10580"/>
        <w:spacing w:after="0"/>
        <w:rPr>
          <w:sz w:val="20"/>
          <w:szCs w:val="20"/>
          <w:color w:val="auto"/>
        </w:rPr>
      </w:pPr>
      <w:r>
        <w:rPr>
          <w:rFonts w:ascii="Arial" w:cs="Arial" w:eastAsia="Arial" w:hAnsi="Arial"/>
          <w:sz w:val="14"/>
          <w:szCs w:val="14"/>
          <w:color w:val="0071CE"/>
        </w:rPr>
        <w:t>105</w:t>
      </w:r>
    </w:p>
    <w:p>
      <w:pPr>
        <w:sectPr>
          <w:pgSz w:w="11900" w:h="16838" w:orient="portrait"/>
          <w:cols w:equalWidth="0" w:num="1">
            <w:col w:w="11120"/>
          </w:cols>
          <w:pgMar w:left="320" w:top="482" w:right="45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5" w:lineRule="exact"/>
        <w:rPr>
          <w:sz w:val="20"/>
          <w:szCs w:val="20"/>
          <w:color w:val="auto"/>
        </w:rPr>
      </w:pPr>
    </w:p>
    <w:p>
      <w:pPr>
        <w:ind w:left="660" w:hanging="544"/>
        <w:spacing w:after="0"/>
        <w:tabs>
          <w:tab w:leader="none" w:pos="660" w:val="left"/>
        </w:tabs>
        <w:numPr>
          <w:ilvl w:val="0"/>
          <w:numId w:val="157"/>
        </w:numPr>
        <w:rPr>
          <w:rFonts w:ascii="Times New Roman" w:cs="Times New Roman" w:eastAsia="Times New Roman" w:hAnsi="Times New Roman"/>
          <w:sz w:val="19"/>
          <w:szCs w:val="19"/>
          <w:color w:val="0071CE"/>
        </w:rPr>
      </w:pPr>
      <w:r>
        <w:rPr>
          <w:rFonts w:ascii="Arial" w:cs="Arial" w:eastAsia="Arial" w:hAnsi="Arial"/>
          <w:sz w:val="25"/>
          <w:szCs w:val="25"/>
          <w:color w:val="3E3935"/>
        </w:rPr>
        <w:t>Attending the Virtual Annual Meeting</w:t>
      </w:r>
    </w:p>
    <w:p>
      <w:pPr>
        <w:spacing w:after="0" w:line="159" w:lineRule="exact"/>
        <w:rPr>
          <w:sz w:val="20"/>
          <w:szCs w:val="20"/>
          <w:color w:val="auto"/>
        </w:rPr>
      </w:pPr>
    </w:p>
    <w:p>
      <w:pPr>
        <w:ind w:left="120" w:right="20"/>
        <w:spacing w:after="0" w:line="257" w:lineRule="auto"/>
        <w:rPr>
          <w:sz w:val="20"/>
          <w:szCs w:val="20"/>
          <w:color w:val="auto"/>
        </w:rPr>
      </w:pPr>
      <w:r>
        <w:rPr>
          <w:rFonts w:ascii="Arial" w:cs="Arial" w:eastAsia="Arial" w:hAnsi="Arial"/>
          <w:sz w:val="20"/>
          <w:szCs w:val="20"/>
          <w:color w:val="3E3935"/>
        </w:rPr>
        <w:t>The Annual Meeting will be held virtually again this year. If circumstances warrant, the Board and certain members of management may dial in to the webinar from remote locations and will not be present in person.</w:t>
      </w:r>
    </w:p>
    <w:p>
      <w:pPr>
        <w:spacing w:after="0" w:line="184" w:lineRule="exact"/>
        <w:rPr>
          <w:sz w:val="20"/>
          <w:szCs w:val="20"/>
          <w:color w:val="auto"/>
        </w:rPr>
      </w:pPr>
    </w:p>
    <w:tbl>
      <w:tblPr>
        <w:tblLayout w:type="fixed"/>
        <w:tblInd w:w="190" w:type="dxa"/>
        <w:tblCellMar>
          <w:top w:w="0" w:type="dxa"/>
          <w:left w:w="0" w:type="dxa"/>
          <w:bottom w:w="0" w:type="dxa"/>
          <w:right w:w="0" w:type="dxa"/>
        </w:tblCellMar>
      </w:tblPr>
      <w:tr>
        <w:trPr>
          <w:trHeight w:val="260"/>
        </w:trPr>
        <w:tc>
          <w:tcPr>
            <w:tcW w:w="2560" w:type="dxa"/>
            <w:vAlign w:val="bottom"/>
            <w:tcBorders>
              <w:top w:val="single" w:sz="8" w:color="3E3935"/>
              <w:left w:val="single" w:sz="8" w:color="3E3935"/>
              <w:right w:val="single" w:sz="8" w:color="3E3935"/>
            </w:tcBorders>
          </w:tcPr>
          <w:p>
            <w:pPr>
              <w:ind w:left="160"/>
              <w:spacing w:after="0"/>
              <w:rPr>
                <w:sz w:val="20"/>
                <w:szCs w:val="20"/>
                <w:color w:val="auto"/>
              </w:rPr>
            </w:pPr>
            <w:r>
              <w:rPr>
                <w:rFonts w:ascii="Arial" w:cs="Arial" w:eastAsia="Arial" w:hAnsi="Arial"/>
                <w:sz w:val="20"/>
                <w:szCs w:val="20"/>
                <w:b w:val="1"/>
                <w:bCs w:val="1"/>
                <w:color w:val="00C1DE"/>
              </w:rPr>
              <w:t>How to Participate in</w:t>
            </w:r>
          </w:p>
        </w:tc>
        <w:tc>
          <w:tcPr>
            <w:tcW w:w="8360" w:type="dxa"/>
            <w:vAlign w:val="bottom"/>
            <w:tcBorders>
              <w:top w:val="single" w:sz="8" w:color="3E3935"/>
              <w:right w:val="single" w:sz="8" w:color="3E3935"/>
            </w:tcBorders>
          </w:tcPr>
          <w:p>
            <w:pPr>
              <w:ind w:left="200"/>
              <w:spacing w:after="0"/>
              <w:rPr>
                <w:sz w:val="20"/>
                <w:szCs w:val="20"/>
                <w:color w:val="auto"/>
              </w:rPr>
            </w:pPr>
            <w:r>
              <w:rPr>
                <w:rFonts w:ascii="Arial" w:cs="Arial" w:eastAsia="Arial" w:hAnsi="Arial"/>
                <w:sz w:val="20"/>
                <w:szCs w:val="20"/>
                <w:color w:val="3E3935"/>
              </w:rPr>
              <w:t xml:space="preserve">1.  Visit </w:t>
            </w:r>
            <w:r>
              <w:rPr>
                <w:rFonts w:ascii="Arial" w:cs="Arial" w:eastAsia="Arial" w:hAnsi="Arial"/>
                <w:sz w:val="20"/>
                <w:szCs w:val="20"/>
                <w:i w:val="1"/>
                <w:iCs w:val="1"/>
                <w:color w:val="00C1DE"/>
              </w:rPr>
              <w:t>virtualshareholdermeeting.com/GM2023</w:t>
            </w:r>
            <w:r>
              <w:rPr>
                <w:rFonts w:ascii="Arial" w:cs="Arial" w:eastAsia="Arial" w:hAnsi="Arial"/>
                <w:sz w:val="20"/>
                <w:szCs w:val="20"/>
                <w:color w:val="3E3935"/>
              </w:rPr>
              <w:t>; and</w:t>
            </w:r>
          </w:p>
        </w:tc>
      </w:tr>
      <w:tr>
        <w:trPr>
          <w:trHeight w:val="216"/>
        </w:trPr>
        <w:tc>
          <w:tcPr>
            <w:tcW w:w="2560" w:type="dxa"/>
            <w:vAlign w:val="bottom"/>
            <w:tcBorders>
              <w:left w:val="single" w:sz="8" w:color="3E3935"/>
              <w:right w:val="single" w:sz="8" w:color="3E3935"/>
            </w:tcBorders>
          </w:tcPr>
          <w:p>
            <w:pPr>
              <w:ind w:left="160"/>
              <w:spacing w:after="0" w:line="216" w:lineRule="exact"/>
              <w:rPr>
                <w:sz w:val="20"/>
                <w:szCs w:val="20"/>
                <w:color w:val="auto"/>
              </w:rPr>
            </w:pPr>
            <w:r>
              <w:rPr>
                <w:rFonts w:ascii="Arial" w:cs="Arial" w:eastAsia="Arial" w:hAnsi="Arial"/>
                <w:sz w:val="20"/>
                <w:szCs w:val="20"/>
                <w:b w:val="1"/>
                <w:bCs w:val="1"/>
                <w:color w:val="00C1DE"/>
              </w:rPr>
              <w:t>the Annual Meeting</w:t>
            </w:r>
          </w:p>
        </w:tc>
        <w:tc>
          <w:tcPr>
            <w:tcW w:w="8360" w:type="dxa"/>
            <w:vAlign w:val="bottom"/>
            <w:tcBorders>
              <w:right w:val="single" w:sz="8" w:color="3E3935"/>
            </w:tcBorders>
          </w:tcPr>
          <w:p>
            <w:pPr>
              <w:ind w:left="200"/>
              <w:spacing w:after="0" w:line="216" w:lineRule="exact"/>
              <w:rPr>
                <w:sz w:val="20"/>
                <w:szCs w:val="20"/>
                <w:color w:val="auto"/>
              </w:rPr>
            </w:pPr>
            <w:r>
              <w:rPr>
                <w:rFonts w:ascii="Arial" w:cs="Arial" w:eastAsia="Arial" w:hAnsi="Arial"/>
                <w:sz w:val="20"/>
                <w:szCs w:val="20"/>
                <w:color w:val="3E3935"/>
              </w:rPr>
              <w:t>2. Enter the 16-digit control number included on your Notice, on your proxy card (if you</w:t>
            </w:r>
          </w:p>
        </w:tc>
      </w:tr>
      <w:tr>
        <w:trPr>
          <w:trHeight w:val="218"/>
        </w:trPr>
        <w:tc>
          <w:tcPr>
            <w:tcW w:w="2560" w:type="dxa"/>
            <w:vAlign w:val="bottom"/>
            <w:tcBorders>
              <w:left w:val="single" w:sz="8" w:color="3E3935"/>
              <w:right w:val="single" w:sz="8" w:color="3E3935"/>
            </w:tcBorders>
          </w:tcPr>
          <w:p>
            <w:pPr>
              <w:ind w:left="160"/>
              <w:spacing w:after="0" w:line="218" w:lineRule="exact"/>
              <w:rPr>
                <w:sz w:val="20"/>
                <w:szCs w:val="20"/>
                <w:color w:val="auto"/>
              </w:rPr>
            </w:pPr>
            <w:r>
              <w:rPr>
                <w:rFonts w:ascii="Arial" w:cs="Arial" w:eastAsia="Arial" w:hAnsi="Arial"/>
                <w:sz w:val="20"/>
                <w:szCs w:val="20"/>
                <w:b w:val="1"/>
                <w:bCs w:val="1"/>
                <w:color w:val="00C1DE"/>
              </w:rPr>
              <w:t>Online</w:t>
            </w:r>
          </w:p>
        </w:tc>
        <w:tc>
          <w:tcPr>
            <w:tcW w:w="8360" w:type="dxa"/>
            <w:vAlign w:val="bottom"/>
            <w:tcBorders>
              <w:right w:val="single" w:sz="8" w:color="3E3935"/>
            </w:tcBorders>
          </w:tcPr>
          <w:p>
            <w:pPr>
              <w:ind w:left="380"/>
              <w:spacing w:after="0" w:line="218" w:lineRule="exact"/>
              <w:rPr>
                <w:sz w:val="20"/>
                <w:szCs w:val="20"/>
                <w:color w:val="auto"/>
              </w:rPr>
            </w:pPr>
            <w:r>
              <w:rPr>
                <w:rFonts w:ascii="Arial" w:cs="Arial" w:eastAsia="Arial" w:hAnsi="Arial"/>
                <w:sz w:val="20"/>
                <w:szCs w:val="20"/>
                <w:color w:val="3E3935"/>
              </w:rPr>
              <w:t>received a printed copy of the proxy materials), or on the instructions that accompanied</w:t>
            </w:r>
          </w:p>
        </w:tc>
      </w:tr>
      <w:tr>
        <w:trPr>
          <w:trHeight w:val="261"/>
        </w:trPr>
        <w:tc>
          <w:tcPr>
            <w:tcW w:w="2560" w:type="dxa"/>
            <w:vAlign w:val="bottom"/>
            <w:tcBorders>
              <w:left w:val="single" w:sz="8" w:color="3E3935"/>
              <w:right w:val="single" w:sz="8" w:color="3E3935"/>
            </w:tcBorders>
          </w:tcPr>
          <w:p>
            <w:pPr>
              <w:spacing w:after="0"/>
              <w:rPr>
                <w:sz w:val="22"/>
                <w:szCs w:val="22"/>
                <w:color w:val="auto"/>
              </w:rPr>
            </w:pPr>
          </w:p>
        </w:tc>
        <w:tc>
          <w:tcPr>
            <w:tcW w:w="8360" w:type="dxa"/>
            <w:vAlign w:val="bottom"/>
            <w:tcBorders>
              <w:right w:val="single" w:sz="8" w:color="3E3935"/>
            </w:tcBorders>
          </w:tcPr>
          <w:p>
            <w:pPr>
              <w:ind w:left="380"/>
              <w:spacing w:after="0"/>
              <w:rPr>
                <w:sz w:val="20"/>
                <w:szCs w:val="20"/>
                <w:color w:val="auto"/>
              </w:rPr>
            </w:pPr>
            <w:r>
              <w:rPr>
                <w:rFonts w:ascii="Arial" w:cs="Arial" w:eastAsia="Arial" w:hAnsi="Arial"/>
                <w:sz w:val="20"/>
                <w:szCs w:val="20"/>
                <w:color w:val="3E3935"/>
              </w:rPr>
              <w:t>your proxy materials.</w:t>
            </w:r>
          </w:p>
        </w:tc>
      </w:tr>
      <w:tr>
        <w:trPr>
          <w:trHeight w:val="252"/>
        </w:trPr>
        <w:tc>
          <w:tcPr>
            <w:tcW w:w="2560" w:type="dxa"/>
            <w:vAlign w:val="bottom"/>
            <w:tcBorders>
              <w:left w:val="single" w:sz="8" w:color="3E3935"/>
              <w:right w:val="single" w:sz="8" w:color="3E3935"/>
            </w:tcBorders>
          </w:tcPr>
          <w:p>
            <w:pPr>
              <w:spacing w:after="0"/>
              <w:rPr>
                <w:sz w:val="21"/>
                <w:szCs w:val="21"/>
                <w:color w:val="auto"/>
              </w:rPr>
            </w:pPr>
          </w:p>
        </w:tc>
        <w:tc>
          <w:tcPr>
            <w:tcW w:w="8360" w:type="dxa"/>
            <w:vAlign w:val="bottom"/>
            <w:tcBorders>
              <w:right w:val="single" w:sz="8" w:color="3E3935"/>
            </w:tcBorders>
          </w:tcPr>
          <w:p>
            <w:pPr>
              <w:ind w:left="200"/>
              <w:spacing w:after="0"/>
              <w:rPr>
                <w:sz w:val="20"/>
                <w:szCs w:val="20"/>
                <w:color w:val="auto"/>
              </w:rPr>
            </w:pPr>
            <w:r>
              <w:rPr>
                <w:rFonts w:ascii="Arial" w:cs="Arial" w:eastAsia="Arial" w:hAnsi="Arial"/>
                <w:sz w:val="20"/>
                <w:szCs w:val="20"/>
                <w:color w:val="3E3935"/>
              </w:rPr>
              <w:t>You may begin to log into the meeting platform beginning at 11:15 a.m. Eastern Time on</w:t>
            </w:r>
          </w:p>
        </w:tc>
      </w:tr>
      <w:tr>
        <w:trPr>
          <w:trHeight w:val="251"/>
        </w:trPr>
        <w:tc>
          <w:tcPr>
            <w:tcW w:w="2560" w:type="dxa"/>
            <w:vAlign w:val="bottom"/>
            <w:tcBorders>
              <w:left w:val="single" w:sz="8" w:color="3E3935"/>
              <w:bottom w:val="single" w:sz="8" w:color="3E3935"/>
              <w:right w:val="single" w:sz="8" w:color="3E3935"/>
            </w:tcBorders>
          </w:tcPr>
          <w:p>
            <w:pPr>
              <w:spacing w:after="0"/>
              <w:rPr>
                <w:sz w:val="21"/>
                <w:szCs w:val="21"/>
                <w:color w:val="auto"/>
              </w:rPr>
            </w:pPr>
          </w:p>
        </w:tc>
        <w:tc>
          <w:tcPr>
            <w:tcW w:w="8360" w:type="dxa"/>
            <w:vAlign w:val="bottom"/>
            <w:tcBorders>
              <w:bottom w:val="single" w:sz="8" w:color="3E3935"/>
              <w:right w:val="single" w:sz="8" w:color="3E3935"/>
            </w:tcBorders>
          </w:tcPr>
          <w:p>
            <w:pPr>
              <w:ind w:left="200"/>
              <w:spacing w:after="0"/>
              <w:rPr>
                <w:sz w:val="20"/>
                <w:szCs w:val="20"/>
                <w:color w:val="auto"/>
              </w:rPr>
            </w:pPr>
            <w:r>
              <w:rPr>
                <w:rFonts w:ascii="Arial" w:cs="Arial" w:eastAsia="Arial" w:hAnsi="Arial"/>
                <w:sz w:val="20"/>
                <w:szCs w:val="20"/>
                <w:color w:val="3E3935"/>
              </w:rPr>
              <w:t>June 20, 2023. The meeting will begin promptly at 11:30 a.m. Eastern Time.</w:t>
            </w:r>
          </w:p>
        </w:tc>
      </w:tr>
      <w:tr>
        <w:trPr>
          <w:trHeight w:val="240"/>
        </w:trPr>
        <w:tc>
          <w:tcPr>
            <w:tcW w:w="2560" w:type="dxa"/>
            <w:vAlign w:val="bottom"/>
            <w:tcBorders>
              <w:left w:val="single" w:sz="8" w:color="3E3935"/>
              <w:right w:val="single" w:sz="8" w:color="3E3935"/>
            </w:tcBorders>
          </w:tcPr>
          <w:p>
            <w:pPr>
              <w:ind w:left="160"/>
              <w:spacing w:after="0"/>
              <w:rPr>
                <w:sz w:val="20"/>
                <w:szCs w:val="20"/>
                <w:color w:val="auto"/>
              </w:rPr>
            </w:pPr>
            <w:r>
              <w:rPr>
                <w:rFonts w:ascii="Arial" w:cs="Arial" w:eastAsia="Arial" w:hAnsi="Arial"/>
                <w:sz w:val="20"/>
                <w:szCs w:val="20"/>
                <w:b w:val="1"/>
                <w:bCs w:val="1"/>
                <w:color w:val="00C1DE"/>
              </w:rPr>
              <w:t>How to Participate in</w:t>
            </w:r>
          </w:p>
        </w:tc>
        <w:tc>
          <w:tcPr>
            <w:tcW w:w="8360" w:type="dxa"/>
            <w:vAlign w:val="bottom"/>
            <w:tcBorders>
              <w:right w:val="single" w:sz="8" w:color="3E3935"/>
            </w:tcBorders>
          </w:tcPr>
          <w:p>
            <w:pPr>
              <w:ind w:left="200"/>
              <w:spacing w:after="0"/>
              <w:rPr>
                <w:sz w:val="20"/>
                <w:szCs w:val="20"/>
                <w:color w:val="auto"/>
              </w:rPr>
            </w:pPr>
            <w:r>
              <w:rPr>
                <w:rFonts w:ascii="Arial" w:cs="Arial" w:eastAsia="Arial" w:hAnsi="Arial"/>
                <w:sz w:val="20"/>
                <w:szCs w:val="20"/>
                <w:color w:val="3E3935"/>
              </w:rPr>
              <w:t>Call (877) 328-2502 (toll free) or (412) 317-5419 (international) to listen to the meeting</w:t>
            </w:r>
          </w:p>
        </w:tc>
      </w:tr>
      <w:tr>
        <w:trPr>
          <w:trHeight w:val="216"/>
        </w:trPr>
        <w:tc>
          <w:tcPr>
            <w:tcW w:w="2560" w:type="dxa"/>
            <w:vAlign w:val="bottom"/>
            <w:tcBorders>
              <w:left w:val="single" w:sz="8" w:color="3E3935"/>
              <w:right w:val="single" w:sz="8" w:color="3E3935"/>
            </w:tcBorders>
          </w:tcPr>
          <w:p>
            <w:pPr>
              <w:ind w:left="160"/>
              <w:spacing w:after="0" w:line="216" w:lineRule="exact"/>
              <w:rPr>
                <w:sz w:val="20"/>
                <w:szCs w:val="20"/>
                <w:color w:val="auto"/>
              </w:rPr>
            </w:pPr>
            <w:r>
              <w:rPr>
                <w:rFonts w:ascii="Arial" w:cs="Arial" w:eastAsia="Arial" w:hAnsi="Arial"/>
                <w:sz w:val="20"/>
                <w:szCs w:val="20"/>
                <w:b w:val="1"/>
                <w:bCs w:val="1"/>
                <w:color w:val="00C1DE"/>
              </w:rPr>
              <w:t>the Annual Meeting</w:t>
            </w:r>
          </w:p>
        </w:tc>
        <w:tc>
          <w:tcPr>
            <w:tcW w:w="8360" w:type="dxa"/>
            <w:vAlign w:val="bottom"/>
            <w:tcBorders>
              <w:right w:val="single" w:sz="8" w:color="3E3935"/>
            </w:tcBorders>
          </w:tcPr>
          <w:p>
            <w:pPr>
              <w:ind w:left="200"/>
              <w:spacing w:after="0" w:line="216" w:lineRule="exact"/>
              <w:rPr>
                <w:sz w:val="20"/>
                <w:szCs w:val="20"/>
                <w:color w:val="auto"/>
              </w:rPr>
            </w:pPr>
            <w:r>
              <w:rPr>
                <w:rFonts w:ascii="Arial" w:cs="Arial" w:eastAsia="Arial" w:hAnsi="Arial"/>
                <w:sz w:val="20"/>
                <w:szCs w:val="20"/>
                <w:color w:val="3E3935"/>
              </w:rPr>
              <w:t>proceedings. If you join via phone, you will not be able to vote your shares during the</w:t>
            </w:r>
          </w:p>
        </w:tc>
      </w:tr>
      <w:tr>
        <w:trPr>
          <w:trHeight w:val="216"/>
        </w:trPr>
        <w:tc>
          <w:tcPr>
            <w:tcW w:w="2560" w:type="dxa"/>
            <w:vAlign w:val="bottom"/>
            <w:tcBorders>
              <w:left w:val="single" w:sz="8" w:color="3E3935"/>
              <w:right w:val="single" w:sz="8" w:color="3E3935"/>
            </w:tcBorders>
          </w:tcPr>
          <w:p>
            <w:pPr>
              <w:ind w:left="160"/>
              <w:spacing w:after="0" w:line="216" w:lineRule="exact"/>
              <w:rPr>
                <w:sz w:val="20"/>
                <w:szCs w:val="20"/>
                <w:color w:val="auto"/>
              </w:rPr>
            </w:pPr>
            <w:r>
              <w:rPr>
                <w:rFonts w:ascii="Arial" w:cs="Arial" w:eastAsia="Arial" w:hAnsi="Arial"/>
                <w:sz w:val="20"/>
                <w:szCs w:val="20"/>
                <w:b w:val="1"/>
                <w:bCs w:val="1"/>
                <w:color w:val="00C1DE"/>
              </w:rPr>
              <w:t>Without Internet</w:t>
            </w:r>
          </w:p>
        </w:tc>
        <w:tc>
          <w:tcPr>
            <w:tcW w:w="8360" w:type="dxa"/>
            <w:vAlign w:val="bottom"/>
            <w:tcBorders>
              <w:right w:val="single" w:sz="8" w:color="3E3935"/>
            </w:tcBorders>
          </w:tcPr>
          <w:p>
            <w:pPr>
              <w:ind w:left="200"/>
              <w:spacing w:after="0" w:line="216" w:lineRule="exact"/>
              <w:rPr>
                <w:sz w:val="20"/>
                <w:szCs w:val="20"/>
                <w:color w:val="auto"/>
              </w:rPr>
            </w:pPr>
            <w:r>
              <w:rPr>
                <w:rFonts w:ascii="Arial" w:cs="Arial" w:eastAsia="Arial" w:hAnsi="Arial"/>
                <w:sz w:val="20"/>
                <w:szCs w:val="20"/>
                <w:color w:val="3E3935"/>
              </w:rPr>
              <w:t>meeting.</w:t>
            </w:r>
          </w:p>
        </w:tc>
      </w:tr>
      <w:tr>
        <w:trPr>
          <w:trHeight w:val="240"/>
        </w:trPr>
        <w:tc>
          <w:tcPr>
            <w:tcW w:w="2560" w:type="dxa"/>
            <w:vAlign w:val="bottom"/>
            <w:tcBorders>
              <w:left w:val="single" w:sz="8" w:color="3E3935"/>
              <w:bottom w:val="single" w:sz="8" w:color="3E3935"/>
              <w:right w:val="single" w:sz="8" w:color="3E3935"/>
            </w:tcBorders>
          </w:tcPr>
          <w:p>
            <w:pPr>
              <w:ind w:left="160"/>
              <w:spacing w:after="0"/>
              <w:rPr>
                <w:sz w:val="20"/>
                <w:szCs w:val="20"/>
                <w:color w:val="auto"/>
              </w:rPr>
            </w:pPr>
            <w:r>
              <w:rPr>
                <w:rFonts w:ascii="Arial" w:cs="Arial" w:eastAsia="Arial" w:hAnsi="Arial"/>
                <w:sz w:val="20"/>
                <w:szCs w:val="20"/>
                <w:b w:val="1"/>
                <w:bCs w:val="1"/>
                <w:color w:val="00C1DE"/>
              </w:rPr>
              <w:t>Access</w:t>
            </w:r>
          </w:p>
        </w:tc>
        <w:tc>
          <w:tcPr>
            <w:tcW w:w="8360" w:type="dxa"/>
            <w:vAlign w:val="bottom"/>
            <w:tcBorders>
              <w:bottom w:val="single" w:sz="8" w:color="3E3935"/>
              <w:right w:val="single" w:sz="8" w:color="3E3935"/>
            </w:tcBorders>
          </w:tcPr>
          <w:p>
            <w:pPr>
              <w:spacing w:after="0"/>
              <w:rPr>
                <w:sz w:val="20"/>
                <w:szCs w:val="20"/>
                <w:color w:val="auto"/>
              </w:rPr>
            </w:pPr>
          </w:p>
        </w:tc>
      </w:tr>
      <w:tr>
        <w:trPr>
          <w:trHeight w:val="240"/>
        </w:trPr>
        <w:tc>
          <w:tcPr>
            <w:tcW w:w="2560" w:type="dxa"/>
            <w:vAlign w:val="bottom"/>
            <w:tcBorders>
              <w:left w:val="single" w:sz="8" w:color="3E3935"/>
              <w:right w:val="single" w:sz="8" w:color="3E3935"/>
            </w:tcBorders>
          </w:tcPr>
          <w:p>
            <w:pPr>
              <w:ind w:left="160"/>
              <w:spacing w:after="0"/>
              <w:rPr>
                <w:sz w:val="20"/>
                <w:szCs w:val="20"/>
                <w:color w:val="auto"/>
              </w:rPr>
            </w:pPr>
            <w:r>
              <w:rPr>
                <w:rFonts w:ascii="Arial" w:cs="Arial" w:eastAsia="Arial" w:hAnsi="Arial"/>
                <w:sz w:val="20"/>
                <w:szCs w:val="20"/>
                <w:b w:val="1"/>
                <w:bCs w:val="1"/>
                <w:color w:val="00C1DE"/>
              </w:rPr>
              <w:t>How to Participate in</w:t>
            </w:r>
          </w:p>
        </w:tc>
        <w:tc>
          <w:tcPr>
            <w:tcW w:w="8360" w:type="dxa"/>
            <w:vAlign w:val="bottom"/>
            <w:tcBorders>
              <w:right w:val="single" w:sz="8" w:color="3E3935"/>
            </w:tcBorders>
          </w:tcPr>
          <w:p>
            <w:pPr>
              <w:ind w:left="200"/>
              <w:spacing w:after="0"/>
              <w:rPr>
                <w:sz w:val="20"/>
                <w:szCs w:val="20"/>
                <w:color w:val="auto"/>
              </w:rPr>
            </w:pPr>
            <w:r>
              <w:rPr>
                <w:rFonts w:ascii="Arial" w:cs="Arial" w:eastAsia="Arial" w:hAnsi="Arial"/>
                <w:sz w:val="20"/>
                <w:szCs w:val="20"/>
                <w:color w:val="3E3935"/>
              </w:rPr>
              <w:t xml:space="preserve">Visit </w:t>
            </w:r>
            <w:r>
              <w:rPr>
                <w:rFonts w:ascii="Arial" w:cs="Arial" w:eastAsia="Arial" w:hAnsi="Arial"/>
                <w:sz w:val="20"/>
                <w:szCs w:val="20"/>
                <w:i w:val="1"/>
                <w:iCs w:val="1"/>
                <w:color w:val="00C1DE"/>
              </w:rPr>
              <w:t>virtualshareholdermeeting.com/GM2023</w:t>
            </w:r>
            <w:r>
              <w:rPr>
                <w:rFonts w:ascii="Arial" w:cs="Arial" w:eastAsia="Arial" w:hAnsi="Arial"/>
                <w:sz w:val="20"/>
                <w:szCs w:val="20"/>
                <w:color w:val="3E3935"/>
              </w:rPr>
              <w:t xml:space="preserve"> and register as a guest. If you join as a guest,</w:t>
            </w:r>
          </w:p>
        </w:tc>
      </w:tr>
      <w:tr>
        <w:trPr>
          <w:trHeight w:val="216"/>
        </w:trPr>
        <w:tc>
          <w:tcPr>
            <w:tcW w:w="2560" w:type="dxa"/>
            <w:vAlign w:val="bottom"/>
            <w:tcBorders>
              <w:left w:val="single" w:sz="8" w:color="3E3935"/>
              <w:right w:val="single" w:sz="8" w:color="3E3935"/>
            </w:tcBorders>
          </w:tcPr>
          <w:p>
            <w:pPr>
              <w:ind w:left="160"/>
              <w:spacing w:after="0" w:line="216" w:lineRule="exact"/>
              <w:rPr>
                <w:sz w:val="20"/>
                <w:szCs w:val="20"/>
                <w:color w:val="auto"/>
              </w:rPr>
            </w:pPr>
            <w:r>
              <w:rPr>
                <w:rFonts w:ascii="Arial" w:cs="Arial" w:eastAsia="Arial" w:hAnsi="Arial"/>
                <w:sz w:val="20"/>
                <w:szCs w:val="20"/>
                <w:b w:val="1"/>
                <w:bCs w:val="1"/>
                <w:color w:val="00C1DE"/>
              </w:rPr>
              <w:t>the Annual Meeting</w:t>
            </w:r>
          </w:p>
        </w:tc>
        <w:tc>
          <w:tcPr>
            <w:tcW w:w="8360" w:type="dxa"/>
            <w:vAlign w:val="bottom"/>
            <w:tcBorders>
              <w:right w:val="single" w:sz="8" w:color="3E3935"/>
            </w:tcBorders>
          </w:tcPr>
          <w:p>
            <w:pPr>
              <w:ind w:left="200"/>
              <w:spacing w:after="0" w:line="216" w:lineRule="exact"/>
              <w:rPr>
                <w:sz w:val="20"/>
                <w:szCs w:val="20"/>
                <w:color w:val="auto"/>
              </w:rPr>
            </w:pPr>
            <w:r>
              <w:rPr>
                <w:rFonts w:ascii="Arial" w:cs="Arial" w:eastAsia="Arial" w:hAnsi="Arial"/>
                <w:sz w:val="20"/>
                <w:szCs w:val="20"/>
                <w:color w:val="3E3935"/>
              </w:rPr>
              <w:t>you will not be able to vote your shares or ask questions during the meeting.</w:t>
            </w:r>
          </w:p>
        </w:tc>
      </w:tr>
      <w:tr>
        <w:trPr>
          <w:trHeight w:val="216"/>
        </w:trPr>
        <w:tc>
          <w:tcPr>
            <w:tcW w:w="2560" w:type="dxa"/>
            <w:vAlign w:val="bottom"/>
            <w:tcBorders>
              <w:left w:val="single" w:sz="8" w:color="3E3935"/>
              <w:right w:val="single" w:sz="8" w:color="3E3935"/>
            </w:tcBorders>
          </w:tcPr>
          <w:p>
            <w:pPr>
              <w:ind w:left="160"/>
              <w:spacing w:after="0" w:line="216" w:lineRule="exact"/>
              <w:rPr>
                <w:sz w:val="20"/>
                <w:szCs w:val="20"/>
                <w:color w:val="auto"/>
              </w:rPr>
            </w:pPr>
            <w:r>
              <w:rPr>
                <w:rFonts w:ascii="Arial" w:cs="Arial" w:eastAsia="Arial" w:hAnsi="Arial"/>
                <w:sz w:val="20"/>
                <w:szCs w:val="20"/>
                <w:b w:val="1"/>
                <w:bCs w:val="1"/>
                <w:color w:val="00C1DE"/>
              </w:rPr>
              <w:t>Without a 16-digit</w:t>
            </w:r>
          </w:p>
        </w:tc>
        <w:tc>
          <w:tcPr>
            <w:tcW w:w="8360" w:type="dxa"/>
            <w:vAlign w:val="bottom"/>
            <w:tcBorders>
              <w:right w:val="single" w:sz="8" w:color="3E3935"/>
            </w:tcBorders>
          </w:tcPr>
          <w:p>
            <w:pPr>
              <w:spacing w:after="0"/>
              <w:rPr>
                <w:sz w:val="18"/>
                <w:szCs w:val="18"/>
                <w:color w:val="auto"/>
              </w:rPr>
            </w:pPr>
          </w:p>
        </w:tc>
      </w:tr>
      <w:tr>
        <w:trPr>
          <w:trHeight w:val="240"/>
        </w:trPr>
        <w:tc>
          <w:tcPr>
            <w:tcW w:w="2560" w:type="dxa"/>
            <w:vAlign w:val="bottom"/>
            <w:tcBorders>
              <w:left w:val="single" w:sz="8" w:color="3E3935"/>
              <w:bottom w:val="single" w:sz="8" w:color="3E3935"/>
              <w:right w:val="single" w:sz="8" w:color="3E3935"/>
            </w:tcBorders>
          </w:tcPr>
          <w:p>
            <w:pPr>
              <w:ind w:left="160"/>
              <w:spacing w:after="0"/>
              <w:rPr>
                <w:sz w:val="20"/>
                <w:szCs w:val="20"/>
                <w:color w:val="auto"/>
              </w:rPr>
            </w:pPr>
            <w:r>
              <w:rPr>
                <w:rFonts w:ascii="Arial" w:cs="Arial" w:eastAsia="Arial" w:hAnsi="Arial"/>
                <w:sz w:val="20"/>
                <w:szCs w:val="20"/>
                <w:b w:val="1"/>
                <w:bCs w:val="1"/>
                <w:color w:val="00C1DE"/>
              </w:rPr>
              <w:t>Control Number</w:t>
            </w:r>
          </w:p>
        </w:tc>
        <w:tc>
          <w:tcPr>
            <w:tcW w:w="8360" w:type="dxa"/>
            <w:vAlign w:val="bottom"/>
            <w:tcBorders>
              <w:bottom w:val="single" w:sz="8" w:color="3E3935"/>
              <w:right w:val="single" w:sz="8" w:color="3E3935"/>
            </w:tcBorders>
          </w:tcPr>
          <w:p>
            <w:pPr>
              <w:spacing w:after="0"/>
              <w:rPr>
                <w:sz w:val="20"/>
                <w:szCs w:val="20"/>
                <w:color w:val="auto"/>
              </w:rPr>
            </w:pPr>
          </w:p>
        </w:tc>
      </w:tr>
      <w:tr>
        <w:trPr>
          <w:trHeight w:val="240"/>
        </w:trPr>
        <w:tc>
          <w:tcPr>
            <w:tcW w:w="2560" w:type="dxa"/>
            <w:vAlign w:val="bottom"/>
            <w:tcBorders>
              <w:left w:val="single" w:sz="8" w:color="3E3935"/>
              <w:right w:val="single" w:sz="8" w:color="3E3935"/>
            </w:tcBorders>
          </w:tcPr>
          <w:p>
            <w:pPr>
              <w:ind w:left="160"/>
              <w:spacing w:after="0"/>
              <w:rPr>
                <w:sz w:val="20"/>
                <w:szCs w:val="20"/>
                <w:color w:val="auto"/>
              </w:rPr>
            </w:pPr>
            <w:r>
              <w:rPr>
                <w:rFonts w:ascii="Arial" w:cs="Arial" w:eastAsia="Arial" w:hAnsi="Arial"/>
                <w:sz w:val="20"/>
                <w:szCs w:val="20"/>
                <w:b w:val="1"/>
                <w:bCs w:val="1"/>
                <w:color w:val="00C1DE"/>
              </w:rPr>
              <w:t>For Help with</w:t>
            </w:r>
          </w:p>
        </w:tc>
        <w:tc>
          <w:tcPr>
            <w:tcW w:w="8360" w:type="dxa"/>
            <w:vAlign w:val="bottom"/>
            <w:tcBorders>
              <w:right w:val="single" w:sz="8" w:color="3E3935"/>
            </w:tcBorders>
          </w:tcPr>
          <w:p>
            <w:pPr>
              <w:ind w:left="200"/>
              <w:spacing w:after="0"/>
              <w:rPr>
                <w:sz w:val="20"/>
                <w:szCs w:val="20"/>
                <w:color w:val="auto"/>
              </w:rPr>
            </w:pPr>
            <w:r>
              <w:rPr>
                <w:rFonts w:ascii="Arial" w:cs="Arial" w:eastAsia="Arial" w:hAnsi="Arial"/>
                <w:sz w:val="20"/>
                <w:szCs w:val="20"/>
                <w:color w:val="3E3935"/>
              </w:rPr>
              <w:t>Call (844) 986-0822 (U.S.) or (303) 562-9302 (international) for assistance.</w:t>
            </w:r>
          </w:p>
        </w:tc>
      </w:tr>
      <w:tr>
        <w:trPr>
          <w:trHeight w:val="240"/>
        </w:trPr>
        <w:tc>
          <w:tcPr>
            <w:tcW w:w="2560" w:type="dxa"/>
            <w:vAlign w:val="bottom"/>
            <w:tcBorders>
              <w:left w:val="single" w:sz="8" w:color="3E3935"/>
              <w:bottom w:val="single" w:sz="8" w:color="3E3935"/>
              <w:right w:val="single" w:sz="8" w:color="3E3935"/>
            </w:tcBorders>
          </w:tcPr>
          <w:p>
            <w:pPr>
              <w:ind w:left="160"/>
              <w:spacing w:after="0"/>
              <w:rPr>
                <w:sz w:val="20"/>
                <w:szCs w:val="20"/>
                <w:color w:val="auto"/>
              </w:rPr>
            </w:pPr>
            <w:r>
              <w:rPr>
                <w:rFonts w:ascii="Arial" w:cs="Arial" w:eastAsia="Arial" w:hAnsi="Arial"/>
                <w:sz w:val="20"/>
                <w:szCs w:val="20"/>
                <w:b w:val="1"/>
                <w:bCs w:val="1"/>
                <w:color w:val="00C1DE"/>
              </w:rPr>
              <w:t>Technical Difficulties</w:t>
            </w:r>
          </w:p>
        </w:tc>
        <w:tc>
          <w:tcPr>
            <w:tcW w:w="8360" w:type="dxa"/>
            <w:vAlign w:val="bottom"/>
            <w:tcBorders>
              <w:bottom w:val="single" w:sz="8" w:color="3E3935"/>
              <w:right w:val="single" w:sz="8" w:color="3E3935"/>
            </w:tcBorders>
          </w:tcPr>
          <w:p>
            <w:pPr>
              <w:spacing w:after="0"/>
              <w:rPr>
                <w:sz w:val="20"/>
                <w:szCs w:val="20"/>
                <w:color w:val="auto"/>
              </w:rPr>
            </w:pPr>
          </w:p>
        </w:tc>
      </w:tr>
      <w:tr>
        <w:trPr>
          <w:trHeight w:val="264"/>
        </w:trPr>
        <w:tc>
          <w:tcPr>
            <w:tcW w:w="2560" w:type="dxa"/>
            <w:vAlign w:val="bottom"/>
            <w:tcBorders>
              <w:left w:val="single" w:sz="8" w:color="3E3935"/>
              <w:bottom w:val="single" w:sz="8" w:color="3E3935"/>
              <w:right w:val="single" w:sz="8" w:color="3E3935"/>
            </w:tcBorders>
          </w:tcPr>
          <w:p>
            <w:pPr>
              <w:ind w:left="160"/>
              <w:spacing w:after="0"/>
              <w:rPr>
                <w:sz w:val="20"/>
                <w:szCs w:val="20"/>
                <w:color w:val="auto"/>
              </w:rPr>
            </w:pPr>
            <w:r>
              <w:rPr>
                <w:rFonts w:ascii="Arial" w:cs="Arial" w:eastAsia="Arial" w:hAnsi="Arial"/>
                <w:sz w:val="20"/>
                <w:szCs w:val="20"/>
                <w:b w:val="1"/>
                <w:bCs w:val="1"/>
                <w:color w:val="00C1DE"/>
              </w:rPr>
              <w:t>Additional Questions</w:t>
            </w:r>
          </w:p>
        </w:tc>
        <w:tc>
          <w:tcPr>
            <w:tcW w:w="8360" w:type="dxa"/>
            <w:vAlign w:val="bottom"/>
            <w:tcBorders>
              <w:bottom w:val="single" w:sz="8" w:color="3E3935"/>
              <w:right w:val="single" w:sz="8" w:color="3E3935"/>
            </w:tcBorders>
          </w:tcPr>
          <w:p>
            <w:pPr>
              <w:ind w:left="200"/>
              <w:spacing w:after="0"/>
              <w:rPr>
                <w:sz w:val="20"/>
                <w:szCs w:val="20"/>
                <w:color w:val="auto"/>
              </w:rPr>
            </w:pPr>
            <w:r>
              <w:rPr>
                <w:rFonts w:ascii="Arial" w:cs="Arial" w:eastAsia="Arial" w:hAnsi="Arial"/>
                <w:sz w:val="20"/>
                <w:szCs w:val="20"/>
                <w:color w:val="3E3935"/>
              </w:rPr>
              <w:t xml:space="preserve">Email GM Shareholder Relations at </w:t>
            </w:r>
            <w:r>
              <w:rPr>
                <w:rFonts w:ascii="Arial" w:cs="Arial" w:eastAsia="Arial" w:hAnsi="Arial"/>
                <w:sz w:val="20"/>
                <w:szCs w:val="20"/>
                <w:i w:val="1"/>
                <w:iCs w:val="1"/>
                <w:color w:val="00C1DE"/>
              </w:rPr>
              <w:t>shareholder.relations@gm.com</w:t>
            </w:r>
            <w:r>
              <w:rPr>
                <w:rFonts w:ascii="Arial" w:cs="Arial" w:eastAsia="Arial" w:hAnsi="Arial"/>
                <w:sz w:val="20"/>
                <w:szCs w:val="20"/>
                <w:color w:val="3E3935"/>
              </w:rPr>
              <w:t xml:space="preserve"> or call (313) 667-1432.</w:t>
            </w:r>
          </w:p>
        </w:tc>
      </w:tr>
    </w:tbl>
    <w:p>
      <w:pPr>
        <w:spacing w:after="0" w:line="315" w:lineRule="exact"/>
        <w:rPr>
          <w:sz w:val="20"/>
          <w:szCs w:val="20"/>
          <w:color w:val="auto"/>
        </w:rPr>
      </w:pPr>
    </w:p>
    <w:p>
      <w:pPr>
        <w:ind w:left="660" w:hanging="544"/>
        <w:spacing w:after="0"/>
        <w:tabs>
          <w:tab w:leader="none" w:pos="660" w:val="left"/>
        </w:tabs>
        <w:numPr>
          <w:ilvl w:val="0"/>
          <w:numId w:val="158"/>
        </w:numPr>
        <w:rPr>
          <w:rFonts w:ascii="Times New Roman" w:cs="Times New Roman" w:eastAsia="Times New Roman" w:hAnsi="Times New Roman"/>
          <w:sz w:val="19"/>
          <w:szCs w:val="19"/>
          <w:color w:val="0071CE"/>
        </w:rPr>
      </w:pPr>
      <w:r>
        <w:rPr>
          <w:rFonts w:ascii="Arial" w:cs="Arial" w:eastAsia="Arial" w:hAnsi="Arial"/>
          <w:sz w:val="25"/>
          <w:szCs w:val="25"/>
          <w:color w:val="3E3935"/>
        </w:rPr>
        <w:t>Submitting Questions for Our Online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116205</wp:posOffset>
            </wp:positionH>
            <wp:positionV relativeFrom="paragraph">
              <wp:posOffset>157480</wp:posOffset>
            </wp:positionV>
            <wp:extent cx="6926580" cy="120840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6926580" cy="1208405"/>
                    </a:xfrm>
                    <a:prstGeom prst="rect">
                      <a:avLst/>
                    </a:prstGeom>
                    <a:noFill/>
                  </pic:spPr>
                </pic:pic>
              </a:graphicData>
            </a:graphic>
          </wp:anchor>
        </w:drawing>
      </w:r>
    </w:p>
    <w:p>
      <w:pPr>
        <w:spacing w:after="0" w:line="274" w:lineRule="exact"/>
        <w:rPr>
          <w:sz w:val="20"/>
          <w:szCs w:val="20"/>
          <w:color w:val="auto"/>
        </w:rPr>
      </w:pPr>
    </w:p>
    <w:p>
      <w:pPr>
        <w:ind w:left="2840"/>
        <w:spacing w:after="0"/>
        <w:rPr>
          <w:sz w:val="20"/>
          <w:szCs w:val="20"/>
          <w:color w:val="auto"/>
        </w:rPr>
      </w:pPr>
      <w:r>
        <w:rPr>
          <w:rFonts w:ascii="Arial" w:cs="Arial" w:eastAsia="Arial" w:hAnsi="Arial"/>
          <w:sz w:val="20"/>
          <w:szCs w:val="20"/>
          <w:color w:val="3E3935"/>
        </w:rPr>
        <w:t xml:space="preserve">1.  Log in to </w:t>
      </w:r>
      <w:r>
        <w:rPr>
          <w:rFonts w:ascii="Arial" w:cs="Arial" w:eastAsia="Arial" w:hAnsi="Arial"/>
          <w:sz w:val="20"/>
          <w:szCs w:val="20"/>
          <w:i w:val="1"/>
          <w:iCs w:val="1"/>
          <w:color w:val="00C1DE"/>
        </w:rPr>
        <w:t>proxyvote.com</w:t>
      </w:r>
      <w:r>
        <w:rPr>
          <w:rFonts w:ascii="Arial" w:cs="Arial" w:eastAsia="Arial" w:hAnsi="Arial"/>
          <w:sz w:val="20"/>
          <w:szCs w:val="20"/>
          <w:color w:val="3E3935"/>
        </w:rPr>
        <w:t>;</w:t>
      </w:r>
    </w:p>
    <w:p>
      <w:pPr>
        <w:ind w:left="340"/>
        <w:spacing w:after="0"/>
        <w:tabs>
          <w:tab w:leader="none" w:pos="2820" w:val="left"/>
        </w:tabs>
        <w:rPr>
          <w:sz w:val="20"/>
          <w:szCs w:val="20"/>
          <w:color w:val="auto"/>
        </w:rPr>
      </w:pPr>
      <w:r>
        <w:rPr>
          <w:rFonts w:ascii="Arial" w:cs="Arial" w:eastAsia="Arial" w:hAnsi="Arial"/>
          <w:sz w:val="20"/>
          <w:szCs w:val="20"/>
          <w:b w:val="1"/>
          <w:bCs w:val="1"/>
          <w:color w:val="00C1DE"/>
        </w:rPr>
        <w:t>Submitting Questions</w:t>
      </w:r>
      <w:r>
        <w:rPr>
          <w:sz w:val="20"/>
          <w:szCs w:val="20"/>
          <w:color w:val="auto"/>
        </w:rPr>
        <w:tab/>
      </w:r>
      <w:r>
        <w:rPr>
          <w:rFonts w:ascii="Arial" w:cs="Arial" w:eastAsia="Arial" w:hAnsi="Arial"/>
          <w:sz w:val="19"/>
          <w:szCs w:val="19"/>
          <w:color w:val="3E3935"/>
        </w:rPr>
        <w:t>2. Enter your 16-digit control number; and</w:t>
      </w:r>
    </w:p>
    <w:p>
      <w:pPr>
        <w:ind w:left="2840" w:right="400" w:hanging="2712"/>
        <w:spacing w:after="0" w:line="239" w:lineRule="auto"/>
        <w:tabs>
          <w:tab w:leader="none" w:pos="2820" w:val="left"/>
        </w:tabs>
        <w:rPr>
          <w:sz w:val="20"/>
          <w:szCs w:val="20"/>
          <w:color w:val="auto"/>
        </w:rPr>
      </w:pPr>
      <w:r>
        <w:rPr>
          <w:rFonts w:ascii="Arial" w:cs="Arial" w:eastAsia="Arial" w:hAnsi="Arial"/>
          <w:sz w:val="20"/>
          <w:szCs w:val="20"/>
          <w:b w:val="1"/>
          <w:bCs w:val="1"/>
          <w:color w:val="00C1DE"/>
        </w:rPr>
        <w:t>Before the Meeting</w:t>
      </w:r>
      <w:r>
        <w:rPr>
          <w:sz w:val="20"/>
          <w:szCs w:val="20"/>
          <w:color w:val="auto"/>
        </w:rPr>
        <w:tab/>
      </w:r>
      <w:r>
        <w:rPr>
          <w:rFonts w:ascii="Arial" w:cs="Arial" w:eastAsia="Arial" w:hAnsi="Arial"/>
          <w:sz w:val="20"/>
          <w:szCs w:val="20"/>
          <w:color w:val="3E3935"/>
        </w:rPr>
        <w:t>3. Once past the login screen, click on “Questions for Management,” type in your question, and click “Submit.”</w:t>
      </w:r>
    </w:p>
    <w:p>
      <w:pPr>
        <w:spacing w:after="0" w:line="37" w:lineRule="exact"/>
        <w:rPr>
          <w:sz w:val="20"/>
          <w:szCs w:val="20"/>
          <w:color w:val="auto"/>
        </w:rPr>
      </w:pPr>
    </w:p>
    <w:p>
      <w:pPr>
        <w:ind w:left="2840"/>
        <w:spacing w:after="0"/>
        <w:rPr>
          <w:sz w:val="20"/>
          <w:szCs w:val="20"/>
          <w:color w:val="auto"/>
        </w:rPr>
      </w:pPr>
      <w:r>
        <w:rPr>
          <w:rFonts w:ascii="Arial" w:cs="Arial" w:eastAsia="Arial" w:hAnsi="Arial"/>
          <w:sz w:val="19"/>
          <w:szCs w:val="19"/>
          <w:color w:val="3E3935"/>
        </w:rPr>
        <w:t xml:space="preserve">1.  Log in to the online meeting platform at </w:t>
      </w:r>
      <w:r>
        <w:rPr>
          <w:rFonts w:ascii="Arial" w:cs="Arial" w:eastAsia="Arial" w:hAnsi="Arial"/>
          <w:sz w:val="19"/>
          <w:szCs w:val="19"/>
          <w:i w:val="1"/>
          <w:iCs w:val="1"/>
          <w:color w:val="00C1DE"/>
        </w:rPr>
        <w:t>virtualshareholdermeeting.com/GM2023</w:t>
      </w:r>
      <w:r>
        <w:rPr>
          <w:rFonts w:ascii="Arial" w:cs="Arial" w:eastAsia="Arial" w:hAnsi="Arial"/>
          <w:sz w:val="19"/>
          <w:szCs w:val="19"/>
          <w:color w:val="3E3935"/>
        </w:rPr>
        <w:t>, type your</w:t>
      </w:r>
    </w:p>
    <w:p>
      <w:pPr>
        <w:spacing w:after="0" w:line="2" w:lineRule="exact"/>
        <w:rPr>
          <w:sz w:val="20"/>
          <w:szCs w:val="20"/>
          <w:color w:val="auto"/>
        </w:rPr>
      </w:pPr>
    </w:p>
    <w:p>
      <w:pPr>
        <w:ind w:left="340"/>
        <w:spacing w:after="0"/>
        <w:tabs>
          <w:tab w:leader="none" w:pos="3020" w:val="left"/>
        </w:tabs>
        <w:rPr>
          <w:sz w:val="20"/>
          <w:szCs w:val="20"/>
          <w:color w:val="auto"/>
        </w:rPr>
      </w:pPr>
      <w:r>
        <w:rPr>
          <w:rFonts w:ascii="Arial" w:cs="Arial" w:eastAsia="Arial" w:hAnsi="Arial"/>
          <w:sz w:val="20"/>
          <w:szCs w:val="20"/>
          <w:b w:val="1"/>
          <w:bCs w:val="1"/>
          <w:color w:val="00C1DE"/>
        </w:rPr>
        <w:t>Submitting Questions</w:t>
      </w:r>
      <w:r>
        <w:rPr>
          <w:sz w:val="20"/>
          <w:szCs w:val="20"/>
          <w:color w:val="auto"/>
        </w:rPr>
        <w:tab/>
      </w:r>
      <w:r>
        <w:rPr>
          <w:rFonts w:ascii="Arial" w:cs="Arial" w:eastAsia="Arial" w:hAnsi="Arial"/>
          <w:sz w:val="19"/>
          <w:szCs w:val="19"/>
          <w:color w:val="3E3935"/>
        </w:rPr>
        <w:t>question in the “Ask a Question” field, and click “Submit”; or</w:t>
      </w:r>
    </w:p>
    <w:p>
      <w:pPr>
        <w:jc w:val="center"/>
        <w:ind w:right="260"/>
        <w:spacing w:after="0" w:line="239" w:lineRule="auto"/>
        <w:rPr>
          <w:sz w:val="20"/>
          <w:szCs w:val="20"/>
          <w:color w:val="auto"/>
        </w:rPr>
      </w:pPr>
      <w:r>
        <w:rPr>
          <w:rFonts w:ascii="Arial" w:cs="Arial" w:eastAsia="Arial" w:hAnsi="Arial"/>
          <w:sz w:val="20"/>
          <w:szCs w:val="20"/>
          <w:b w:val="1"/>
          <w:bCs w:val="1"/>
          <w:color w:val="00C1DE"/>
        </w:rPr>
        <w:t xml:space="preserve">During the Meeting       </w:t>
      </w:r>
      <w:r>
        <w:rPr>
          <w:rFonts w:ascii="Arial" w:cs="Arial" w:eastAsia="Arial" w:hAnsi="Arial"/>
          <w:sz w:val="20"/>
          <w:szCs w:val="20"/>
          <w:color w:val="3E3935"/>
        </w:rPr>
        <w:t>2. Call (877) 328-2502 (toll free) or (412) 317-5419 (international) and press *1 when we</w:t>
      </w:r>
      <w:r>
        <w:rPr>
          <w:rFonts w:ascii="Arial" w:cs="Arial" w:eastAsia="Arial" w:hAnsi="Arial"/>
          <w:sz w:val="20"/>
          <w:szCs w:val="20"/>
          <w:b w:val="1"/>
          <w:bCs w:val="1"/>
          <w:color w:val="00C1DE"/>
        </w:rPr>
        <w:t xml:space="preserve"> </w:t>
      </w:r>
      <w:r>
        <w:rPr>
          <w:rFonts w:ascii="Arial" w:cs="Arial" w:eastAsia="Arial" w:hAnsi="Arial"/>
          <w:sz w:val="20"/>
          <w:szCs w:val="20"/>
          <w:color w:val="3E3935"/>
        </w:rPr>
        <w:t>announce the question and answer session has opened.</w:t>
      </w:r>
    </w:p>
    <w:p>
      <w:pPr>
        <w:spacing w:after="0" w:line="131" w:lineRule="exact"/>
        <w:rPr>
          <w:sz w:val="20"/>
          <w:szCs w:val="20"/>
          <w:color w:val="auto"/>
        </w:rPr>
      </w:pPr>
    </w:p>
    <w:p>
      <w:pPr>
        <w:ind w:left="120"/>
        <w:spacing w:after="0"/>
        <w:rPr>
          <w:sz w:val="20"/>
          <w:szCs w:val="20"/>
          <w:color w:val="auto"/>
        </w:rPr>
      </w:pPr>
      <w:r>
        <w:rPr>
          <w:rFonts w:ascii="Arial" w:cs="Arial" w:eastAsia="Arial" w:hAnsi="Arial"/>
          <w:sz w:val="20"/>
          <w:szCs w:val="20"/>
          <w:color w:val="3E3935"/>
        </w:rPr>
        <w:t>Only shareholders with a valid control number will be allowed to ask questions.</w:t>
      </w:r>
    </w:p>
    <w:p>
      <w:pPr>
        <w:spacing w:after="0" w:line="121" w:lineRule="exact"/>
        <w:rPr>
          <w:sz w:val="20"/>
          <w:szCs w:val="20"/>
          <w:color w:val="auto"/>
        </w:rPr>
      </w:pPr>
    </w:p>
    <w:p>
      <w:pPr>
        <w:jc w:val="both"/>
        <w:ind w:left="120"/>
        <w:spacing w:after="0" w:line="237" w:lineRule="auto"/>
        <w:rPr>
          <w:sz w:val="20"/>
          <w:szCs w:val="20"/>
          <w:color w:val="auto"/>
        </w:rPr>
      </w:pPr>
      <w:r>
        <w:rPr>
          <w:rFonts w:ascii="Arial" w:cs="Arial" w:eastAsia="Arial" w:hAnsi="Arial"/>
          <w:sz w:val="20"/>
          <w:szCs w:val="20"/>
          <w:color w:val="3E3935"/>
        </w:rPr>
        <w:t xml:space="preserve">Questions pertinent to meeting matters will be answered during the meeting, subject to time constraints. If there are questions pertinent to meeting matters that cannot be answered during the meeting due to time constraints, management will post answers to a representative set of such questions at </w:t>
      </w:r>
      <w:r>
        <w:rPr>
          <w:rFonts w:ascii="Arial" w:cs="Arial" w:eastAsia="Arial" w:hAnsi="Arial"/>
          <w:sz w:val="20"/>
          <w:szCs w:val="20"/>
          <w:i w:val="1"/>
          <w:iCs w:val="1"/>
          <w:color w:val="00C1DE"/>
        </w:rPr>
        <w:t>investor.gm.com/shareholder</w:t>
      </w:r>
      <w:r>
        <w:rPr>
          <w:rFonts w:ascii="Arial" w:cs="Arial" w:eastAsia="Arial" w:hAnsi="Arial"/>
          <w:sz w:val="20"/>
          <w:szCs w:val="20"/>
          <w:color w:val="3E3935"/>
        </w:rPr>
        <w:t>. The questions and answers will be available as soon as practicable after the meeting and will remain available until GM’s 2024 proxy statement is filed.</w:t>
      </w:r>
    </w:p>
    <w:p>
      <w:pPr>
        <w:spacing w:after="0" w:line="116" w:lineRule="exact"/>
        <w:rPr>
          <w:sz w:val="20"/>
          <w:szCs w:val="20"/>
          <w:color w:val="auto"/>
        </w:rPr>
      </w:pPr>
    </w:p>
    <w:p>
      <w:pPr>
        <w:jc w:val="center"/>
        <w:ind w:right="10680"/>
        <w:spacing w:after="0"/>
        <w:rPr>
          <w:sz w:val="20"/>
          <w:szCs w:val="20"/>
          <w:color w:val="auto"/>
        </w:rPr>
      </w:pPr>
      <w:r>
        <w:rPr>
          <w:rFonts w:ascii="Arial" w:cs="Arial" w:eastAsia="Arial" w:hAnsi="Arial"/>
          <w:sz w:val="14"/>
          <w:szCs w:val="14"/>
          <w:color w:val="0071CE"/>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wp:posOffset>
            </wp:positionH>
            <wp:positionV relativeFrom="paragraph">
              <wp:posOffset>-95885</wp:posOffset>
            </wp:positionV>
            <wp:extent cx="5983605" cy="10287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5983605" cy="102870"/>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5" w:lineRule="exact"/>
        <w:rPr>
          <w:sz w:val="20"/>
          <w:szCs w:val="20"/>
          <w:color w:val="auto"/>
        </w:rPr>
      </w:pPr>
    </w:p>
    <w:p>
      <w:pPr>
        <w:ind w:left="660" w:hanging="544"/>
        <w:spacing w:after="0"/>
        <w:tabs>
          <w:tab w:leader="none" w:pos="660" w:val="left"/>
        </w:tabs>
        <w:numPr>
          <w:ilvl w:val="0"/>
          <w:numId w:val="159"/>
        </w:numPr>
        <w:rPr>
          <w:rFonts w:ascii="Times New Roman" w:cs="Times New Roman" w:eastAsia="Times New Roman" w:hAnsi="Times New Roman"/>
          <w:sz w:val="19"/>
          <w:szCs w:val="19"/>
          <w:color w:val="0071CE"/>
        </w:rPr>
      </w:pPr>
      <w:r>
        <w:rPr>
          <w:rFonts w:ascii="Arial" w:cs="Arial" w:eastAsia="Arial" w:hAnsi="Arial"/>
          <w:sz w:val="25"/>
          <w:szCs w:val="25"/>
          <w:color w:val="3E3935"/>
        </w:rPr>
        <w:t>Voting at the Annual Meeting</w:t>
      </w:r>
    </w:p>
    <w:p>
      <w:pPr>
        <w:spacing w:after="0" w:line="159" w:lineRule="exact"/>
        <w:rPr>
          <w:sz w:val="20"/>
          <w:szCs w:val="20"/>
          <w:color w:val="auto"/>
        </w:rPr>
      </w:pPr>
    </w:p>
    <w:p>
      <w:pPr>
        <w:jc w:val="both"/>
        <w:ind w:left="120" w:right="20"/>
        <w:spacing w:after="0" w:line="241" w:lineRule="auto"/>
        <w:rPr>
          <w:sz w:val="20"/>
          <w:szCs w:val="20"/>
          <w:color w:val="auto"/>
        </w:rPr>
      </w:pPr>
      <w:r>
        <w:rPr>
          <w:rFonts w:ascii="Arial" w:cs="Arial" w:eastAsia="Arial" w:hAnsi="Arial"/>
          <w:sz w:val="20"/>
          <w:szCs w:val="20"/>
          <w:color w:val="3E3935"/>
        </w:rPr>
        <w:t>Shareholders of record and beneficial owners who join the Annual Meeting online will be able to vote their shares electronically during the meeting. However, even if you plan to participate in the Annual Meeting online, we recommend that you also vote by proxy so that your votes will be counted if you later decide not to participate in the Annual Meeting.</w:t>
      </w:r>
    </w:p>
    <w:p>
      <w:pPr>
        <w:spacing w:after="0" w:line="292" w:lineRule="exact"/>
        <w:rPr>
          <w:sz w:val="20"/>
          <w:szCs w:val="20"/>
          <w:color w:val="auto"/>
        </w:rPr>
      </w:pPr>
    </w:p>
    <w:p>
      <w:pPr>
        <w:ind w:left="660" w:hanging="544"/>
        <w:spacing w:after="0"/>
        <w:tabs>
          <w:tab w:leader="none" w:pos="660" w:val="left"/>
        </w:tabs>
        <w:numPr>
          <w:ilvl w:val="0"/>
          <w:numId w:val="160"/>
        </w:numPr>
        <w:rPr>
          <w:rFonts w:ascii="Times New Roman" w:cs="Times New Roman" w:eastAsia="Times New Roman" w:hAnsi="Times New Roman"/>
          <w:sz w:val="19"/>
          <w:szCs w:val="19"/>
          <w:color w:val="0071CE"/>
        </w:rPr>
      </w:pPr>
      <w:r>
        <w:rPr>
          <w:rFonts w:ascii="Arial" w:cs="Arial" w:eastAsia="Arial" w:hAnsi="Arial"/>
          <w:sz w:val="25"/>
          <w:szCs w:val="25"/>
          <w:color w:val="3E3935"/>
        </w:rPr>
        <w:t>Quorum</w:t>
      </w:r>
    </w:p>
    <w:p>
      <w:pPr>
        <w:spacing w:after="0" w:line="159" w:lineRule="exact"/>
        <w:rPr>
          <w:sz w:val="20"/>
          <w:szCs w:val="20"/>
          <w:color w:val="auto"/>
        </w:rPr>
      </w:pPr>
    </w:p>
    <w:p>
      <w:pPr>
        <w:jc w:val="both"/>
        <w:ind w:left="120"/>
        <w:spacing w:after="0" w:line="241" w:lineRule="auto"/>
        <w:rPr>
          <w:sz w:val="20"/>
          <w:szCs w:val="20"/>
          <w:color w:val="auto"/>
        </w:rPr>
      </w:pPr>
      <w:r>
        <w:rPr>
          <w:rFonts w:ascii="Arial" w:cs="Arial" w:eastAsia="Arial" w:hAnsi="Arial"/>
          <w:sz w:val="20"/>
          <w:szCs w:val="20"/>
          <w:color w:val="3E3935"/>
        </w:rPr>
        <w:t>The presence of the holders of a majority of the outstanding shares of our common stock, in person or by proxy, will constitute a quorum for transacting business at the Annual Meeting. Abstentions and broker non-votes are counted as present for purposes of establishing a quorum at the meeting.</w:t>
      </w:r>
    </w:p>
    <w:p>
      <w:pPr>
        <w:spacing w:after="0" w:line="292" w:lineRule="exact"/>
        <w:rPr>
          <w:sz w:val="20"/>
          <w:szCs w:val="20"/>
          <w:color w:val="auto"/>
        </w:rPr>
      </w:pPr>
    </w:p>
    <w:p>
      <w:pPr>
        <w:ind w:left="660" w:hanging="544"/>
        <w:spacing w:after="0"/>
        <w:tabs>
          <w:tab w:leader="none" w:pos="660" w:val="left"/>
        </w:tabs>
        <w:numPr>
          <w:ilvl w:val="0"/>
          <w:numId w:val="161"/>
        </w:numPr>
        <w:rPr>
          <w:rFonts w:ascii="Times New Roman" w:cs="Times New Roman" w:eastAsia="Times New Roman" w:hAnsi="Times New Roman"/>
          <w:sz w:val="19"/>
          <w:szCs w:val="19"/>
          <w:color w:val="0071CE"/>
        </w:rPr>
      </w:pPr>
      <w:r>
        <w:rPr>
          <w:rFonts w:ascii="Arial" w:cs="Arial" w:eastAsia="Arial" w:hAnsi="Arial"/>
          <w:sz w:val="25"/>
          <w:szCs w:val="25"/>
          <w:color w:val="3E3935"/>
        </w:rPr>
        <w:t>Proxies</w:t>
      </w:r>
    </w:p>
    <w:p>
      <w:pPr>
        <w:spacing w:after="0" w:line="145" w:lineRule="exact"/>
        <w:rPr>
          <w:sz w:val="20"/>
          <w:szCs w:val="20"/>
          <w:color w:val="auto"/>
        </w:rPr>
      </w:pPr>
    </w:p>
    <w:p>
      <w:pPr>
        <w:jc w:val="both"/>
        <w:ind w:left="120" w:right="20"/>
        <w:spacing w:after="0" w:line="237" w:lineRule="auto"/>
        <w:rPr>
          <w:sz w:val="20"/>
          <w:szCs w:val="20"/>
          <w:color w:val="auto"/>
        </w:rPr>
      </w:pPr>
      <w:r>
        <w:rPr>
          <w:rFonts w:ascii="Arial" w:cs="Arial" w:eastAsia="Arial" w:hAnsi="Arial"/>
          <w:sz w:val="20"/>
          <w:szCs w:val="20"/>
          <w:color w:val="3E3935"/>
        </w:rPr>
        <w:t>The Board appointed the following officers to act as Proxies: Mary T. Barra, Craig B. Glidden, and John S. Kim. If you sign and return your proxy card or voting instruction form with voting instructions, one or more of the Proxies will vote your shares as you direct on the matters described in this Proxy Statement. If you sign and return your proxy card or voting instruction form without voting instructions, one or more of the Proxies will vote your shares as recommended by the Board.</w:t>
      </w:r>
    </w:p>
    <w:p>
      <w:pPr>
        <w:spacing w:after="0" w:line="292" w:lineRule="exact"/>
        <w:rPr>
          <w:sz w:val="20"/>
          <w:szCs w:val="20"/>
          <w:color w:val="auto"/>
        </w:rPr>
      </w:pPr>
    </w:p>
    <w:p>
      <w:pPr>
        <w:ind w:left="660" w:hanging="544"/>
        <w:spacing w:after="0"/>
        <w:tabs>
          <w:tab w:leader="none" w:pos="660" w:val="left"/>
        </w:tabs>
        <w:numPr>
          <w:ilvl w:val="0"/>
          <w:numId w:val="162"/>
        </w:numPr>
        <w:rPr>
          <w:rFonts w:ascii="Times New Roman" w:cs="Times New Roman" w:eastAsia="Times New Roman" w:hAnsi="Times New Roman"/>
          <w:sz w:val="19"/>
          <w:szCs w:val="19"/>
          <w:color w:val="0071CE"/>
        </w:rPr>
      </w:pPr>
      <w:r>
        <w:rPr>
          <w:rFonts w:ascii="Arial" w:cs="Arial" w:eastAsia="Arial" w:hAnsi="Arial"/>
          <w:sz w:val="25"/>
          <w:szCs w:val="25"/>
          <w:color w:val="3E3935"/>
        </w:rPr>
        <w:t>Who Can Vote</w:t>
      </w:r>
    </w:p>
    <w:p>
      <w:pPr>
        <w:spacing w:after="0" w:line="159" w:lineRule="exact"/>
        <w:rPr>
          <w:sz w:val="20"/>
          <w:szCs w:val="20"/>
          <w:color w:val="auto"/>
        </w:rPr>
      </w:pPr>
    </w:p>
    <w:p>
      <w:pPr>
        <w:jc w:val="both"/>
        <w:ind w:left="120" w:right="20"/>
        <w:spacing w:after="0" w:line="241" w:lineRule="auto"/>
        <w:rPr>
          <w:sz w:val="20"/>
          <w:szCs w:val="20"/>
          <w:color w:val="auto"/>
        </w:rPr>
      </w:pPr>
      <w:r>
        <w:rPr>
          <w:rFonts w:ascii="Arial" w:cs="Arial" w:eastAsia="Arial" w:hAnsi="Arial"/>
          <w:sz w:val="20"/>
          <w:szCs w:val="20"/>
          <w:color w:val="3E3935"/>
        </w:rPr>
        <w:t>If you are a holder of the Company’s common stock as of the close of business on April 21, 2023, or you hold a valid proxy, you are entitled to vote at the Annual Meeting. On that date, the Company had 1,390,123,499 shares of common stock outstanding and entitled to vote. Each share of our common stock entitles the holder to one vote.</w:t>
      </w:r>
    </w:p>
    <w:p>
      <w:pPr>
        <w:spacing w:after="0" w:line="292" w:lineRule="exact"/>
        <w:rPr>
          <w:sz w:val="20"/>
          <w:szCs w:val="20"/>
          <w:color w:val="auto"/>
        </w:rPr>
      </w:pPr>
    </w:p>
    <w:p>
      <w:pPr>
        <w:ind w:left="660" w:hanging="544"/>
        <w:spacing w:after="0"/>
        <w:tabs>
          <w:tab w:leader="none" w:pos="660" w:val="left"/>
        </w:tabs>
        <w:numPr>
          <w:ilvl w:val="0"/>
          <w:numId w:val="163"/>
        </w:numPr>
        <w:rPr>
          <w:rFonts w:ascii="Times New Roman" w:cs="Times New Roman" w:eastAsia="Times New Roman" w:hAnsi="Times New Roman"/>
          <w:sz w:val="19"/>
          <w:szCs w:val="19"/>
          <w:color w:val="0071CE"/>
        </w:rPr>
      </w:pPr>
      <w:r>
        <w:rPr>
          <w:rFonts w:ascii="Arial" w:cs="Arial" w:eastAsia="Arial" w:hAnsi="Arial"/>
          <w:sz w:val="25"/>
          <w:szCs w:val="25"/>
          <w:color w:val="3E3935"/>
        </w:rPr>
        <w:t>Voting Without Attending the Annual Meeting</w:t>
      </w:r>
    </w:p>
    <w:p>
      <w:pPr>
        <w:spacing w:after="0" w:line="159" w:lineRule="exact"/>
        <w:rPr>
          <w:sz w:val="20"/>
          <w:szCs w:val="20"/>
          <w:color w:val="auto"/>
        </w:rPr>
      </w:pPr>
    </w:p>
    <w:p>
      <w:pPr>
        <w:jc w:val="both"/>
        <w:ind w:left="120" w:right="20"/>
        <w:spacing w:after="0" w:line="233" w:lineRule="auto"/>
        <w:rPr>
          <w:sz w:val="20"/>
          <w:szCs w:val="20"/>
          <w:color w:val="auto"/>
        </w:rPr>
      </w:pPr>
      <w:r>
        <w:rPr>
          <w:rFonts w:ascii="Arial" w:cs="Arial" w:eastAsia="Arial" w:hAnsi="Arial"/>
          <w:sz w:val="20"/>
          <w:szCs w:val="20"/>
          <w:color w:val="3E3935"/>
        </w:rPr>
        <w:t>To vote your shares without attending the Annual Meeting, please follow the instructions for voting provided on the Notice, on your proxy card, or on the voting instructions form. When you timely submit your proxy or voting instructions in the proper form, your shares will be voted according to your instructions. If you sign, date, and return the proxy card or voting instructions form without specifying how you wish to cast your vote, your shares will be voted by the Proxies according to the recommendations of the Board, as indicated above. Internet and telephone voting are available 24 hours a day through 11:59 p.m. Eastern Time on Monday, June 19, 2023.</w:t>
      </w:r>
    </w:p>
    <w:p>
      <w:pPr>
        <w:spacing w:after="0" w:line="293" w:lineRule="exact"/>
        <w:rPr>
          <w:sz w:val="20"/>
          <w:szCs w:val="20"/>
          <w:color w:val="auto"/>
        </w:rPr>
      </w:pPr>
    </w:p>
    <w:p>
      <w:pPr>
        <w:ind w:left="660" w:hanging="544"/>
        <w:spacing w:after="0"/>
        <w:tabs>
          <w:tab w:leader="none" w:pos="660" w:val="left"/>
        </w:tabs>
        <w:numPr>
          <w:ilvl w:val="0"/>
          <w:numId w:val="164"/>
        </w:numPr>
        <w:rPr>
          <w:rFonts w:ascii="Times New Roman" w:cs="Times New Roman" w:eastAsia="Times New Roman" w:hAnsi="Times New Roman"/>
          <w:sz w:val="19"/>
          <w:szCs w:val="19"/>
          <w:color w:val="0071CE"/>
        </w:rPr>
      </w:pPr>
      <w:r>
        <w:rPr>
          <w:rFonts w:ascii="Arial" w:cs="Arial" w:eastAsia="Arial" w:hAnsi="Arial"/>
          <w:sz w:val="25"/>
          <w:szCs w:val="25"/>
          <w:color w:val="3E3935"/>
        </w:rPr>
        <w:t>Revoking Your Proxy</w:t>
      </w:r>
    </w:p>
    <w:p>
      <w:pPr>
        <w:spacing w:after="0" w:line="145" w:lineRule="exact"/>
        <w:rPr>
          <w:sz w:val="20"/>
          <w:szCs w:val="20"/>
          <w:color w:val="auto"/>
        </w:rPr>
      </w:pPr>
    </w:p>
    <w:p>
      <w:pPr>
        <w:jc w:val="both"/>
        <w:ind w:left="120" w:right="20"/>
        <w:spacing w:after="0" w:line="241" w:lineRule="auto"/>
        <w:rPr>
          <w:sz w:val="20"/>
          <w:szCs w:val="20"/>
          <w:color w:val="auto"/>
        </w:rPr>
      </w:pPr>
      <w:r>
        <w:rPr>
          <w:rFonts w:ascii="Arial" w:cs="Arial" w:eastAsia="Arial" w:hAnsi="Arial"/>
          <w:sz w:val="20"/>
          <w:szCs w:val="20"/>
          <w:color w:val="3E3935"/>
        </w:rPr>
        <w:t>After you have submitted your proxy or voting instructions by Internet, telephone, or mail, you may revoke it at any time until it is voted at the Annual Meeting. Your attendance at the Annual Meeting will not cause your previously granted proxy to be revoked unless you specifically make that request or vote your shares electronically during the meeting.</w:t>
      </w:r>
    </w:p>
    <w:p>
      <w:pPr>
        <w:spacing w:after="0" w:line="116" w:lineRule="exact"/>
        <w:rPr>
          <w:sz w:val="20"/>
          <w:szCs w:val="20"/>
          <w:color w:val="auto"/>
        </w:rPr>
      </w:pPr>
    </w:p>
    <w:p>
      <w:pPr>
        <w:ind w:left="10580"/>
        <w:spacing w:after="0"/>
        <w:rPr>
          <w:sz w:val="20"/>
          <w:szCs w:val="20"/>
          <w:color w:val="auto"/>
        </w:rPr>
      </w:pPr>
      <w:r>
        <w:rPr>
          <w:rFonts w:ascii="Arial" w:cs="Arial" w:eastAsia="Arial" w:hAnsi="Arial"/>
          <w:sz w:val="14"/>
          <w:szCs w:val="14"/>
          <w:color w:val="0071CE"/>
        </w:rPr>
        <w:t>107</w:t>
      </w:r>
    </w:p>
    <w:p>
      <w:pPr>
        <w:sectPr>
          <w:pgSz w:w="11900" w:h="16838" w:orient="portrait"/>
          <w:cols w:equalWidth="0" w:num="1">
            <w:col w:w="11140"/>
          </w:cols>
          <w:pgMar w:left="320" w:top="482" w:right="43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6" w:lineRule="exact"/>
        <w:rPr>
          <w:sz w:val="20"/>
          <w:szCs w:val="20"/>
          <w:color w:val="auto"/>
        </w:rPr>
      </w:pPr>
    </w:p>
    <w:p>
      <w:pPr>
        <w:ind w:left="120"/>
        <w:spacing w:after="0"/>
        <w:rPr>
          <w:sz w:val="20"/>
          <w:szCs w:val="20"/>
          <w:color w:val="auto"/>
        </w:rPr>
      </w:pPr>
      <w:r>
        <w:rPr>
          <w:rFonts w:ascii="Arial" w:cs="Arial" w:eastAsia="Arial" w:hAnsi="Arial"/>
          <w:sz w:val="20"/>
          <w:szCs w:val="20"/>
          <w:color w:val="3E3935"/>
        </w:rPr>
        <w:t>To revoke your proxy, follow the instructions below.</w:t>
      </w:r>
    </w:p>
    <w:p>
      <w:pPr>
        <w:spacing w:after="0" w:line="231" w:lineRule="exact"/>
        <w:rPr>
          <w:sz w:val="20"/>
          <w:szCs w:val="20"/>
          <w:color w:val="auto"/>
        </w:rPr>
      </w:pPr>
    </w:p>
    <w:tbl>
      <w:tblPr>
        <w:tblLayout w:type="fixed"/>
        <w:tblInd w:w="130" w:type="dxa"/>
        <w:tblCellMar>
          <w:top w:w="0" w:type="dxa"/>
          <w:left w:w="0" w:type="dxa"/>
          <w:bottom w:w="0" w:type="dxa"/>
          <w:right w:w="0" w:type="dxa"/>
        </w:tblCellMar>
      </w:tblPr>
      <w:tr>
        <w:trPr>
          <w:trHeight w:val="311"/>
        </w:trPr>
        <w:tc>
          <w:tcPr>
            <w:tcW w:w="5320" w:type="dxa"/>
            <w:vAlign w:val="bottom"/>
            <w:tcBorders>
              <w:top w:val="single" w:sz="8" w:color="3E3935"/>
              <w:left w:val="single" w:sz="8" w:color="3E3935"/>
            </w:tcBorders>
            <w:shd w:val="clear" w:color="auto" w:fill="0071CE"/>
          </w:tcPr>
          <w:p>
            <w:pPr>
              <w:ind w:left="1620"/>
              <w:spacing w:after="0"/>
              <w:rPr>
                <w:sz w:val="20"/>
                <w:szCs w:val="20"/>
                <w:color w:val="auto"/>
              </w:rPr>
            </w:pPr>
            <w:r>
              <w:rPr>
                <w:rFonts w:ascii="Arial" w:cs="Arial" w:eastAsia="Arial" w:hAnsi="Arial"/>
                <w:sz w:val="20"/>
                <w:szCs w:val="20"/>
                <w:b w:val="1"/>
                <w:bCs w:val="1"/>
                <w:color w:val="FFFFFF"/>
              </w:rPr>
              <w:t>Shareholders of Record</w:t>
            </w:r>
          </w:p>
        </w:tc>
        <w:tc>
          <w:tcPr>
            <w:tcW w:w="180" w:type="dxa"/>
            <w:vAlign w:val="bottom"/>
            <w:tcBorders>
              <w:top w:val="single" w:sz="8" w:color="3E3935"/>
              <w:right w:val="single" w:sz="8" w:color="3E3935"/>
            </w:tcBorders>
            <w:shd w:val="clear" w:color="auto" w:fill="0071CE"/>
          </w:tcPr>
          <w:p>
            <w:pPr>
              <w:spacing w:after="0"/>
              <w:rPr>
                <w:sz w:val="24"/>
                <w:szCs w:val="24"/>
                <w:color w:val="auto"/>
              </w:rPr>
            </w:pPr>
          </w:p>
        </w:tc>
        <w:tc>
          <w:tcPr>
            <w:tcW w:w="5420" w:type="dxa"/>
            <w:vAlign w:val="bottom"/>
            <w:tcBorders>
              <w:top w:val="single" w:sz="8" w:color="3E3935"/>
              <w:right w:val="single" w:sz="8" w:color="3E3935"/>
            </w:tcBorders>
            <w:shd w:val="clear" w:color="auto" w:fill="0071CE"/>
          </w:tcPr>
          <w:p>
            <w:pPr>
              <w:jc w:val="right"/>
              <w:ind w:right="1380"/>
              <w:spacing w:after="0"/>
              <w:rPr>
                <w:sz w:val="20"/>
                <w:szCs w:val="20"/>
                <w:color w:val="auto"/>
              </w:rPr>
            </w:pPr>
            <w:r>
              <w:rPr>
                <w:rFonts w:ascii="Arial" w:cs="Arial" w:eastAsia="Arial" w:hAnsi="Arial"/>
                <w:sz w:val="20"/>
                <w:szCs w:val="20"/>
                <w:b w:val="1"/>
                <w:bCs w:val="1"/>
                <w:color w:val="FFFFFF"/>
              </w:rPr>
              <w:t>Street Name Shareholders</w:t>
            </w:r>
          </w:p>
        </w:tc>
        <w:tc>
          <w:tcPr>
            <w:tcW w:w="0" w:type="dxa"/>
            <w:vAlign w:val="bottom"/>
          </w:tcPr>
          <w:p>
            <w:pPr>
              <w:spacing w:after="0"/>
              <w:rPr>
                <w:sz w:val="1"/>
                <w:szCs w:val="1"/>
                <w:color w:val="auto"/>
              </w:rPr>
            </w:pPr>
          </w:p>
        </w:tc>
      </w:tr>
      <w:tr>
        <w:trPr>
          <w:trHeight w:val="275"/>
        </w:trPr>
        <w:tc>
          <w:tcPr>
            <w:tcW w:w="5320" w:type="dxa"/>
            <w:vAlign w:val="bottom"/>
            <w:tcBorders>
              <w:left w:val="single" w:sz="8" w:color="3E3935"/>
            </w:tcBorders>
          </w:tcPr>
          <w:p>
            <w:pPr>
              <w:ind w:left="260"/>
              <w:spacing w:after="0"/>
              <w:rPr>
                <w:sz w:val="20"/>
                <w:szCs w:val="20"/>
                <w:color w:val="auto"/>
              </w:rPr>
            </w:pPr>
            <w:r>
              <w:rPr>
                <w:rFonts w:ascii="Arial" w:cs="Arial" w:eastAsia="Arial" w:hAnsi="Arial"/>
                <w:sz w:val="20"/>
                <w:szCs w:val="20"/>
                <w:color w:val="00C1DE"/>
              </w:rPr>
              <w:t>•</w:t>
            </w:r>
            <w:r>
              <w:rPr>
                <w:rFonts w:ascii="Arial" w:cs="Arial" w:eastAsia="Arial" w:hAnsi="Arial"/>
                <w:sz w:val="19"/>
                <w:szCs w:val="19"/>
                <w:color w:val="3E3935"/>
              </w:rPr>
              <w:t xml:space="preserve">   Grant a new proxy bearing a later date (which</w:t>
            </w:r>
          </w:p>
        </w:tc>
        <w:tc>
          <w:tcPr>
            <w:tcW w:w="180" w:type="dxa"/>
            <w:vAlign w:val="bottom"/>
            <w:tcBorders>
              <w:right w:val="single" w:sz="8" w:color="3E3935"/>
            </w:tcBorders>
          </w:tcPr>
          <w:p>
            <w:pPr>
              <w:spacing w:after="0"/>
              <w:rPr>
                <w:sz w:val="23"/>
                <w:szCs w:val="23"/>
                <w:color w:val="auto"/>
              </w:rPr>
            </w:pPr>
          </w:p>
        </w:tc>
        <w:tc>
          <w:tcPr>
            <w:tcW w:w="5420" w:type="dxa"/>
            <w:vAlign w:val="bottom"/>
            <w:tcBorders>
              <w:right w:val="single" w:sz="8" w:color="3E3935"/>
            </w:tcBorders>
          </w:tcPr>
          <w:p>
            <w:pPr>
              <w:jc w:val="right"/>
              <w:spacing w:after="0"/>
              <w:rPr>
                <w:sz w:val="20"/>
                <w:szCs w:val="20"/>
                <w:color w:val="auto"/>
              </w:rPr>
            </w:pPr>
            <w:r>
              <w:rPr>
                <w:rFonts w:ascii="Arial" w:cs="Arial" w:eastAsia="Arial" w:hAnsi="Arial"/>
                <w:sz w:val="20"/>
                <w:szCs w:val="20"/>
                <w:color w:val="00C1DE"/>
              </w:rPr>
              <w:t>•</w:t>
            </w:r>
            <w:r>
              <w:rPr>
                <w:rFonts w:ascii="Arial" w:cs="Arial" w:eastAsia="Arial" w:hAnsi="Arial"/>
                <w:sz w:val="19"/>
                <w:szCs w:val="19"/>
                <w:color w:val="3E3935"/>
              </w:rPr>
              <w:t xml:space="preserve">   Notify your broker, bank, or nominee in accordance with</w:t>
            </w:r>
          </w:p>
        </w:tc>
        <w:tc>
          <w:tcPr>
            <w:tcW w:w="0" w:type="dxa"/>
            <w:vAlign w:val="bottom"/>
          </w:tcPr>
          <w:p>
            <w:pPr>
              <w:spacing w:after="0"/>
              <w:rPr>
                <w:sz w:val="1"/>
                <w:szCs w:val="1"/>
                <w:color w:val="auto"/>
              </w:rPr>
            </w:pPr>
          </w:p>
        </w:tc>
      </w:tr>
      <w:tr>
        <w:trPr>
          <w:trHeight w:val="216"/>
        </w:trPr>
        <w:tc>
          <w:tcPr>
            <w:tcW w:w="5320" w:type="dxa"/>
            <w:vAlign w:val="bottom"/>
            <w:tcBorders>
              <w:left w:val="single" w:sz="8" w:color="3E3935"/>
            </w:tcBorders>
          </w:tcPr>
          <w:p>
            <w:pPr>
              <w:ind w:left="540"/>
              <w:spacing w:after="0" w:line="216" w:lineRule="exact"/>
              <w:rPr>
                <w:sz w:val="20"/>
                <w:szCs w:val="20"/>
                <w:color w:val="auto"/>
              </w:rPr>
            </w:pPr>
            <w:r>
              <w:rPr>
                <w:rFonts w:ascii="Arial" w:cs="Arial" w:eastAsia="Arial" w:hAnsi="Arial"/>
                <w:sz w:val="20"/>
                <w:szCs w:val="20"/>
                <w:color w:val="3E3935"/>
              </w:rPr>
              <w:t>automatically revokes the earlier proxy);</w:t>
            </w:r>
          </w:p>
        </w:tc>
        <w:tc>
          <w:tcPr>
            <w:tcW w:w="180" w:type="dxa"/>
            <w:vAlign w:val="bottom"/>
            <w:tcBorders>
              <w:right w:val="single" w:sz="8" w:color="3E3935"/>
            </w:tcBorders>
          </w:tcPr>
          <w:p>
            <w:pPr>
              <w:spacing w:after="0"/>
              <w:rPr>
                <w:sz w:val="18"/>
                <w:szCs w:val="18"/>
                <w:color w:val="auto"/>
              </w:rPr>
            </w:pPr>
          </w:p>
        </w:tc>
        <w:tc>
          <w:tcPr>
            <w:tcW w:w="5420" w:type="dxa"/>
            <w:vAlign w:val="bottom"/>
            <w:tcBorders>
              <w:right w:val="single" w:sz="8" w:color="3E3935"/>
            </w:tcBorders>
          </w:tcPr>
          <w:p>
            <w:pPr>
              <w:jc w:val="right"/>
              <w:spacing w:after="0" w:line="216" w:lineRule="exact"/>
              <w:rPr>
                <w:sz w:val="20"/>
                <w:szCs w:val="20"/>
                <w:color w:val="auto"/>
              </w:rPr>
            </w:pPr>
            <w:r>
              <w:rPr>
                <w:rFonts w:ascii="Arial" w:cs="Arial" w:eastAsia="Arial" w:hAnsi="Arial"/>
                <w:sz w:val="20"/>
                <w:szCs w:val="20"/>
                <w:color w:val="3E3935"/>
              </w:rPr>
              <w:t>that  entity’s  procedures  for  revoking  your  voting</w:t>
            </w:r>
          </w:p>
        </w:tc>
        <w:tc>
          <w:tcPr>
            <w:tcW w:w="0" w:type="dxa"/>
            <w:vAlign w:val="bottom"/>
          </w:tcPr>
          <w:p>
            <w:pPr>
              <w:spacing w:after="0"/>
              <w:rPr>
                <w:sz w:val="1"/>
                <w:szCs w:val="1"/>
                <w:color w:val="auto"/>
              </w:rPr>
            </w:pPr>
          </w:p>
        </w:tc>
      </w:tr>
      <w:tr>
        <w:trPr>
          <w:trHeight w:val="261"/>
        </w:trPr>
        <w:tc>
          <w:tcPr>
            <w:tcW w:w="5320" w:type="dxa"/>
            <w:vAlign w:val="bottom"/>
            <w:tcBorders>
              <w:left w:val="single" w:sz="8" w:color="3E3935"/>
            </w:tcBorders>
            <w:vMerge w:val="restart"/>
          </w:tcPr>
          <w:p>
            <w:pPr>
              <w:ind w:left="260"/>
              <w:spacing w:after="0"/>
              <w:rPr>
                <w:sz w:val="20"/>
                <w:szCs w:val="20"/>
                <w:color w:val="auto"/>
              </w:rPr>
            </w:pPr>
            <w:r>
              <w:rPr>
                <w:rFonts w:ascii="Arial" w:cs="Arial" w:eastAsia="Arial" w:hAnsi="Arial"/>
                <w:sz w:val="20"/>
                <w:szCs w:val="20"/>
                <w:color w:val="00C1DE"/>
              </w:rPr>
              <w:t>•</w:t>
            </w:r>
            <w:r>
              <w:rPr>
                <w:rFonts w:ascii="Arial" w:cs="Arial" w:eastAsia="Arial" w:hAnsi="Arial"/>
                <w:sz w:val="19"/>
                <w:szCs w:val="19"/>
                <w:color w:val="3E3935"/>
              </w:rPr>
              <w:t xml:space="preserve">   Send a written notice of revocation to the General</w:t>
            </w:r>
          </w:p>
        </w:tc>
        <w:tc>
          <w:tcPr>
            <w:tcW w:w="180" w:type="dxa"/>
            <w:vAlign w:val="bottom"/>
            <w:tcBorders>
              <w:right w:val="single" w:sz="8" w:color="3E3935"/>
            </w:tcBorders>
          </w:tcPr>
          <w:p>
            <w:pPr>
              <w:spacing w:after="0"/>
              <w:rPr>
                <w:sz w:val="22"/>
                <w:szCs w:val="22"/>
                <w:color w:val="auto"/>
              </w:rPr>
            </w:pPr>
          </w:p>
        </w:tc>
        <w:tc>
          <w:tcPr>
            <w:tcW w:w="5420" w:type="dxa"/>
            <w:vAlign w:val="bottom"/>
            <w:tcBorders>
              <w:right w:val="single" w:sz="8" w:color="3E3935"/>
            </w:tcBorders>
          </w:tcPr>
          <w:p>
            <w:pPr>
              <w:ind w:left="460"/>
              <w:spacing w:after="0"/>
              <w:rPr>
                <w:sz w:val="20"/>
                <w:szCs w:val="20"/>
                <w:color w:val="auto"/>
              </w:rPr>
            </w:pPr>
            <w:r>
              <w:rPr>
                <w:rFonts w:ascii="Arial" w:cs="Arial" w:eastAsia="Arial" w:hAnsi="Arial"/>
                <w:sz w:val="20"/>
                <w:szCs w:val="20"/>
                <w:color w:val="3E3935"/>
              </w:rPr>
              <w:t>instructions; or</w:t>
            </w:r>
          </w:p>
        </w:tc>
        <w:tc>
          <w:tcPr>
            <w:tcW w:w="0" w:type="dxa"/>
            <w:vAlign w:val="bottom"/>
          </w:tcPr>
          <w:p>
            <w:pPr>
              <w:spacing w:after="0"/>
              <w:rPr>
                <w:sz w:val="1"/>
                <w:szCs w:val="1"/>
                <w:color w:val="auto"/>
              </w:rPr>
            </w:pPr>
          </w:p>
        </w:tc>
      </w:tr>
      <w:tr>
        <w:trPr>
          <w:trHeight w:val="49"/>
        </w:trPr>
        <w:tc>
          <w:tcPr>
            <w:tcW w:w="5320" w:type="dxa"/>
            <w:vAlign w:val="bottom"/>
            <w:tcBorders>
              <w:left w:val="single" w:sz="8" w:color="3E3935"/>
            </w:tcBorders>
            <w:vMerge w:val="continue"/>
          </w:tcPr>
          <w:p>
            <w:pPr>
              <w:spacing w:after="0"/>
              <w:rPr>
                <w:sz w:val="4"/>
                <w:szCs w:val="4"/>
                <w:color w:val="auto"/>
              </w:rPr>
            </w:pPr>
          </w:p>
        </w:tc>
        <w:tc>
          <w:tcPr>
            <w:tcW w:w="180" w:type="dxa"/>
            <w:vAlign w:val="bottom"/>
            <w:tcBorders>
              <w:right w:val="single" w:sz="8" w:color="3E3935"/>
            </w:tcBorders>
          </w:tcPr>
          <w:p>
            <w:pPr>
              <w:spacing w:after="0"/>
              <w:rPr>
                <w:sz w:val="4"/>
                <w:szCs w:val="4"/>
                <w:color w:val="auto"/>
              </w:rPr>
            </w:pPr>
          </w:p>
        </w:tc>
        <w:tc>
          <w:tcPr>
            <w:tcW w:w="5420" w:type="dxa"/>
            <w:vAlign w:val="bottom"/>
            <w:tcBorders>
              <w:right w:val="single" w:sz="8" w:color="3E3935"/>
            </w:tcBorders>
            <w:vMerge w:val="restart"/>
          </w:tcPr>
          <w:p>
            <w:pPr>
              <w:jc w:val="right"/>
              <w:spacing w:after="0"/>
              <w:rPr>
                <w:sz w:val="20"/>
                <w:szCs w:val="20"/>
                <w:color w:val="auto"/>
              </w:rPr>
            </w:pPr>
            <w:r>
              <w:rPr>
                <w:rFonts w:ascii="Arial" w:cs="Arial" w:eastAsia="Arial" w:hAnsi="Arial"/>
                <w:sz w:val="20"/>
                <w:szCs w:val="20"/>
                <w:color w:val="00C1DE"/>
              </w:rPr>
              <w:t>•</w:t>
            </w:r>
            <w:r>
              <w:rPr>
                <w:rFonts w:ascii="Arial" w:cs="Arial" w:eastAsia="Arial" w:hAnsi="Arial"/>
                <w:sz w:val="19"/>
                <w:szCs w:val="19"/>
                <w:color w:val="3E3935"/>
              </w:rPr>
              <w:t xml:space="preserve">   Participate in the Annual Meeting and vote your shares</w:t>
            </w:r>
          </w:p>
        </w:tc>
        <w:tc>
          <w:tcPr>
            <w:tcW w:w="0" w:type="dxa"/>
            <w:vAlign w:val="bottom"/>
          </w:tcPr>
          <w:p>
            <w:pPr>
              <w:spacing w:after="0"/>
              <w:rPr>
                <w:sz w:val="1"/>
                <w:szCs w:val="1"/>
                <w:color w:val="auto"/>
              </w:rPr>
            </w:pPr>
          </w:p>
        </w:tc>
      </w:tr>
      <w:tr>
        <w:trPr>
          <w:trHeight w:val="216"/>
        </w:trPr>
        <w:tc>
          <w:tcPr>
            <w:tcW w:w="5320" w:type="dxa"/>
            <w:vAlign w:val="bottom"/>
            <w:tcBorders>
              <w:left w:val="single" w:sz="8" w:color="3E3935"/>
            </w:tcBorders>
          </w:tcPr>
          <w:p>
            <w:pPr>
              <w:ind w:left="540"/>
              <w:spacing w:after="0" w:line="216" w:lineRule="exact"/>
              <w:rPr>
                <w:sz w:val="20"/>
                <w:szCs w:val="20"/>
                <w:color w:val="auto"/>
              </w:rPr>
            </w:pPr>
            <w:r>
              <w:rPr>
                <w:rFonts w:ascii="Arial" w:cs="Arial" w:eastAsia="Arial" w:hAnsi="Arial"/>
                <w:sz w:val="20"/>
                <w:szCs w:val="20"/>
                <w:color w:val="3E3935"/>
              </w:rPr>
              <w:t>Motors Company Corporate Secretary at Mail Code</w:t>
            </w:r>
          </w:p>
        </w:tc>
        <w:tc>
          <w:tcPr>
            <w:tcW w:w="180" w:type="dxa"/>
            <w:vAlign w:val="bottom"/>
            <w:tcBorders>
              <w:right w:val="single" w:sz="8" w:color="3E3935"/>
            </w:tcBorders>
          </w:tcPr>
          <w:p>
            <w:pPr>
              <w:spacing w:after="0"/>
              <w:rPr>
                <w:sz w:val="18"/>
                <w:szCs w:val="18"/>
                <w:color w:val="auto"/>
              </w:rPr>
            </w:pPr>
          </w:p>
        </w:tc>
        <w:tc>
          <w:tcPr>
            <w:tcW w:w="5420" w:type="dxa"/>
            <w:vAlign w:val="bottom"/>
            <w:tcBorders>
              <w:right w:val="single" w:sz="8" w:color="3E3935"/>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tcBorders>
              <w:left w:val="single" w:sz="8" w:color="3E3935"/>
            </w:tcBorders>
          </w:tcPr>
          <w:p>
            <w:pPr>
              <w:ind w:left="540"/>
              <w:spacing w:after="0" w:line="216" w:lineRule="exact"/>
              <w:rPr>
                <w:sz w:val="20"/>
                <w:szCs w:val="20"/>
                <w:color w:val="auto"/>
              </w:rPr>
            </w:pPr>
            <w:r>
              <w:rPr>
                <w:rFonts w:ascii="Arial" w:cs="Arial" w:eastAsia="Arial" w:hAnsi="Arial"/>
                <w:sz w:val="20"/>
                <w:szCs w:val="20"/>
                <w:color w:val="3E3935"/>
              </w:rPr>
              <w:t>482-C24-A68,  300  Renaissance  Center,  Detroit,</w:t>
            </w:r>
          </w:p>
        </w:tc>
        <w:tc>
          <w:tcPr>
            <w:tcW w:w="180" w:type="dxa"/>
            <w:vAlign w:val="bottom"/>
            <w:tcBorders>
              <w:right w:val="single" w:sz="8" w:color="3E3935"/>
            </w:tcBorders>
          </w:tcPr>
          <w:p>
            <w:pPr>
              <w:spacing w:after="0"/>
              <w:rPr>
                <w:sz w:val="18"/>
                <w:szCs w:val="18"/>
                <w:color w:val="auto"/>
              </w:rPr>
            </w:pPr>
          </w:p>
        </w:tc>
        <w:tc>
          <w:tcPr>
            <w:tcW w:w="5420" w:type="dxa"/>
            <w:vAlign w:val="bottom"/>
            <w:tcBorders>
              <w:right w:val="single" w:sz="8" w:color="3E3935"/>
            </w:tcBorders>
          </w:tcPr>
          <w:p>
            <w:pPr>
              <w:ind w:left="460"/>
              <w:spacing w:after="0" w:line="216" w:lineRule="exact"/>
              <w:rPr>
                <w:sz w:val="20"/>
                <w:szCs w:val="20"/>
                <w:color w:val="auto"/>
              </w:rPr>
            </w:pPr>
            <w:r>
              <w:rPr>
                <w:rFonts w:ascii="Arial" w:cs="Arial" w:eastAsia="Arial" w:hAnsi="Arial"/>
                <w:sz w:val="20"/>
                <w:szCs w:val="20"/>
                <w:color w:val="3E3935"/>
              </w:rPr>
              <w:t>electronically during the meeting.</w:t>
            </w:r>
          </w:p>
        </w:tc>
        <w:tc>
          <w:tcPr>
            <w:tcW w:w="0" w:type="dxa"/>
            <w:vAlign w:val="bottom"/>
          </w:tcPr>
          <w:p>
            <w:pPr>
              <w:spacing w:after="0"/>
              <w:rPr>
                <w:sz w:val="1"/>
                <w:szCs w:val="1"/>
                <w:color w:val="auto"/>
              </w:rPr>
            </w:pPr>
          </w:p>
        </w:tc>
      </w:tr>
      <w:tr>
        <w:trPr>
          <w:trHeight w:val="261"/>
        </w:trPr>
        <w:tc>
          <w:tcPr>
            <w:tcW w:w="5320" w:type="dxa"/>
            <w:vAlign w:val="bottom"/>
            <w:tcBorders>
              <w:left w:val="single" w:sz="8" w:color="3E3935"/>
            </w:tcBorders>
          </w:tcPr>
          <w:p>
            <w:pPr>
              <w:ind w:left="540"/>
              <w:spacing w:after="0"/>
              <w:rPr>
                <w:sz w:val="20"/>
                <w:szCs w:val="20"/>
                <w:color w:val="auto"/>
              </w:rPr>
            </w:pPr>
            <w:r>
              <w:rPr>
                <w:rFonts w:ascii="Arial" w:cs="Arial" w:eastAsia="Arial" w:hAnsi="Arial"/>
                <w:sz w:val="20"/>
                <w:szCs w:val="20"/>
                <w:color w:val="3E3935"/>
              </w:rPr>
              <w:t>Michigan 48265;</w:t>
            </w:r>
          </w:p>
        </w:tc>
        <w:tc>
          <w:tcPr>
            <w:tcW w:w="180" w:type="dxa"/>
            <w:vAlign w:val="bottom"/>
            <w:tcBorders>
              <w:right w:val="single" w:sz="8" w:color="3E3935"/>
            </w:tcBorders>
          </w:tcPr>
          <w:p>
            <w:pPr>
              <w:spacing w:after="0"/>
              <w:rPr>
                <w:sz w:val="22"/>
                <w:szCs w:val="22"/>
                <w:color w:val="auto"/>
              </w:rPr>
            </w:pPr>
          </w:p>
        </w:tc>
        <w:tc>
          <w:tcPr>
            <w:tcW w:w="5420" w:type="dxa"/>
            <w:vAlign w:val="bottom"/>
            <w:tcBorders>
              <w:right w:val="single" w:sz="8" w:color="3E3935"/>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5320" w:type="dxa"/>
            <w:vAlign w:val="bottom"/>
            <w:tcBorders>
              <w:left w:val="single" w:sz="8" w:color="3E3935"/>
            </w:tcBorders>
          </w:tcPr>
          <w:p>
            <w:pPr>
              <w:ind w:left="260"/>
              <w:spacing w:after="0"/>
              <w:rPr>
                <w:sz w:val="20"/>
                <w:szCs w:val="20"/>
                <w:color w:val="auto"/>
              </w:rPr>
            </w:pPr>
            <w:r>
              <w:rPr>
                <w:rFonts w:ascii="Arial" w:cs="Arial" w:eastAsia="Arial" w:hAnsi="Arial"/>
                <w:sz w:val="20"/>
                <w:szCs w:val="20"/>
                <w:color w:val="00C1DE"/>
              </w:rPr>
              <w:t>•</w:t>
            </w:r>
            <w:r>
              <w:rPr>
                <w:rFonts w:ascii="Arial" w:cs="Arial" w:eastAsia="Arial" w:hAnsi="Arial"/>
                <w:sz w:val="19"/>
                <w:szCs w:val="19"/>
                <w:color w:val="3E3935"/>
              </w:rPr>
              <w:t xml:space="preserve">   E-mail  the  General  Motors  Company  Corporate</w:t>
            </w:r>
          </w:p>
        </w:tc>
        <w:tc>
          <w:tcPr>
            <w:tcW w:w="180" w:type="dxa"/>
            <w:vAlign w:val="bottom"/>
            <w:tcBorders>
              <w:right w:val="single" w:sz="8" w:color="3E3935"/>
            </w:tcBorders>
          </w:tcPr>
          <w:p>
            <w:pPr>
              <w:spacing w:after="0"/>
              <w:rPr>
                <w:sz w:val="23"/>
                <w:szCs w:val="23"/>
                <w:color w:val="auto"/>
              </w:rPr>
            </w:pPr>
          </w:p>
        </w:tc>
        <w:tc>
          <w:tcPr>
            <w:tcW w:w="5420" w:type="dxa"/>
            <w:vAlign w:val="bottom"/>
            <w:tcBorders>
              <w:right w:val="single" w:sz="8" w:color="3E3935"/>
            </w:tcBorders>
          </w:tcPr>
          <w:p>
            <w:pPr>
              <w:spacing w:after="0"/>
              <w:rPr>
                <w:sz w:val="23"/>
                <w:szCs w:val="23"/>
                <w:color w:val="auto"/>
              </w:rPr>
            </w:pPr>
          </w:p>
        </w:tc>
        <w:tc>
          <w:tcPr>
            <w:tcW w:w="0" w:type="dxa"/>
            <w:vAlign w:val="bottom"/>
          </w:tcPr>
          <w:p>
            <w:pPr>
              <w:spacing w:after="0"/>
              <w:rPr>
                <w:sz w:val="1"/>
                <w:szCs w:val="1"/>
                <w:color w:val="auto"/>
              </w:rPr>
            </w:pPr>
          </w:p>
        </w:tc>
      </w:tr>
      <w:tr>
        <w:trPr>
          <w:trHeight w:val="261"/>
        </w:trPr>
        <w:tc>
          <w:tcPr>
            <w:tcW w:w="5320" w:type="dxa"/>
            <w:vAlign w:val="bottom"/>
            <w:tcBorders>
              <w:left w:val="single" w:sz="8" w:color="3E3935"/>
            </w:tcBorders>
          </w:tcPr>
          <w:p>
            <w:pPr>
              <w:ind w:left="540"/>
              <w:spacing w:after="0"/>
              <w:rPr>
                <w:sz w:val="20"/>
                <w:szCs w:val="20"/>
                <w:color w:val="auto"/>
              </w:rPr>
            </w:pPr>
            <w:r>
              <w:rPr>
                <w:rFonts w:ascii="Arial" w:cs="Arial" w:eastAsia="Arial" w:hAnsi="Arial"/>
                <w:sz w:val="20"/>
                <w:szCs w:val="20"/>
                <w:color w:val="3E3935"/>
              </w:rPr>
              <w:t xml:space="preserve">Secretary at </w:t>
            </w:r>
            <w:r>
              <w:rPr>
                <w:rFonts w:ascii="Arial" w:cs="Arial" w:eastAsia="Arial" w:hAnsi="Arial"/>
                <w:sz w:val="20"/>
                <w:szCs w:val="20"/>
                <w:i w:val="1"/>
                <w:iCs w:val="1"/>
                <w:color w:val="00C1DE"/>
              </w:rPr>
              <w:t>shareholder.relations@gm.com</w:t>
            </w:r>
            <w:r>
              <w:rPr>
                <w:rFonts w:ascii="Arial" w:cs="Arial" w:eastAsia="Arial" w:hAnsi="Arial"/>
                <w:sz w:val="20"/>
                <w:szCs w:val="20"/>
                <w:color w:val="3E3935"/>
              </w:rPr>
              <w:t>; or</w:t>
            </w:r>
          </w:p>
        </w:tc>
        <w:tc>
          <w:tcPr>
            <w:tcW w:w="180" w:type="dxa"/>
            <w:vAlign w:val="bottom"/>
            <w:tcBorders>
              <w:right w:val="single" w:sz="8" w:color="3E3935"/>
            </w:tcBorders>
          </w:tcPr>
          <w:p>
            <w:pPr>
              <w:spacing w:after="0"/>
              <w:rPr>
                <w:sz w:val="22"/>
                <w:szCs w:val="22"/>
                <w:color w:val="auto"/>
              </w:rPr>
            </w:pPr>
          </w:p>
        </w:tc>
        <w:tc>
          <w:tcPr>
            <w:tcW w:w="5420" w:type="dxa"/>
            <w:vAlign w:val="bottom"/>
            <w:tcBorders>
              <w:right w:val="single" w:sz="8" w:color="3E3935"/>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5320" w:type="dxa"/>
            <w:vAlign w:val="bottom"/>
            <w:tcBorders>
              <w:left w:val="single" w:sz="8" w:color="3E3935"/>
            </w:tcBorders>
          </w:tcPr>
          <w:p>
            <w:pPr>
              <w:ind w:left="260"/>
              <w:spacing w:after="0"/>
              <w:rPr>
                <w:sz w:val="20"/>
                <w:szCs w:val="20"/>
                <w:color w:val="auto"/>
              </w:rPr>
            </w:pPr>
            <w:r>
              <w:rPr>
                <w:rFonts w:ascii="Arial" w:cs="Arial" w:eastAsia="Arial" w:hAnsi="Arial"/>
                <w:sz w:val="20"/>
                <w:szCs w:val="20"/>
                <w:color w:val="00C1DE"/>
              </w:rPr>
              <w:t>•</w:t>
            </w:r>
            <w:r>
              <w:rPr>
                <w:rFonts w:ascii="Arial" w:cs="Arial" w:eastAsia="Arial" w:hAnsi="Arial"/>
                <w:sz w:val="19"/>
                <w:szCs w:val="19"/>
                <w:color w:val="3E3935"/>
              </w:rPr>
              <w:t xml:space="preserve">   Participate in the Annual Meeting and vote your</w:t>
            </w:r>
          </w:p>
        </w:tc>
        <w:tc>
          <w:tcPr>
            <w:tcW w:w="180" w:type="dxa"/>
            <w:vAlign w:val="bottom"/>
            <w:tcBorders>
              <w:right w:val="single" w:sz="8" w:color="3E3935"/>
            </w:tcBorders>
          </w:tcPr>
          <w:p>
            <w:pPr>
              <w:spacing w:after="0"/>
              <w:rPr>
                <w:sz w:val="23"/>
                <w:szCs w:val="23"/>
                <w:color w:val="auto"/>
              </w:rPr>
            </w:pPr>
          </w:p>
        </w:tc>
        <w:tc>
          <w:tcPr>
            <w:tcW w:w="5420" w:type="dxa"/>
            <w:vAlign w:val="bottom"/>
            <w:tcBorders>
              <w:right w:val="single" w:sz="8" w:color="3E3935"/>
            </w:tcBorders>
          </w:tcPr>
          <w:p>
            <w:pPr>
              <w:spacing w:after="0"/>
              <w:rPr>
                <w:sz w:val="23"/>
                <w:szCs w:val="23"/>
                <w:color w:val="auto"/>
              </w:rPr>
            </w:pPr>
          </w:p>
        </w:tc>
        <w:tc>
          <w:tcPr>
            <w:tcW w:w="0" w:type="dxa"/>
            <w:vAlign w:val="bottom"/>
          </w:tcPr>
          <w:p>
            <w:pPr>
              <w:spacing w:after="0"/>
              <w:rPr>
                <w:sz w:val="1"/>
                <w:szCs w:val="1"/>
                <w:color w:val="auto"/>
              </w:rPr>
            </w:pPr>
          </w:p>
        </w:tc>
      </w:tr>
      <w:tr>
        <w:trPr>
          <w:trHeight w:val="272"/>
        </w:trPr>
        <w:tc>
          <w:tcPr>
            <w:tcW w:w="5320" w:type="dxa"/>
            <w:vAlign w:val="bottom"/>
            <w:tcBorders>
              <w:left w:val="single" w:sz="8" w:color="3E3935"/>
              <w:bottom w:val="single" w:sz="8" w:color="3E3935"/>
            </w:tcBorders>
          </w:tcPr>
          <w:p>
            <w:pPr>
              <w:ind w:left="540"/>
              <w:spacing w:after="0"/>
              <w:rPr>
                <w:sz w:val="20"/>
                <w:szCs w:val="20"/>
                <w:color w:val="auto"/>
              </w:rPr>
            </w:pPr>
            <w:r>
              <w:rPr>
                <w:rFonts w:ascii="Arial" w:cs="Arial" w:eastAsia="Arial" w:hAnsi="Arial"/>
                <w:sz w:val="20"/>
                <w:szCs w:val="20"/>
                <w:color w:val="3E3935"/>
              </w:rPr>
              <w:t>shares electronically during the meeting.</w:t>
            </w:r>
          </w:p>
        </w:tc>
        <w:tc>
          <w:tcPr>
            <w:tcW w:w="180" w:type="dxa"/>
            <w:vAlign w:val="bottom"/>
            <w:tcBorders>
              <w:bottom w:val="single" w:sz="8" w:color="3E3935"/>
              <w:right w:val="single" w:sz="8" w:color="3E3935"/>
            </w:tcBorders>
          </w:tcPr>
          <w:p>
            <w:pPr>
              <w:spacing w:after="0"/>
              <w:rPr>
                <w:sz w:val="23"/>
                <w:szCs w:val="23"/>
                <w:color w:val="auto"/>
              </w:rPr>
            </w:pPr>
          </w:p>
        </w:tc>
        <w:tc>
          <w:tcPr>
            <w:tcW w:w="5420" w:type="dxa"/>
            <w:vAlign w:val="bottom"/>
            <w:tcBorders>
              <w:bottom w:val="single" w:sz="8" w:color="3E3935"/>
              <w:right w:val="single" w:sz="8" w:color="3E3935"/>
            </w:tcBorders>
          </w:tcPr>
          <w:p>
            <w:pPr>
              <w:spacing w:after="0"/>
              <w:rPr>
                <w:sz w:val="23"/>
                <w:szCs w:val="23"/>
                <w:color w:val="auto"/>
              </w:rPr>
            </w:pPr>
          </w:p>
        </w:tc>
        <w:tc>
          <w:tcPr>
            <w:tcW w:w="0" w:type="dxa"/>
            <w:vAlign w:val="bottom"/>
          </w:tcPr>
          <w:p>
            <w:pPr>
              <w:spacing w:after="0"/>
              <w:rPr>
                <w:sz w:val="1"/>
                <w:szCs w:val="1"/>
                <w:color w:val="auto"/>
              </w:rPr>
            </w:pPr>
          </w:p>
        </w:tc>
      </w:tr>
    </w:tbl>
    <w:p>
      <w:pPr>
        <w:spacing w:after="0" w:line="315" w:lineRule="exact"/>
        <w:rPr>
          <w:sz w:val="20"/>
          <w:szCs w:val="20"/>
          <w:color w:val="auto"/>
        </w:rPr>
      </w:pPr>
    </w:p>
    <w:p>
      <w:pPr>
        <w:ind w:left="660" w:hanging="544"/>
        <w:spacing w:after="0"/>
        <w:tabs>
          <w:tab w:leader="none" w:pos="660" w:val="left"/>
        </w:tabs>
        <w:numPr>
          <w:ilvl w:val="0"/>
          <w:numId w:val="165"/>
        </w:numPr>
        <w:rPr>
          <w:rFonts w:ascii="Times New Roman" w:cs="Times New Roman" w:eastAsia="Times New Roman" w:hAnsi="Times New Roman"/>
          <w:sz w:val="19"/>
          <w:szCs w:val="19"/>
          <w:color w:val="0071CE"/>
        </w:rPr>
      </w:pPr>
      <w:r>
        <w:rPr>
          <w:rFonts w:ascii="Arial" w:cs="Arial" w:eastAsia="Arial" w:hAnsi="Arial"/>
          <w:sz w:val="25"/>
          <w:szCs w:val="25"/>
          <w:color w:val="3E3935"/>
        </w:rPr>
        <w:t>Annual Meeting Voting Results</w:t>
      </w:r>
    </w:p>
    <w:p>
      <w:pPr>
        <w:spacing w:after="0" w:line="159" w:lineRule="exact"/>
        <w:rPr>
          <w:sz w:val="20"/>
          <w:szCs w:val="20"/>
          <w:color w:val="auto"/>
        </w:rPr>
      </w:pPr>
    </w:p>
    <w:p>
      <w:pPr>
        <w:ind w:left="120" w:right="20"/>
        <w:spacing w:after="0" w:line="257" w:lineRule="auto"/>
        <w:rPr>
          <w:sz w:val="20"/>
          <w:szCs w:val="20"/>
          <w:color w:val="auto"/>
        </w:rPr>
      </w:pPr>
      <w:r>
        <w:rPr>
          <w:rFonts w:ascii="Arial" w:cs="Arial" w:eastAsia="Arial" w:hAnsi="Arial"/>
          <w:sz w:val="20"/>
          <w:szCs w:val="20"/>
          <w:color w:val="3E3935"/>
        </w:rPr>
        <w:t>Our independent inspector of elections, Broadridge Financial Services, Inc., will tabulate the vote at the Annual Meeting. We will provide voting results on our website and in a Current Report on Form 8-K filed with the SEC.</w:t>
      </w:r>
    </w:p>
    <w:p>
      <w:pPr>
        <w:spacing w:after="0" w:line="276" w:lineRule="exact"/>
        <w:rPr>
          <w:sz w:val="20"/>
          <w:szCs w:val="20"/>
          <w:color w:val="auto"/>
        </w:rPr>
      </w:pPr>
    </w:p>
    <w:p>
      <w:pPr>
        <w:ind w:left="660" w:hanging="544"/>
        <w:spacing w:after="0"/>
        <w:tabs>
          <w:tab w:leader="none" w:pos="660" w:val="left"/>
        </w:tabs>
        <w:numPr>
          <w:ilvl w:val="0"/>
          <w:numId w:val="166"/>
        </w:numPr>
        <w:rPr>
          <w:rFonts w:ascii="Times New Roman" w:cs="Times New Roman" w:eastAsia="Times New Roman" w:hAnsi="Times New Roman"/>
          <w:sz w:val="19"/>
          <w:szCs w:val="19"/>
          <w:color w:val="0071CE"/>
        </w:rPr>
      </w:pPr>
      <w:r>
        <w:rPr>
          <w:rFonts w:ascii="Arial" w:cs="Arial" w:eastAsia="Arial" w:hAnsi="Arial"/>
          <w:sz w:val="25"/>
          <w:szCs w:val="25"/>
          <w:color w:val="3E3935"/>
        </w:rPr>
        <w:t>“Shareholder of Record” and “Beneficial Shareholder”</w:t>
      </w:r>
    </w:p>
    <w:p>
      <w:pPr>
        <w:spacing w:after="0" w:line="159" w:lineRule="exact"/>
        <w:rPr>
          <w:sz w:val="20"/>
          <w:szCs w:val="20"/>
          <w:color w:val="auto"/>
        </w:rPr>
      </w:pPr>
    </w:p>
    <w:p>
      <w:pPr>
        <w:jc w:val="both"/>
        <w:ind w:left="120"/>
        <w:spacing w:after="0" w:line="229" w:lineRule="auto"/>
        <w:rPr>
          <w:sz w:val="20"/>
          <w:szCs w:val="20"/>
          <w:color w:val="auto"/>
        </w:rPr>
      </w:pPr>
      <w:r>
        <w:rPr>
          <w:rFonts w:ascii="Arial" w:cs="Arial" w:eastAsia="Arial" w:hAnsi="Arial"/>
          <w:sz w:val="20"/>
          <w:szCs w:val="20"/>
          <w:color w:val="3E3935"/>
        </w:rPr>
        <w:t xml:space="preserve">If your shares are owned directly in your name in an account with GM’s stock transfer agent, Computershare Trust Company, N.A., you are considered the “shareholder of record” of those shares in your account. If your shares are held in an account with a broker, bank, or other nominee as custodian on your behalf, you are considered a “beneficial shareholder” of those shares, which are held in street name. The broker, bank, or other nominee is considered the shareholder of record for those shares. As the beneficial owner, you have the right to instruct the broker, bank, or other nominee on how to vote the shares in your account. In order for your shares to be voted in the way you would like, you </w:t>
      </w:r>
      <w:r>
        <w:rPr>
          <w:rFonts w:ascii="Arial" w:cs="Arial" w:eastAsia="Arial" w:hAnsi="Arial"/>
          <w:sz w:val="20"/>
          <w:szCs w:val="20"/>
          <w:b w:val="1"/>
          <w:bCs w:val="1"/>
          <w:u w:val="single" w:color="auto"/>
          <w:color w:val="3E3935"/>
        </w:rPr>
        <w:t>must</w:t>
      </w:r>
      <w:r>
        <w:rPr>
          <w:rFonts w:ascii="Arial" w:cs="Arial" w:eastAsia="Arial" w:hAnsi="Arial"/>
          <w:sz w:val="20"/>
          <w:szCs w:val="20"/>
          <w:color w:val="3E3935"/>
        </w:rPr>
        <w:t xml:space="preserve"> provide voting instructions to your broker, bank, or other nominee by the deadline provided in the proxy materials you receive from your broker, bank, or other nominee. If you do not provide voting instructions to your broker, bank, or other nominee, whether your shares can be voted on your behalf depends on the type of item being considered for vote. Under NYSE rules, brokers are permitted to exercise discretionary voting authority only on “routine” matters. Therefore, your broker may vote on Item No. 2 (“Proposal to Ratify the Selection of Ernst &amp; Young LLP as the Company’s Independent Registered Public Accounting Firm for 2023”) even if you do not provide voting instructions because it is considered a routine matter. </w:t>
      </w:r>
      <w:r>
        <w:rPr>
          <w:rFonts w:ascii="Arial" w:cs="Arial" w:eastAsia="Arial" w:hAnsi="Arial"/>
          <w:sz w:val="20"/>
          <w:szCs w:val="20"/>
          <w:b w:val="1"/>
          <w:bCs w:val="1"/>
          <w:color w:val="3E3935"/>
        </w:rPr>
        <w:t>Your broker is not permitted to vote on the other</w:t>
      </w:r>
      <w:r>
        <w:rPr>
          <w:rFonts w:ascii="Arial" w:cs="Arial" w:eastAsia="Arial" w:hAnsi="Arial"/>
          <w:sz w:val="20"/>
          <w:szCs w:val="20"/>
          <w:color w:val="3E3935"/>
        </w:rPr>
        <w:t xml:space="preserve"> </w:t>
      </w:r>
      <w:r>
        <w:rPr>
          <w:rFonts w:ascii="Arial" w:cs="Arial" w:eastAsia="Arial" w:hAnsi="Arial"/>
          <w:sz w:val="20"/>
          <w:szCs w:val="20"/>
          <w:b w:val="1"/>
          <w:bCs w:val="1"/>
          <w:color w:val="3E3935"/>
        </w:rPr>
        <w:t>agenda items if you do not provide voting instructions because those items involve matters that are considered nonroutine.</w:t>
      </w:r>
    </w:p>
    <w:p>
      <w:pPr>
        <w:spacing w:after="0" w:line="289" w:lineRule="exact"/>
        <w:rPr>
          <w:sz w:val="20"/>
          <w:szCs w:val="20"/>
          <w:color w:val="auto"/>
        </w:rPr>
      </w:pPr>
    </w:p>
    <w:p>
      <w:pPr>
        <w:ind w:left="660" w:hanging="544"/>
        <w:spacing w:after="0"/>
        <w:tabs>
          <w:tab w:leader="none" w:pos="660" w:val="left"/>
        </w:tabs>
        <w:numPr>
          <w:ilvl w:val="0"/>
          <w:numId w:val="167"/>
        </w:numPr>
        <w:rPr>
          <w:rFonts w:ascii="Times New Roman" w:cs="Times New Roman" w:eastAsia="Times New Roman" w:hAnsi="Times New Roman"/>
          <w:sz w:val="19"/>
          <w:szCs w:val="19"/>
          <w:color w:val="0071CE"/>
        </w:rPr>
      </w:pPr>
      <w:r>
        <w:rPr>
          <w:rFonts w:ascii="Arial" w:cs="Arial" w:eastAsia="Arial" w:hAnsi="Arial"/>
          <w:sz w:val="25"/>
          <w:szCs w:val="25"/>
          <w:color w:val="3E3935"/>
        </w:rPr>
        <w:t>Householding</w:t>
      </w:r>
    </w:p>
    <w:p>
      <w:pPr>
        <w:spacing w:after="0" w:line="145" w:lineRule="exact"/>
        <w:rPr>
          <w:sz w:val="20"/>
          <w:szCs w:val="20"/>
          <w:color w:val="auto"/>
        </w:rPr>
      </w:pPr>
    </w:p>
    <w:p>
      <w:pPr>
        <w:jc w:val="both"/>
        <w:ind w:left="120"/>
        <w:spacing w:after="0" w:line="234" w:lineRule="auto"/>
        <w:rPr>
          <w:sz w:val="20"/>
          <w:szCs w:val="20"/>
          <w:color w:val="auto"/>
        </w:rPr>
      </w:pPr>
      <w:r>
        <w:rPr>
          <w:rFonts w:ascii="Arial" w:cs="Arial" w:eastAsia="Arial" w:hAnsi="Arial"/>
          <w:sz w:val="20"/>
          <w:szCs w:val="20"/>
          <w:color w:val="3E3935"/>
        </w:rPr>
        <w:t>SEC rules permit companies to send a single Proxy Statement and Annual Report or Notice to two or more shareholders that share the same address, subject to certain conditions. Each shareholder will continue to receive a separate proxy card or voting instruction form, and it will include the unique 16-digit control number that is needed to vote those shares and to access and vote during the Annual Meeting. This “householding” rule will benefit both the shareholders and GM by reducing the volume of duplicate information shareholders receive and reducing GM’s printing and mailing costs.</w:t>
      </w:r>
    </w:p>
    <w:p>
      <w:pPr>
        <w:spacing w:after="0" w:line="107" w:lineRule="exact"/>
        <w:rPr>
          <w:sz w:val="20"/>
          <w:szCs w:val="20"/>
          <w:color w:val="auto"/>
        </w:rPr>
      </w:pPr>
    </w:p>
    <w:p>
      <w:pPr>
        <w:jc w:val="both"/>
        <w:ind w:left="120" w:right="20"/>
        <w:spacing w:after="0" w:line="241" w:lineRule="auto"/>
        <w:rPr>
          <w:sz w:val="20"/>
          <w:szCs w:val="20"/>
          <w:color w:val="auto"/>
        </w:rPr>
      </w:pPr>
      <w:r>
        <w:rPr>
          <w:rFonts w:ascii="Arial" w:cs="Arial" w:eastAsia="Arial" w:hAnsi="Arial"/>
          <w:sz w:val="20"/>
          <w:szCs w:val="20"/>
          <w:color w:val="3E3935"/>
        </w:rPr>
        <w:t>If one set of these documents was sent to your household for the use of all GM shareholders in your household and one or more of you would prefer to receive additional sets or if multiple copies of these documents were sent to your household and you want to receive one set, please contact Broadridge</w:t>
      </w:r>
    </w:p>
    <w:p>
      <w:pPr>
        <w:spacing w:after="0" w:line="116" w:lineRule="exact"/>
        <w:rPr>
          <w:sz w:val="20"/>
          <w:szCs w:val="20"/>
          <w:color w:val="auto"/>
        </w:rPr>
      </w:pPr>
    </w:p>
    <w:p>
      <w:pPr>
        <w:jc w:val="center"/>
        <w:ind w:right="10680"/>
        <w:spacing w:after="0"/>
        <w:rPr>
          <w:sz w:val="20"/>
          <w:szCs w:val="20"/>
          <w:color w:val="auto"/>
        </w:rPr>
      </w:pPr>
      <w:r>
        <w:rPr>
          <w:rFonts w:ascii="Arial" w:cs="Arial" w:eastAsia="Arial" w:hAnsi="Arial"/>
          <w:sz w:val="14"/>
          <w:szCs w:val="14"/>
          <w:color w:val="0071CE"/>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wp:posOffset>
            </wp:positionH>
            <wp:positionV relativeFrom="paragraph">
              <wp:posOffset>-95885</wp:posOffset>
            </wp:positionV>
            <wp:extent cx="5983605" cy="10287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5983605" cy="102870"/>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6" w:lineRule="exact"/>
        <w:rPr>
          <w:sz w:val="20"/>
          <w:szCs w:val="20"/>
          <w:color w:val="auto"/>
        </w:rPr>
      </w:pPr>
    </w:p>
    <w:p>
      <w:pPr>
        <w:jc w:val="both"/>
        <w:ind w:left="120"/>
        <w:spacing w:after="0" w:line="257" w:lineRule="auto"/>
        <w:rPr>
          <w:sz w:val="20"/>
          <w:szCs w:val="20"/>
          <w:color w:val="auto"/>
        </w:rPr>
      </w:pPr>
      <w:r>
        <w:rPr>
          <w:rFonts w:ascii="Arial" w:cs="Arial" w:eastAsia="Arial" w:hAnsi="Arial"/>
          <w:sz w:val="20"/>
          <w:szCs w:val="20"/>
          <w:color w:val="3E3935"/>
        </w:rPr>
        <w:t>Financial Solutions, Inc., by calling toll-free at (866) 540-7095 or by writing to Broadridge Financial Solutions, Inc., Householding Department, 51 Mercedes Way, Edgewood, New York 11717.</w:t>
      </w:r>
    </w:p>
    <w:p>
      <w:pPr>
        <w:spacing w:after="0" w:line="88" w:lineRule="exact"/>
        <w:rPr>
          <w:sz w:val="20"/>
          <w:szCs w:val="20"/>
          <w:color w:val="auto"/>
        </w:rPr>
      </w:pPr>
    </w:p>
    <w:p>
      <w:pPr>
        <w:jc w:val="both"/>
        <w:ind w:left="120"/>
        <w:spacing w:after="0" w:line="241" w:lineRule="auto"/>
        <w:rPr>
          <w:sz w:val="20"/>
          <w:szCs w:val="20"/>
          <w:color w:val="auto"/>
        </w:rPr>
      </w:pPr>
      <w:r>
        <w:rPr>
          <w:rFonts w:ascii="Arial" w:cs="Arial" w:eastAsia="Arial" w:hAnsi="Arial"/>
          <w:sz w:val="20"/>
          <w:szCs w:val="20"/>
          <w:color w:val="3E3935"/>
        </w:rPr>
        <w:t>If a broker, bank, or other nominee holds your shares, please contact your broker, bank, or other nominee directly if you have questions about delivery of materials, require additional copies of the Proxy Statement or Annual Report, or wish to receive multiple copies of proxy materials, which would require you to state that you do not consent to householding.</w:t>
      </w:r>
    </w:p>
    <w:p>
      <w:pPr>
        <w:spacing w:after="0" w:line="292" w:lineRule="exact"/>
        <w:rPr>
          <w:sz w:val="20"/>
          <w:szCs w:val="20"/>
          <w:color w:val="auto"/>
        </w:rPr>
      </w:pPr>
    </w:p>
    <w:p>
      <w:pPr>
        <w:ind w:left="660" w:hanging="544"/>
        <w:spacing w:after="0"/>
        <w:tabs>
          <w:tab w:leader="none" w:pos="660" w:val="left"/>
        </w:tabs>
        <w:numPr>
          <w:ilvl w:val="0"/>
          <w:numId w:val="168"/>
        </w:numPr>
        <w:rPr>
          <w:rFonts w:ascii="Times New Roman" w:cs="Times New Roman" w:eastAsia="Times New Roman" w:hAnsi="Times New Roman"/>
          <w:sz w:val="19"/>
          <w:szCs w:val="19"/>
          <w:color w:val="0071CE"/>
        </w:rPr>
      </w:pPr>
      <w:r>
        <w:rPr>
          <w:rFonts w:ascii="Arial" w:cs="Arial" w:eastAsia="Arial" w:hAnsi="Arial"/>
          <w:sz w:val="25"/>
          <w:szCs w:val="25"/>
          <w:color w:val="3E3935"/>
        </w:rPr>
        <w:t>Shareholder Proposals and Director Nominations for the 2024 Annual Meeting</w:t>
      </w:r>
    </w:p>
    <w:p>
      <w:pPr>
        <w:spacing w:after="0" w:line="228" w:lineRule="exact"/>
        <w:rPr>
          <w:sz w:val="20"/>
          <w:szCs w:val="20"/>
          <w:color w:val="auto"/>
        </w:rPr>
      </w:pPr>
    </w:p>
    <w:tbl>
      <w:tblPr>
        <w:tblLayout w:type="fixed"/>
        <w:tblInd w:w="130" w:type="dxa"/>
        <w:tblCellMar>
          <w:top w:w="0" w:type="dxa"/>
          <w:left w:w="0" w:type="dxa"/>
          <w:bottom w:w="0" w:type="dxa"/>
          <w:right w:w="0" w:type="dxa"/>
        </w:tblCellMar>
      </w:tblPr>
      <w:tr>
        <w:trPr>
          <w:trHeight w:val="262"/>
        </w:trPr>
        <w:tc>
          <w:tcPr>
            <w:tcW w:w="2520" w:type="dxa"/>
            <w:vAlign w:val="bottom"/>
            <w:tcBorders>
              <w:top w:val="single" w:sz="8" w:color="00C1DE"/>
              <w:left w:val="single" w:sz="8" w:color="00C1DE"/>
              <w:right w:val="single" w:sz="8" w:color="3E3935"/>
            </w:tcBorders>
          </w:tcPr>
          <w:p>
            <w:pPr>
              <w:ind w:left="220"/>
              <w:spacing w:after="0"/>
              <w:rPr>
                <w:sz w:val="20"/>
                <w:szCs w:val="20"/>
                <w:color w:val="auto"/>
              </w:rPr>
            </w:pPr>
            <w:r>
              <w:rPr>
                <w:rFonts w:ascii="Arial" w:cs="Arial" w:eastAsia="Arial" w:hAnsi="Arial"/>
                <w:sz w:val="20"/>
                <w:szCs w:val="20"/>
                <w:b w:val="1"/>
                <w:bCs w:val="1"/>
                <w:color w:val="00C1DE"/>
              </w:rPr>
              <w:t>Type of Proposal</w:t>
            </w:r>
          </w:p>
        </w:tc>
        <w:tc>
          <w:tcPr>
            <w:tcW w:w="2940" w:type="dxa"/>
            <w:vAlign w:val="bottom"/>
            <w:tcBorders>
              <w:top w:val="single" w:sz="8" w:color="00C1DE"/>
              <w:right w:val="single" w:sz="8" w:color="3E3935"/>
            </w:tcBorders>
          </w:tcPr>
          <w:p>
            <w:pPr>
              <w:ind w:left="60"/>
              <w:spacing w:after="0"/>
              <w:rPr>
                <w:sz w:val="20"/>
                <w:szCs w:val="20"/>
                <w:color w:val="auto"/>
              </w:rPr>
            </w:pPr>
            <w:r>
              <w:rPr>
                <w:rFonts w:ascii="Arial" w:cs="Arial" w:eastAsia="Arial" w:hAnsi="Arial"/>
                <w:sz w:val="20"/>
                <w:szCs w:val="20"/>
                <w:color w:val="3E3935"/>
              </w:rPr>
              <w:t>Rule 14a-8 Proposals by</w:t>
            </w:r>
          </w:p>
        </w:tc>
        <w:tc>
          <w:tcPr>
            <w:tcW w:w="2840" w:type="dxa"/>
            <w:vAlign w:val="bottom"/>
            <w:tcBorders>
              <w:top w:val="single" w:sz="8" w:color="00C1DE"/>
              <w:right w:val="single" w:sz="8" w:color="3E3935"/>
            </w:tcBorders>
          </w:tcPr>
          <w:p>
            <w:pPr>
              <w:ind w:left="80"/>
              <w:spacing w:after="0"/>
              <w:rPr>
                <w:sz w:val="20"/>
                <w:szCs w:val="20"/>
                <w:color w:val="auto"/>
              </w:rPr>
            </w:pPr>
            <w:r>
              <w:rPr>
                <w:rFonts w:ascii="Arial" w:cs="Arial" w:eastAsia="Arial" w:hAnsi="Arial"/>
                <w:sz w:val="20"/>
                <w:szCs w:val="20"/>
                <w:color w:val="3E3935"/>
              </w:rPr>
              <w:t>Director Nominees for</w:t>
            </w:r>
          </w:p>
        </w:tc>
        <w:tc>
          <w:tcPr>
            <w:tcW w:w="2620" w:type="dxa"/>
            <w:vAlign w:val="bottom"/>
            <w:tcBorders>
              <w:top w:val="single" w:sz="8" w:color="00C1DE"/>
              <w:right w:val="single" w:sz="8" w:color="00C1DE"/>
            </w:tcBorders>
          </w:tcPr>
          <w:p>
            <w:pPr>
              <w:ind w:left="100"/>
              <w:spacing w:after="0"/>
              <w:rPr>
                <w:sz w:val="20"/>
                <w:szCs w:val="20"/>
                <w:color w:val="auto"/>
              </w:rPr>
            </w:pPr>
            <w:r>
              <w:rPr>
                <w:rFonts w:ascii="Arial" w:cs="Arial" w:eastAsia="Arial" w:hAnsi="Arial"/>
                <w:sz w:val="20"/>
                <w:szCs w:val="20"/>
                <w:color w:val="3E3935"/>
              </w:rPr>
              <w:t>Other Proposals or</w:t>
            </w:r>
          </w:p>
        </w:tc>
      </w:tr>
      <w:tr>
        <w:trPr>
          <w:trHeight w:val="216"/>
        </w:trPr>
        <w:tc>
          <w:tcPr>
            <w:tcW w:w="2520" w:type="dxa"/>
            <w:vAlign w:val="bottom"/>
            <w:tcBorders>
              <w:left w:val="single" w:sz="8" w:color="00C1DE"/>
              <w:right w:val="single" w:sz="8" w:color="3E3935"/>
            </w:tcBorders>
          </w:tcPr>
          <w:p>
            <w:pPr>
              <w:spacing w:after="0"/>
              <w:rPr>
                <w:sz w:val="18"/>
                <w:szCs w:val="18"/>
                <w:color w:val="auto"/>
              </w:rPr>
            </w:pPr>
          </w:p>
        </w:tc>
        <w:tc>
          <w:tcPr>
            <w:tcW w:w="2940" w:type="dxa"/>
            <w:vAlign w:val="bottom"/>
            <w:tcBorders>
              <w:right w:val="single" w:sz="8" w:color="3E3935"/>
            </w:tcBorders>
          </w:tcPr>
          <w:p>
            <w:pPr>
              <w:ind w:left="60"/>
              <w:spacing w:after="0" w:line="216" w:lineRule="exact"/>
              <w:rPr>
                <w:sz w:val="20"/>
                <w:szCs w:val="20"/>
                <w:color w:val="auto"/>
              </w:rPr>
            </w:pPr>
            <w:r>
              <w:rPr>
                <w:rFonts w:ascii="Arial" w:cs="Arial" w:eastAsia="Arial" w:hAnsi="Arial"/>
                <w:sz w:val="20"/>
                <w:szCs w:val="20"/>
                <w:color w:val="3E3935"/>
              </w:rPr>
              <w:t>Shareholders for Inclusion in</w:t>
            </w:r>
          </w:p>
        </w:tc>
        <w:tc>
          <w:tcPr>
            <w:tcW w:w="2840" w:type="dxa"/>
            <w:vAlign w:val="bottom"/>
            <w:tcBorders>
              <w:right w:val="single" w:sz="8" w:color="3E3935"/>
            </w:tcBorders>
          </w:tcPr>
          <w:p>
            <w:pPr>
              <w:ind w:left="80"/>
              <w:spacing w:after="0" w:line="216" w:lineRule="exact"/>
              <w:rPr>
                <w:sz w:val="20"/>
                <w:szCs w:val="20"/>
                <w:color w:val="auto"/>
              </w:rPr>
            </w:pPr>
            <w:r>
              <w:rPr>
                <w:rFonts w:ascii="Arial" w:cs="Arial" w:eastAsia="Arial" w:hAnsi="Arial"/>
                <w:sz w:val="20"/>
                <w:szCs w:val="20"/>
                <w:color w:val="3E3935"/>
              </w:rPr>
              <w:t>Inclusion in Next Year’s</w:t>
            </w:r>
          </w:p>
        </w:tc>
        <w:tc>
          <w:tcPr>
            <w:tcW w:w="2620" w:type="dxa"/>
            <w:vAlign w:val="bottom"/>
            <w:tcBorders>
              <w:right w:val="single" w:sz="8" w:color="00C1DE"/>
            </w:tcBorders>
          </w:tcPr>
          <w:p>
            <w:pPr>
              <w:ind w:left="100"/>
              <w:spacing w:after="0" w:line="216" w:lineRule="exact"/>
              <w:rPr>
                <w:sz w:val="20"/>
                <w:szCs w:val="20"/>
                <w:color w:val="auto"/>
              </w:rPr>
            </w:pPr>
            <w:r>
              <w:rPr>
                <w:rFonts w:ascii="Arial" w:cs="Arial" w:eastAsia="Arial" w:hAnsi="Arial"/>
                <w:sz w:val="20"/>
                <w:szCs w:val="20"/>
                <w:color w:val="3E3935"/>
              </w:rPr>
              <w:t>Nominees for Presentation</w:t>
            </w:r>
          </w:p>
        </w:tc>
      </w:tr>
      <w:tr>
        <w:trPr>
          <w:trHeight w:val="216"/>
        </w:trPr>
        <w:tc>
          <w:tcPr>
            <w:tcW w:w="2520" w:type="dxa"/>
            <w:vAlign w:val="bottom"/>
            <w:tcBorders>
              <w:left w:val="single" w:sz="8" w:color="00C1DE"/>
              <w:right w:val="single" w:sz="8" w:color="3E3935"/>
            </w:tcBorders>
          </w:tcPr>
          <w:p>
            <w:pPr>
              <w:spacing w:after="0"/>
              <w:rPr>
                <w:sz w:val="18"/>
                <w:szCs w:val="18"/>
                <w:color w:val="auto"/>
              </w:rPr>
            </w:pPr>
          </w:p>
        </w:tc>
        <w:tc>
          <w:tcPr>
            <w:tcW w:w="2940" w:type="dxa"/>
            <w:vAlign w:val="bottom"/>
            <w:tcBorders>
              <w:right w:val="single" w:sz="8" w:color="3E3935"/>
            </w:tcBorders>
          </w:tcPr>
          <w:p>
            <w:pPr>
              <w:ind w:left="60"/>
              <w:spacing w:after="0" w:line="216" w:lineRule="exact"/>
              <w:rPr>
                <w:sz w:val="20"/>
                <w:szCs w:val="20"/>
                <w:color w:val="auto"/>
              </w:rPr>
            </w:pPr>
            <w:r>
              <w:rPr>
                <w:rFonts w:ascii="Arial" w:cs="Arial" w:eastAsia="Arial" w:hAnsi="Arial"/>
                <w:sz w:val="20"/>
                <w:szCs w:val="20"/>
                <w:color w:val="3E3935"/>
              </w:rPr>
              <w:t>Next Year’s Proxy Statement</w:t>
            </w:r>
          </w:p>
        </w:tc>
        <w:tc>
          <w:tcPr>
            <w:tcW w:w="2840" w:type="dxa"/>
            <w:vAlign w:val="bottom"/>
            <w:tcBorders>
              <w:right w:val="single" w:sz="8" w:color="3E3935"/>
            </w:tcBorders>
          </w:tcPr>
          <w:p>
            <w:pPr>
              <w:ind w:left="80"/>
              <w:spacing w:after="0" w:line="216" w:lineRule="exact"/>
              <w:rPr>
                <w:sz w:val="20"/>
                <w:szCs w:val="20"/>
                <w:color w:val="auto"/>
              </w:rPr>
            </w:pPr>
            <w:r>
              <w:rPr>
                <w:rFonts w:ascii="Arial" w:cs="Arial" w:eastAsia="Arial" w:hAnsi="Arial"/>
                <w:sz w:val="20"/>
                <w:szCs w:val="20"/>
                <w:color w:val="3E3935"/>
              </w:rPr>
              <w:t>Proxy Statement (Proxy</w:t>
            </w:r>
          </w:p>
        </w:tc>
        <w:tc>
          <w:tcPr>
            <w:tcW w:w="2620" w:type="dxa"/>
            <w:vAlign w:val="bottom"/>
            <w:tcBorders>
              <w:right w:val="single" w:sz="8" w:color="00C1DE"/>
            </w:tcBorders>
          </w:tcPr>
          <w:p>
            <w:pPr>
              <w:ind w:left="100"/>
              <w:spacing w:after="0" w:line="216" w:lineRule="exact"/>
              <w:rPr>
                <w:sz w:val="20"/>
                <w:szCs w:val="20"/>
                <w:color w:val="auto"/>
              </w:rPr>
            </w:pPr>
            <w:r>
              <w:rPr>
                <w:rFonts w:ascii="Arial" w:cs="Arial" w:eastAsia="Arial" w:hAnsi="Arial"/>
                <w:sz w:val="20"/>
                <w:szCs w:val="20"/>
                <w:color w:val="3E3935"/>
              </w:rPr>
              <w:t>at Next Year’s Annual</w:t>
            </w:r>
          </w:p>
        </w:tc>
      </w:tr>
      <w:tr>
        <w:trPr>
          <w:trHeight w:val="216"/>
        </w:trPr>
        <w:tc>
          <w:tcPr>
            <w:tcW w:w="2520" w:type="dxa"/>
            <w:vAlign w:val="bottom"/>
            <w:tcBorders>
              <w:left w:val="single" w:sz="8" w:color="00C1DE"/>
              <w:right w:val="single" w:sz="8" w:color="3E3935"/>
            </w:tcBorders>
          </w:tcPr>
          <w:p>
            <w:pPr>
              <w:spacing w:after="0"/>
              <w:rPr>
                <w:sz w:val="18"/>
                <w:szCs w:val="18"/>
                <w:color w:val="auto"/>
              </w:rPr>
            </w:pPr>
          </w:p>
        </w:tc>
        <w:tc>
          <w:tcPr>
            <w:tcW w:w="2940" w:type="dxa"/>
            <w:vAlign w:val="bottom"/>
            <w:tcBorders>
              <w:right w:val="single" w:sz="8" w:color="3E3935"/>
            </w:tcBorders>
          </w:tcPr>
          <w:p>
            <w:pPr>
              <w:spacing w:after="0"/>
              <w:rPr>
                <w:sz w:val="18"/>
                <w:szCs w:val="18"/>
                <w:color w:val="auto"/>
              </w:rPr>
            </w:pPr>
          </w:p>
        </w:tc>
        <w:tc>
          <w:tcPr>
            <w:tcW w:w="2840" w:type="dxa"/>
            <w:vAlign w:val="bottom"/>
            <w:tcBorders>
              <w:right w:val="single" w:sz="8" w:color="3E3935"/>
            </w:tcBorders>
          </w:tcPr>
          <w:p>
            <w:pPr>
              <w:ind w:left="80"/>
              <w:spacing w:after="0" w:line="216" w:lineRule="exact"/>
              <w:rPr>
                <w:sz w:val="20"/>
                <w:szCs w:val="20"/>
                <w:color w:val="auto"/>
              </w:rPr>
            </w:pPr>
            <w:r>
              <w:rPr>
                <w:rFonts w:ascii="Arial" w:cs="Arial" w:eastAsia="Arial" w:hAnsi="Arial"/>
                <w:sz w:val="20"/>
                <w:szCs w:val="20"/>
                <w:color w:val="3E3935"/>
              </w:rPr>
              <w:t>Access)</w:t>
            </w:r>
          </w:p>
        </w:tc>
        <w:tc>
          <w:tcPr>
            <w:tcW w:w="2620" w:type="dxa"/>
            <w:vAlign w:val="bottom"/>
            <w:tcBorders>
              <w:right w:val="single" w:sz="8" w:color="00C1DE"/>
            </w:tcBorders>
          </w:tcPr>
          <w:p>
            <w:pPr>
              <w:ind w:left="100"/>
              <w:spacing w:after="0" w:line="216" w:lineRule="exact"/>
              <w:rPr>
                <w:sz w:val="20"/>
                <w:szCs w:val="20"/>
                <w:color w:val="auto"/>
              </w:rPr>
            </w:pPr>
            <w:r>
              <w:rPr>
                <w:rFonts w:ascii="Arial" w:cs="Arial" w:eastAsia="Arial" w:hAnsi="Arial"/>
                <w:sz w:val="20"/>
                <w:szCs w:val="20"/>
                <w:color w:val="3E3935"/>
              </w:rPr>
              <w:t>Meeting (including under</w:t>
            </w:r>
          </w:p>
        </w:tc>
      </w:tr>
      <w:tr>
        <w:trPr>
          <w:trHeight w:val="261"/>
        </w:trPr>
        <w:tc>
          <w:tcPr>
            <w:tcW w:w="2520" w:type="dxa"/>
            <w:vAlign w:val="bottom"/>
            <w:tcBorders>
              <w:left w:val="single" w:sz="8" w:color="00C1DE"/>
              <w:right w:val="single" w:sz="8" w:color="3E3935"/>
            </w:tcBorders>
          </w:tcPr>
          <w:p>
            <w:pPr>
              <w:spacing w:after="0"/>
              <w:rPr>
                <w:sz w:val="22"/>
                <w:szCs w:val="22"/>
                <w:color w:val="auto"/>
              </w:rPr>
            </w:pPr>
          </w:p>
        </w:tc>
        <w:tc>
          <w:tcPr>
            <w:tcW w:w="2940" w:type="dxa"/>
            <w:vAlign w:val="bottom"/>
            <w:tcBorders>
              <w:right w:val="single" w:sz="8" w:color="3E3935"/>
            </w:tcBorders>
          </w:tcPr>
          <w:p>
            <w:pPr>
              <w:spacing w:after="0"/>
              <w:rPr>
                <w:sz w:val="22"/>
                <w:szCs w:val="22"/>
                <w:color w:val="auto"/>
              </w:rPr>
            </w:pPr>
          </w:p>
        </w:tc>
        <w:tc>
          <w:tcPr>
            <w:tcW w:w="2840" w:type="dxa"/>
            <w:vAlign w:val="bottom"/>
            <w:tcBorders>
              <w:right w:val="single" w:sz="8" w:color="3E3935"/>
            </w:tcBorders>
          </w:tcPr>
          <w:p>
            <w:pPr>
              <w:spacing w:after="0"/>
              <w:rPr>
                <w:sz w:val="22"/>
                <w:szCs w:val="22"/>
                <w:color w:val="auto"/>
              </w:rPr>
            </w:pPr>
          </w:p>
        </w:tc>
        <w:tc>
          <w:tcPr>
            <w:tcW w:w="2620" w:type="dxa"/>
            <w:vAlign w:val="bottom"/>
            <w:tcBorders>
              <w:right w:val="single" w:sz="8" w:color="00C1DE"/>
            </w:tcBorders>
          </w:tcPr>
          <w:p>
            <w:pPr>
              <w:ind w:left="100"/>
              <w:spacing w:after="0"/>
              <w:rPr>
                <w:sz w:val="20"/>
                <w:szCs w:val="20"/>
                <w:color w:val="auto"/>
              </w:rPr>
            </w:pPr>
            <w:r>
              <w:rPr>
                <w:rFonts w:ascii="Arial" w:cs="Arial" w:eastAsia="Arial" w:hAnsi="Arial"/>
                <w:sz w:val="20"/>
                <w:szCs w:val="20"/>
                <w:color w:val="3E3935"/>
              </w:rPr>
              <w:t>Rule 14a-19)</w:t>
            </w:r>
          </w:p>
        </w:tc>
      </w:tr>
      <w:tr>
        <w:trPr>
          <w:trHeight w:val="30"/>
        </w:trPr>
        <w:tc>
          <w:tcPr>
            <w:tcW w:w="2520" w:type="dxa"/>
            <w:vAlign w:val="bottom"/>
            <w:tcBorders>
              <w:left w:val="single" w:sz="8" w:color="00C1DE"/>
              <w:bottom w:val="single" w:sz="8" w:color="00C1DE"/>
              <w:right w:val="single" w:sz="8" w:color="3E3935"/>
            </w:tcBorders>
          </w:tcPr>
          <w:p>
            <w:pPr>
              <w:spacing w:after="0"/>
              <w:rPr>
                <w:sz w:val="2"/>
                <w:szCs w:val="2"/>
                <w:color w:val="auto"/>
              </w:rPr>
            </w:pPr>
          </w:p>
        </w:tc>
        <w:tc>
          <w:tcPr>
            <w:tcW w:w="2940" w:type="dxa"/>
            <w:vAlign w:val="bottom"/>
            <w:tcBorders>
              <w:bottom w:val="single" w:sz="8" w:color="00C1DE"/>
              <w:right w:val="single" w:sz="8" w:color="3E3935"/>
            </w:tcBorders>
          </w:tcPr>
          <w:p>
            <w:pPr>
              <w:spacing w:after="0"/>
              <w:rPr>
                <w:sz w:val="2"/>
                <w:szCs w:val="2"/>
                <w:color w:val="auto"/>
              </w:rPr>
            </w:pPr>
          </w:p>
        </w:tc>
        <w:tc>
          <w:tcPr>
            <w:tcW w:w="2840" w:type="dxa"/>
            <w:vAlign w:val="bottom"/>
            <w:tcBorders>
              <w:bottom w:val="single" w:sz="8" w:color="00C1DE"/>
              <w:right w:val="single" w:sz="8" w:color="3E3935"/>
            </w:tcBorders>
          </w:tcPr>
          <w:p>
            <w:pPr>
              <w:spacing w:after="0"/>
              <w:rPr>
                <w:sz w:val="2"/>
                <w:szCs w:val="2"/>
                <w:color w:val="auto"/>
              </w:rPr>
            </w:pPr>
          </w:p>
        </w:tc>
        <w:tc>
          <w:tcPr>
            <w:tcW w:w="2620" w:type="dxa"/>
            <w:vAlign w:val="bottom"/>
            <w:tcBorders>
              <w:bottom w:val="single" w:sz="8" w:color="00C1DE"/>
              <w:right w:val="single" w:sz="8" w:color="00C1DE"/>
            </w:tcBorders>
          </w:tcPr>
          <w:p>
            <w:pPr>
              <w:spacing w:after="0"/>
              <w:rPr>
                <w:sz w:val="2"/>
                <w:szCs w:val="2"/>
                <w:color w:val="auto"/>
              </w:rPr>
            </w:pPr>
          </w:p>
        </w:tc>
      </w:tr>
      <w:tr>
        <w:trPr>
          <w:trHeight w:val="242"/>
        </w:trPr>
        <w:tc>
          <w:tcPr>
            <w:tcW w:w="2520" w:type="dxa"/>
            <w:vAlign w:val="bottom"/>
            <w:tcBorders>
              <w:left w:val="single" w:sz="8" w:color="00C1DE"/>
              <w:right w:val="single" w:sz="8" w:color="3E3935"/>
            </w:tcBorders>
          </w:tcPr>
          <w:p>
            <w:pPr>
              <w:ind w:left="220"/>
              <w:spacing w:after="0"/>
              <w:rPr>
                <w:sz w:val="20"/>
                <w:szCs w:val="20"/>
                <w:color w:val="auto"/>
              </w:rPr>
            </w:pPr>
            <w:r>
              <w:rPr>
                <w:rFonts w:ascii="Arial" w:cs="Arial" w:eastAsia="Arial" w:hAnsi="Arial"/>
                <w:sz w:val="20"/>
                <w:szCs w:val="20"/>
                <w:b w:val="1"/>
                <w:bCs w:val="1"/>
                <w:color w:val="00C1DE"/>
              </w:rPr>
              <w:t>Rules/Provisions</w:t>
            </w:r>
          </w:p>
        </w:tc>
        <w:tc>
          <w:tcPr>
            <w:tcW w:w="2940" w:type="dxa"/>
            <w:vAlign w:val="bottom"/>
            <w:tcBorders>
              <w:right w:val="single" w:sz="8" w:color="3E3935"/>
            </w:tcBorders>
          </w:tcPr>
          <w:p>
            <w:pPr>
              <w:ind w:left="60"/>
              <w:spacing w:after="0"/>
              <w:rPr>
                <w:sz w:val="20"/>
                <w:szCs w:val="20"/>
                <w:color w:val="auto"/>
              </w:rPr>
            </w:pPr>
            <w:r>
              <w:rPr>
                <w:rFonts w:ascii="Arial" w:cs="Arial" w:eastAsia="Arial" w:hAnsi="Arial"/>
                <w:sz w:val="20"/>
                <w:szCs w:val="20"/>
                <w:color w:val="3E3935"/>
              </w:rPr>
              <w:t>SEC rules and our Bylaws</w:t>
            </w:r>
          </w:p>
        </w:tc>
        <w:tc>
          <w:tcPr>
            <w:tcW w:w="2840" w:type="dxa"/>
            <w:vAlign w:val="bottom"/>
            <w:tcBorders>
              <w:right w:val="single" w:sz="8" w:color="3E3935"/>
            </w:tcBorders>
          </w:tcPr>
          <w:p>
            <w:pPr>
              <w:ind w:left="80"/>
              <w:spacing w:after="0"/>
              <w:rPr>
                <w:sz w:val="20"/>
                <w:szCs w:val="20"/>
                <w:color w:val="auto"/>
              </w:rPr>
            </w:pPr>
            <w:r>
              <w:rPr>
                <w:rFonts w:ascii="Arial" w:cs="Arial" w:eastAsia="Arial" w:hAnsi="Arial"/>
                <w:sz w:val="20"/>
                <w:szCs w:val="20"/>
                <w:color w:val="3E3935"/>
              </w:rPr>
              <w:t>Our Bylaws permit a</w:t>
            </w:r>
          </w:p>
        </w:tc>
        <w:tc>
          <w:tcPr>
            <w:tcW w:w="2620" w:type="dxa"/>
            <w:vAlign w:val="bottom"/>
            <w:tcBorders>
              <w:right w:val="single" w:sz="8" w:color="00C1DE"/>
            </w:tcBorders>
          </w:tcPr>
          <w:p>
            <w:pPr>
              <w:ind w:left="100"/>
              <w:spacing w:after="0"/>
              <w:rPr>
                <w:sz w:val="20"/>
                <w:szCs w:val="20"/>
                <w:color w:val="auto"/>
              </w:rPr>
            </w:pPr>
            <w:r>
              <w:rPr>
                <w:rFonts w:ascii="Arial" w:cs="Arial" w:eastAsia="Arial" w:hAnsi="Arial"/>
                <w:sz w:val="20"/>
                <w:szCs w:val="20"/>
                <w:color w:val="3E3935"/>
              </w:rPr>
              <w:t>Our Bylaws require that any</w:t>
            </w:r>
          </w:p>
        </w:tc>
      </w:tr>
      <w:tr>
        <w:trPr>
          <w:trHeight w:val="216"/>
        </w:trPr>
        <w:tc>
          <w:tcPr>
            <w:tcW w:w="2520" w:type="dxa"/>
            <w:vAlign w:val="bottom"/>
            <w:tcBorders>
              <w:left w:val="single" w:sz="8" w:color="00C1DE"/>
              <w:right w:val="single" w:sz="8" w:color="3E3935"/>
            </w:tcBorders>
          </w:tcPr>
          <w:p>
            <w:pPr>
              <w:spacing w:after="0"/>
              <w:rPr>
                <w:sz w:val="18"/>
                <w:szCs w:val="18"/>
                <w:color w:val="auto"/>
              </w:rPr>
            </w:pPr>
          </w:p>
        </w:tc>
        <w:tc>
          <w:tcPr>
            <w:tcW w:w="2940" w:type="dxa"/>
            <w:vAlign w:val="bottom"/>
            <w:tcBorders>
              <w:right w:val="single" w:sz="8" w:color="3E3935"/>
            </w:tcBorders>
          </w:tcPr>
          <w:p>
            <w:pPr>
              <w:ind w:left="60"/>
              <w:spacing w:after="0" w:line="216" w:lineRule="exact"/>
              <w:rPr>
                <w:sz w:val="20"/>
                <w:szCs w:val="20"/>
                <w:color w:val="auto"/>
              </w:rPr>
            </w:pPr>
            <w:r>
              <w:rPr>
                <w:rFonts w:ascii="Arial" w:cs="Arial" w:eastAsia="Arial" w:hAnsi="Arial"/>
                <w:sz w:val="20"/>
                <w:szCs w:val="20"/>
                <w:color w:val="3E3935"/>
              </w:rPr>
              <w:t>permit shareholders to submit</w:t>
            </w:r>
          </w:p>
        </w:tc>
        <w:tc>
          <w:tcPr>
            <w:tcW w:w="2840" w:type="dxa"/>
            <w:vAlign w:val="bottom"/>
            <w:tcBorders>
              <w:right w:val="single" w:sz="8" w:color="3E3935"/>
            </w:tcBorders>
          </w:tcPr>
          <w:p>
            <w:pPr>
              <w:ind w:left="80"/>
              <w:spacing w:after="0" w:line="216" w:lineRule="exact"/>
              <w:rPr>
                <w:sz w:val="20"/>
                <w:szCs w:val="20"/>
                <w:color w:val="auto"/>
              </w:rPr>
            </w:pPr>
            <w:r>
              <w:rPr>
                <w:rFonts w:ascii="Arial" w:cs="Arial" w:eastAsia="Arial" w:hAnsi="Arial"/>
                <w:sz w:val="20"/>
                <w:szCs w:val="20"/>
                <w:color w:val="3E3935"/>
              </w:rPr>
              <w:t>shareholder or group of</w:t>
            </w:r>
          </w:p>
        </w:tc>
        <w:tc>
          <w:tcPr>
            <w:tcW w:w="2620" w:type="dxa"/>
            <w:vAlign w:val="bottom"/>
            <w:tcBorders>
              <w:right w:val="single" w:sz="8" w:color="00C1DE"/>
            </w:tcBorders>
          </w:tcPr>
          <w:p>
            <w:pPr>
              <w:ind w:left="100"/>
              <w:spacing w:after="0" w:line="216" w:lineRule="exact"/>
              <w:rPr>
                <w:sz w:val="20"/>
                <w:szCs w:val="20"/>
                <w:color w:val="auto"/>
              </w:rPr>
            </w:pPr>
            <w:r>
              <w:rPr>
                <w:rFonts w:ascii="Arial" w:cs="Arial" w:eastAsia="Arial" w:hAnsi="Arial"/>
                <w:sz w:val="20"/>
                <w:szCs w:val="20"/>
                <w:color w:val="3E3935"/>
              </w:rPr>
              <w:t>shareholder proposal,</w:t>
            </w:r>
          </w:p>
        </w:tc>
      </w:tr>
      <w:tr>
        <w:trPr>
          <w:trHeight w:val="216"/>
        </w:trPr>
        <w:tc>
          <w:tcPr>
            <w:tcW w:w="2520" w:type="dxa"/>
            <w:vAlign w:val="bottom"/>
            <w:tcBorders>
              <w:left w:val="single" w:sz="8" w:color="00C1DE"/>
              <w:right w:val="single" w:sz="8" w:color="3E3935"/>
            </w:tcBorders>
          </w:tcPr>
          <w:p>
            <w:pPr>
              <w:spacing w:after="0"/>
              <w:rPr>
                <w:sz w:val="18"/>
                <w:szCs w:val="18"/>
                <w:color w:val="auto"/>
              </w:rPr>
            </w:pPr>
          </w:p>
        </w:tc>
        <w:tc>
          <w:tcPr>
            <w:tcW w:w="2940" w:type="dxa"/>
            <w:vAlign w:val="bottom"/>
            <w:tcBorders>
              <w:right w:val="single" w:sz="8" w:color="3E3935"/>
            </w:tcBorders>
          </w:tcPr>
          <w:p>
            <w:pPr>
              <w:ind w:left="60"/>
              <w:spacing w:after="0" w:line="216" w:lineRule="exact"/>
              <w:rPr>
                <w:sz w:val="20"/>
                <w:szCs w:val="20"/>
                <w:color w:val="auto"/>
              </w:rPr>
            </w:pPr>
            <w:r>
              <w:rPr>
                <w:rFonts w:ascii="Arial" w:cs="Arial" w:eastAsia="Arial" w:hAnsi="Arial"/>
                <w:sz w:val="20"/>
                <w:szCs w:val="20"/>
                <w:color w:val="3E3935"/>
              </w:rPr>
              <w:t>proposals for inclusion in our</w:t>
            </w:r>
          </w:p>
        </w:tc>
        <w:tc>
          <w:tcPr>
            <w:tcW w:w="2840" w:type="dxa"/>
            <w:vAlign w:val="bottom"/>
            <w:tcBorders>
              <w:right w:val="single" w:sz="8" w:color="3E3935"/>
            </w:tcBorders>
          </w:tcPr>
          <w:p>
            <w:pPr>
              <w:ind w:left="80"/>
              <w:spacing w:after="0" w:line="216" w:lineRule="exact"/>
              <w:rPr>
                <w:sz w:val="20"/>
                <w:szCs w:val="20"/>
                <w:color w:val="auto"/>
              </w:rPr>
            </w:pPr>
            <w:r>
              <w:rPr>
                <w:rFonts w:ascii="Arial" w:cs="Arial" w:eastAsia="Arial" w:hAnsi="Arial"/>
                <w:sz w:val="20"/>
                <w:szCs w:val="20"/>
                <w:color w:val="3E3935"/>
              </w:rPr>
              <w:t>shareholders (up to 20) who</w:t>
            </w:r>
          </w:p>
        </w:tc>
        <w:tc>
          <w:tcPr>
            <w:tcW w:w="2620" w:type="dxa"/>
            <w:vAlign w:val="bottom"/>
            <w:tcBorders>
              <w:right w:val="single" w:sz="8" w:color="00C1DE"/>
            </w:tcBorders>
          </w:tcPr>
          <w:p>
            <w:pPr>
              <w:ind w:left="100"/>
              <w:spacing w:after="0" w:line="216" w:lineRule="exact"/>
              <w:rPr>
                <w:sz w:val="20"/>
                <w:szCs w:val="20"/>
                <w:color w:val="auto"/>
              </w:rPr>
            </w:pPr>
            <w:r>
              <w:rPr>
                <w:rFonts w:ascii="Arial" w:cs="Arial" w:eastAsia="Arial" w:hAnsi="Arial"/>
                <w:sz w:val="20"/>
                <w:szCs w:val="20"/>
                <w:color w:val="3E3935"/>
              </w:rPr>
              <w:t>including a director</w:t>
            </w:r>
          </w:p>
        </w:tc>
      </w:tr>
      <w:tr>
        <w:trPr>
          <w:trHeight w:val="216"/>
        </w:trPr>
        <w:tc>
          <w:tcPr>
            <w:tcW w:w="2520" w:type="dxa"/>
            <w:vAlign w:val="bottom"/>
            <w:tcBorders>
              <w:left w:val="single" w:sz="8" w:color="00C1DE"/>
              <w:right w:val="single" w:sz="8" w:color="3E3935"/>
            </w:tcBorders>
          </w:tcPr>
          <w:p>
            <w:pPr>
              <w:spacing w:after="0"/>
              <w:rPr>
                <w:sz w:val="18"/>
                <w:szCs w:val="18"/>
                <w:color w:val="auto"/>
              </w:rPr>
            </w:pPr>
          </w:p>
        </w:tc>
        <w:tc>
          <w:tcPr>
            <w:tcW w:w="2940" w:type="dxa"/>
            <w:vAlign w:val="bottom"/>
            <w:tcBorders>
              <w:right w:val="single" w:sz="8" w:color="3E3935"/>
            </w:tcBorders>
          </w:tcPr>
          <w:p>
            <w:pPr>
              <w:ind w:left="60"/>
              <w:spacing w:after="0" w:line="216" w:lineRule="exact"/>
              <w:rPr>
                <w:sz w:val="20"/>
                <w:szCs w:val="20"/>
                <w:color w:val="auto"/>
              </w:rPr>
            </w:pPr>
            <w:r>
              <w:rPr>
                <w:rFonts w:ascii="Arial" w:cs="Arial" w:eastAsia="Arial" w:hAnsi="Arial"/>
                <w:sz w:val="20"/>
                <w:szCs w:val="20"/>
                <w:color w:val="3E3935"/>
              </w:rPr>
              <w:t>Proxy Statement if the</w:t>
            </w:r>
          </w:p>
        </w:tc>
        <w:tc>
          <w:tcPr>
            <w:tcW w:w="2840" w:type="dxa"/>
            <w:vAlign w:val="bottom"/>
            <w:tcBorders>
              <w:right w:val="single" w:sz="8" w:color="3E3935"/>
            </w:tcBorders>
          </w:tcPr>
          <w:p>
            <w:pPr>
              <w:ind w:left="80"/>
              <w:spacing w:after="0" w:line="216" w:lineRule="exact"/>
              <w:rPr>
                <w:sz w:val="20"/>
                <w:szCs w:val="20"/>
                <w:color w:val="auto"/>
              </w:rPr>
            </w:pPr>
            <w:r>
              <w:rPr>
                <w:rFonts w:ascii="Arial" w:cs="Arial" w:eastAsia="Arial" w:hAnsi="Arial"/>
                <w:sz w:val="20"/>
                <w:szCs w:val="20"/>
                <w:color w:val="3E3935"/>
              </w:rPr>
              <w:t>have owned a significant</w:t>
            </w:r>
          </w:p>
        </w:tc>
        <w:tc>
          <w:tcPr>
            <w:tcW w:w="2620" w:type="dxa"/>
            <w:vAlign w:val="bottom"/>
            <w:tcBorders>
              <w:right w:val="single" w:sz="8" w:color="00C1DE"/>
            </w:tcBorders>
          </w:tcPr>
          <w:p>
            <w:pPr>
              <w:ind w:left="100"/>
              <w:spacing w:after="0" w:line="216" w:lineRule="exact"/>
              <w:rPr>
                <w:sz w:val="20"/>
                <w:szCs w:val="20"/>
                <w:color w:val="auto"/>
              </w:rPr>
            </w:pPr>
            <w:r>
              <w:rPr>
                <w:rFonts w:ascii="Arial" w:cs="Arial" w:eastAsia="Arial" w:hAnsi="Arial"/>
                <w:sz w:val="20"/>
                <w:szCs w:val="20"/>
                <w:color w:val="3E3935"/>
              </w:rPr>
              <w:t>nomination, that is not</w:t>
            </w:r>
          </w:p>
        </w:tc>
      </w:tr>
      <w:tr>
        <w:trPr>
          <w:trHeight w:val="216"/>
        </w:trPr>
        <w:tc>
          <w:tcPr>
            <w:tcW w:w="2520" w:type="dxa"/>
            <w:vAlign w:val="bottom"/>
            <w:tcBorders>
              <w:left w:val="single" w:sz="8" w:color="00C1DE"/>
              <w:right w:val="single" w:sz="8" w:color="3E3935"/>
            </w:tcBorders>
          </w:tcPr>
          <w:p>
            <w:pPr>
              <w:spacing w:after="0"/>
              <w:rPr>
                <w:sz w:val="18"/>
                <w:szCs w:val="18"/>
                <w:color w:val="auto"/>
              </w:rPr>
            </w:pPr>
          </w:p>
        </w:tc>
        <w:tc>
          <w:tcPr>
            <w:tcW w:w="2940" w:type="dxa"/>
            <w:vAlign w:val="bottom"/>
            <w:tcBorders>
              <w:right w:val="single" w:sz="8" w:color="3E3935"/>
            </w:tcBorders>
          </w:tcPr>
          <w:p>
            <w:pPr>
              <w:ind w:left="60"/>
              <w:spacing w:after="0" w:line="216" w:lineRule="exact"/>
              <w:rPr>
                <w:sz w:val="20"/>
                <w:szCs w:val="20"/>
                <w:color w:val="auto"/>
              </w:rPr>
            </w:pPr>
            <w:r>
              <w:rPr>
                <w:rFonts w:ascii="Arial" w:cs="Arial" w:eastAsia="Arial" w:hAnsi="Arial"/>
                <w:sz w:val="20"/>
                <w:szCs w:val="20"/>
                <w:color w:val="3E3935"/>
              </w:rPr>
              <w:t>shareholder and the proposal</w:t>
            </w:r>
          </w:p>
        </w:tc>
        <w:tc>
          <w:tcPr>
            <w:tcW w:w="2840" w:type="dxa"/>
            <w:vAlign w:val="bottom"/>
            <w:tcBorders>
              <w:right w:val="single" w:sz="8" w:color="3E3935"/>
            </w:tcBorders>
          </w:tcPr>
          <w:p>
            <w:pPr>
              <w:ind w:left="80"/>
              <w:spacing w:after="0" w:line="216" w:lineRule="exact"/>
              <w:rPr>
                <w:sz w:val="20"/>
                <w:szCs w:val="20"/>
                <w:color w:val="auto"/>
              </w:rPr>
            </w:pPr>
            <w:r>
              <w:rPr>
                <w:rFonts w:ascii="Arial" w:cs="Arial" w:eastAsia="Arial" w:hAnsi="Arial"/>
                <w:sz w:val="20"/>
                <w:szCs w:val="20"/>
                <w:color w:val="3E3935"/>
              </w:rPr>
              <w:t>amount of common stock (at</w:t>
            </w:r>
          </w:p>
        </w:tc>
        <w:tc>
          <w:tcPr>
            <w:tcW w:w="2620" w:type="dxa"/>
            <w:vAlign w:val="bottom"/>
            <w:tcBorders>
              <w:right w:val="single" w:sz="8" w:color="00C1DE"/>
            </w:tcBorders>
          </w:tcPr>
          <w:p>
            <w:pPr>
              <w:ind w:left="100"/>
              <w:spacing w:after="0" w:line="216" w:lineRule="exact"/>
              <w:rPr>
                <w:sz w:val="20"/>
                <w:szCs w:val="20"/>
                <w:color w:val="auto"/>
              </w:rPr>
            </w:pPr>
            <w:r>
              <w:rPr>
                <w:rFonts w:ascii="Arial" w:cs="Arial" w:eastAsia="Arial" w:hAnsi="Arial"/>
                <w:sz w:val="20"/>
                <w:szCs w:val="20"/>
                <w:color w:val="3E3935"/>
              </w:rPr>
              <w:t>submitted for inclusion in</w:t>
            </w:r>
          </w:p>
        </w:tc>
      </w:tr>
      <w:tr>
        <w:trPr>
          <w:trHeight w:val="216"/>
        </w:trPr>
        <w:tc>
          <w:tcPr>
            <w:tcW w:w="2520" w:type="dxa"/>
            <w:vAlign w:val="bottom"/>
            <w:tcBorders>
              <w:left w:val="single" w:sz="8" w:color="00C1DE"/>
              <w:right w:val="single" w:sz="8" w:color="3E3935"/>
            </w:tcBorders>
          </w:tcPr>
          <w:p>
            <w:pPr>
              <w:spacing w:after="0"/>
              <w:rPr>
                <w:sz w:val="18"/>
                <w:szCs w:val="18"/>
                <w:color w:val="auto"/>
              </w:rPr>
            </w:pPr>
          </w:p>
        </w:tc>
        <w:tc>
          <w:tcPr>
            <w:tcW w:w="2940" w:type="dxa"/>
            <w:vAlign w:val="bottom"/>
            <w:tcBorders>
              <w:right w:val="single" w:sz="8" w:color="3E3935"/>
            </w:tcBorders>
          </w:tcPr>
          <w:p>
            <w:pPr>
              <w:ind w:left="60"/>
              <w:spacing w:after="0" w:line="216" w:lineRule="exact"/>
              <w:rPr>
                <w:sz w:val="20"/>
                <w:szCs w:val="20"/>
                <w:color w:val="auto"/>
              </w:rPr>
            </w:pPr>
            <w:r>
              <w:rPr>
                <w:rFonts w:ascii="Arial" w:cs="Arial" w:eastAsia="Arial" w:hAnsi="Arial"/>
                <w:sz w:val="20"/>
                <w:szCs w:val="20"/>
                <w:color w:val="3E3935"/>
              </w:rPr>
              <w:t>meet the requirements</w:t>
            </w:r>
          </w:p>
        </w:tc>
        <w:tc>
          <w:tcPr>
            <w:tcW w:w="2840" w:type="dxa"/>
            <w:vAlign w:val="bottom"/>
            <w:tcBorders>
              <w:right w:val="single" w:sz="8" w:color="3E3935"/>
            </w:tcBorders>
          </w:tcPr>
          <w:p>
            <w:pPr>
              <w:ind w:left="80"/>
              <w:spacing w:after="0" w:line="216" w:lineRule="exact"/>
              <w:rPr>
                <w:sz w:val="20"/>
                <w:szCs w:val="20"/>
                <w:color w:val="auto"/>
              </w:rPr>
            </w:pPr>
            <w:r>
              <w:rPr>
                <w:rFonts w:ascii="Arial" w:cs="Arial" w:eastAsia="Arial" w:hAnsi="Arial"/>
                <w:sz w:val="20"/>
                <w:szCs w:val="20"/>
                <w:color w:val="3E3935"/>
              </w:rPr>
              <w:t>least 3 percent) for a</w:t>
            </w:r>
          </w:p>
        </w:tc>
        <w:tc>
          <w:tcPr>
            <w:tcW w:w="2620" w:type="dxa"/>
            <w:vAlign w:val="bottom"/>
            <w:tcBorders>
              <w:right w:val="single" w:sz="8" w:color="00C1DE"/>
            </w:tcBorders>
          </w:tcPr>
          <w:p>
            <w:pPr>
              <w:ind w:left="100"/>
              <w:spacing w:after="0" w:line="216" w:lineRule="exact"/>
              <w:rPr>
                <w:sz w:val="20"/>
                <w:szCs w:val="20"/>
                <w:color w:val="auto"/>
              </w:rPr>
            </w:pPr>
            <w:r>
              <w:rPr>
                <w:rFonts w:ascii="Arial" w:cs="Arial" w:eastAsia="Arial" w:hAnsi="Arial"/>
                <w:sz w:val="20"/>
                <w:szCs w:val="20"/>
                <w:color w:val="3E3935"/>
              </w:rPr>
              <w:t>next year’s Proxy</w:t>
            </w:r>
          </w:p>
        </w:tc>
      </w:tr>
      <w:tr>
        <w:trPr>
          <w:trHeight w:val="216"/>
        </w:trPr>
        <w:tc>
          <w:tcPr>
            <w:tcW w:w="2520" w:type="dxa"/>
            <w:vAlign w:val="bottom"/>
            <w:tcBorders>
              <w:left w:val="single" w:sz="8" w:color="00C1DE"/>
              <w:right w:val="single" w:sz="8" w:color="3E3935"/>
            </w:tcBorders>
          </w:tcPr>
          <w:p>
            <w:pPr>
              <w:spacing w:after="0"/>
              <w:rPr>
                <w:sz w:val="18"/>
                <w:szCs w:val="18"/>
                <w:color w:val="auto"/>
              </w:rPr>
            </w:pPr>
          </w:p>
        </w:tc>
        <w:tc>
          <w:tcPr>
            <w:tcW w:w="2940" w:type="dxa"/>
            <w:vAlign w:val="bottom"/>
            <w:tcBorders>
              <w:right w:val="single" w:sz="8" w:color="3E3935"/>
            </w:tcBorders>
          </w:tcPr>
          <w:p>
            <w:pPr>
              <w:ind w:left="60"/>
              <w:spacing w:after="0" w:line="216" w:lineRule="exact"/>
              <w:rPr>
                <w:sz w:val="20"/>
                <w:szCs w:val="20"/>
                <w:color w:val="auto"/>
              </w:rPr>
            </w:pPr>
            <w:r>
              <w:rPr>
                <w:rFonts w:ascii="Arial" w:cs="Arial" w:eastAsia="Arial" w:hAnsi="Arial"/>
                <w:sz w:val="20"/>
                <w:szCs w:val="20"/>
                <w:color w:val="3E3935"/>
              </w:rPr>
              <w:t>specified in SEC Rule 14a-8.</w:t>
            </w:r>
          </w:p>
        </w:tc>
        <w:tc>
          <w:tcPr>
            <w:tcW w:w="2840" w:type="dxa"/>
            <w:vAlign w:val="bottom"/>
            <w:tcBorders>
              <w:right w:val="single" w:sz="8" w:color="3E3935"/>
            </w:tcBorders>
          </w:tcPr>
          <w:p>
            <w:pPr>
              <w:ind w:left="80"/>
              <w:spacing w:after="0" w:line="216" w:lineRule="exact"/>
              <w:rPr>
                <w:sz w:val="20"/>
                <w:szCs w:val="20"/>
                <w:color w:val="auto"/>
              </w:rPr>
            </w:pPr>
            <w:r>
              <w:rPr>
                <w:rFonts w:ascii="Arial" w:cs="Arial" w:eastAsia="Arial" w:hAnsi="Arial"/>
                <w:sz w:val="20"/>
                <w:szCs w:val="20"/>
                <w:color w:val="3E3935"/>
              </w:rPr>
              <w:t>significant amount of time (at</w:t>
            </w:r>
          </w:p>
        </w:tc>
        <w:tc>
          <w:tcPr>
            <w:tcW w:w="2620" w:type="dxa"/>
            <w:vAlign w:val="bottom"/>
            <w:tcBorders>
              <w:right w:val="single" w:sz="8" w:color="00C1DE"/>
            </w:tcBorders>
          </w:tcPr>
          <w:p>
            <w:pPr>
              <w:ind w:left="100"/>
              <w:spacing w:after="0" w:line="216" w:lineRule="exact"/>
              <w:rPr>
                <w:sz w:val="20"/>
                <w:szCs w:val="20"/>
                <w:color w:val="auto"/>
              </w:rPr>
            </w:pPr>
            <w:r>
              <w:rPr>
                <w:rFonts w:ascii="Arial" w:cs="Arial" w:eastAsia="Arial" w:hAnsi="Arial"/>
                <w:sz w:val="20"/>
                <w:szCs w:val="20"/>
                <w:color w:val="3E3935"/>
              </w:rPr>
              <w:t>Statement (either under</w:t>
            </w:r>
          </w:p>
        </w:tc>
      </w:tr>
      <w:tr>
        <w:trPr>
          <w:trHeight w:val="216"/>
        </w:trPr>
        <w:tc>
          <w:tcPr>
            <w:tcW w:w="2520" w:type="dxa"/>
            <w:vAlign w:val="bottom"/>
            <w:tcBorders>
              <w:left w:val="single" w:sz="8" w:color="00C1DE"/>
              <w:right w:val="single" w:sz="8" w:color="3E3935"/>
            </w:tcBorders>
          </w:tcPr>
          <w:p>
            <w:pPr>
              <w:spacing w:after="0"/>
              <w:rPr>
                <w:sz w:val="18"/>
                <w:szCs w:val="18"/>
                <w:color w:val="auto"/>
              </w:rPr>
            </w:pPr>
          </w:p>
        </w:tc>
        <w:tc>
          <w:tcPr>
            <w:tcW w:w="2940" w:type="dxa"/>
            <w:vAlign w:val="bottom"/>
            <w:tcBorders>
              <w:right w:val="single" w:sz="8" w:color="3E3935"/>
            </w:tcBorders>
          </w:tcPr>
          <w:p>
            <w:pPr>
              <w:spacing w:after="0"/>
              <w:rPr>
                <w:sz w:val="18"/>
                <w:szCs w:val="18"/>
                <w:color w:val="auto"/>
              </w:rPr>
            </w:pPr>
          </w:p>
        </w:tc>
        <w:tc>
          <w:tcPr>
            <w:tcW w:w="2840" w:type="dxa"/>
            <w:vAlign w:val="bottom"/>
            <w:tcBorders>
              <w:right w:val="single" w:sz="8" w:color="3E3935"/>
            </w:tcBorders>
          </w:tcPr>
          <w:p>
            <w:pPr>
              <w:ind w:left="80"/>
              <w:spacing w:after="0" w:line="216" w:lineRule="exact"/>
              <w:rPr>
                <w:sz w:val="20"/>
                <w:szCs w:val="20"/>
                <w:color w:val="auto"/>
              </w:rPr>
            </w:pPr>
            <w:r>
              <w:rPr>
                <w:rFonts w:ascii="Arial" w:cs="Arial" w:eastAsia="Arial" w:hAnsi="Arial"/>
                <w:sz w:val="20"/>
                <w:szCs w:val="20"/>
                <w:color w:val="3E3935"/>
              </w:rPr>
              <w:t>least three years) to submit</w:t>
            </w:r>
          </w:p>
        </w:tc>
        <w:tc>
          <w:tcPr>
            <w:tcW w:w="2620" w:type="dxa"/>
            <w:vAlign w:val="bottom"/>
            <w:tcBorders>
              <w:right w:val="single" w:sz="8" w:color="00C1DE"/>
            </w:tcBorders>
          </w:tcPr>
          <w:p>
            <w:pPr>
              <w:ind w:left="100"/>
              <w:spacing w:after="0" w:line="216" w:lineRule="exact"/>
              <w:rPr>
                <w:sz w:val="20"/>
                <w:szCs w:val="20"/>
                <w:color w:val="auto"/>
              </w:rPr>
            </w:pPr>
            <w:r>
              <w:rPr>
                <w:rFonts w:ascii="Arial" w:cs="Arial" w:eastAsia="Arial" w:hAnsi="Arial"/>
                <w:sz w:val="20"/>
                <w:szCs w:val="20"/>
                <w:color w:val="3E3935"/>
              </w:rPr>
              <w:t>SEC Rule 14a-8 or our</w:t>
            </w:r>
          </w:p>
        </w:tc>
      </w:tr>
      <w:tr>
        <w:trPr>
          <w:trHeight w:val="216"/>
        </w:trPr>
        <w:tc>
          <w:tcPr>
            <w:tcW w:w="2520" w:type="dxa"/>
            <w:vAlign w:val="bottom"/>
            <w:tcBorders>
              <w:left w:val="single" w:sz="8" w:color="00C1DE"/>
              <w:right w:val="single" w:sz="8" w:color="3E3935"/>
            </w:tcBorders>
          </w:tcPr>
          <w:p>
            <w:pPr>
              <w:spacing w:after="0"/>
              <w:rPr>
                <w:sz w:val="18"/>
                <w:szCs w:val="18"/>
                <w:color w:val="auto"/>
              </w:rPr>
            </w:pPr>
          </w:p>
        </w:tc>
        <w:tc>
          <w:tcPr>
            <w:tcW w:w="2940" w:type="dxa"/>
            <w:vAlign w:val="bottom"/>
            <w:tcBorders>
              <w:right w:val="single" w:sz="8" w:color="3E3935"/>
            </w:tcBorders>
          </w:tcPr>
          <w:p>
            <w:pPr>
              <w:spacing w:after="0"/>
              <w:rPr>
                <w:sz w:val="18"/>
                <w:szCs w:val="18"/>
                <w:color w:val="auto"/>
              </w:rPr>
            </w:pPr>
          </w:p>
        </w:tc>
        <w:tc>
          <w:tcPr>
            <w:tcW w:w="2840" w:type="dxa"/>
            <w:vAlign w:val="bottom"/>
            <w:tcBorders>
              <w:right w:val="single" w:sz="8" w:color="3E3935"/>
            </w:tcBorders>
          </w:tcPr>
          <w:p>
            <w:pPr>
              <w:ind w:left="80"/>
              <w:spacing w:after="0" w:line="216" w:lineRule="exact"/>
              <w:rPr>
                <w:sz w:val="20"/>
                <w:szCs w:val="20"/>
                <w:color w:val="auto"/>
              </w:rPr>
            </w:pPr>
            <w:r>
              <w:rPr>
                <w:rFonts w:ascii="Arial" w:cs="Arial" w:eastAsia="Arial" w:hAnsi="Arial"/>
                <w:sz w:val="20"/>
                <w:szCs w:val="20"/>
                <w:color w:val="3E3935"/>
              </w:rPr>
              <w:t>director nominees (up to 20</w:t>
            </w:r>
          </w:p>
        </w:tc>
        <w:tc>
          <w:tcPr>
            <w:tcW w:w="2620" w:type="dxa"/>
            <w:vAlign w:val="bottom"/>
            <w:tcBorders>
              <w:right w:val="single" w:sz="8" w:color="00C1DE"/>
            </w:tcBorders>
          </w:tcPr>
          <w:p>
            <w:pPr>
              <w:ind w:left="100"/>
              <w:spacing w:after="0" w:line="216" w:lineRule="exact"/>
              <w:rPr>
                <w:sz w:val="20"/>
                <w:szCs w:val="20"/>
                <w:color w:val="auto"/>
              </w:rPr>
            </w:pPr>
            <w:r>
              <w:rPr>
                <w:rFonts w:ascii="Arial" w:cs="Arial" w:eastAsia="Arial" w:hAnsi="Arial"/>
                <w:sz w:val="20"/>
                <w:szCs w:val="20"/>
                <w:color w:val="3E3935"/>
              </w:rPr>
              <w:t>proxy access bylaw), but is</w:t>
            </w:r>
          </w:p>
        </w:tc>
      </w:tr>
      <w:tr>
        <w:trPr>
          <w:trHeight w:val="216"/>
        </w:trPr>
        <w:tc>
          <w:tcPr>
            <w:tcW w:w="2520" w:type="dxa"/>
            <w:vAlign w:val="bottom"/>
            <w:tcBorders>
              <w:left w:val="single" w:sz="8" w:color="00C1DE"/>
              <w:right w:val="single" w:sz="8" w:color="3E3935"/>
            </w:tcBorders>
          </w:tcPr>
          <w:p>
            <w:pPr>
              <w:spacing w:after="0"/>
              <w:rPr>
                <w:sz w:val="18"/>
                <w:szCs w:val="18"/>
                <w:color w:val="auto"/>
              </w:rPr>
            </w:pPr>
          </w:p>
        </w:tc>
        <w:tc>
          <w:tcPr>
            <w:tcW w:w="2940" w:type="dxa"/>
            <w:vAlign w:val="bottom"/>
            <w:tcBorders>
              <w:right w:val="single" w:sz="8" w:color="3E3935"/>
            </w:tcBorders>
          </w:tcPr>
          <w:p>
            <w:pPr>
              <w:spacing w:after="0"/>
              <w:rPr>
                <w:sz w:val="18"/>
                <w:szCs w:val="18"/>
                <w:color w:val="auto"/>
              </w:rPr>
            </w:pPr>
          </w:p>
        </w:tc>
        <w:tc>
          <w:tcPr>
            <w:tcW w:w="2840" w:type="dxa"/>
            <w:vAlign w:val="bottom"/>
            <w:tcBorders>
              <w:right w:val="single" w:sz="8" w:color="3E3935"/>
            </w:tcBorders>
          </w:tcPr>
          <w:p>
            <w:pPr>
              <w:ind w:left="80"/>
              <w:spacing w:after="0" w:line="216" w:lineRule="exact"/>
              <w:rPr>
                <w:sz w:val="20"/>
                <w:szCs w:val="20"/>
                <w:color w:val="auto"/>
              </w:rPr>
            </w:pPr>
            <w:r>
              <w:rPr>
                <w:rFonts w:ascii="Arial" w:cs="Arial" w:eastAsia="Arial" w:hAnsi="Arial"/>
                <w:sz w:val="20"/>
                <w:szCs w:val="20"/>
                <w:color w:val="3E3935"/>
              </w:rPr>
              <w:t>percent of the Board or two</w:t>
            </w:r>
          </w:p>
        </w:tc>
        <w:tc>
          <w:tcPr>
            <w:tcW w:w="2620" w:type="dxa"/>
            <w:vAlign w:val="bottom"/>
            <w:tcBorders>
              <w:right w:val="single" w:sz="8" w:color="00C1DE"/>
            </w:tcBorders>
          </w:tcPr>
          <w:p>
            <w:pPr>
              <w:ind w:left="100"/>
              <w:spacing w:after="0" w:line="216" w:lineRule="exact"/>
              <w:rPr>
                <w:sz w:val="20"/>
                <w:szCs w:val="20"/>
                <w:color w:val="auto"/>
              </w:rPr>
            </w:pPr>
            <w:r>
              <w:rPr>
                <w:rFonts w:ascii="Arial" w:cs="Arial" w:eastAsia="Arial" w:hAnsi="Arial"/>
                <w:sz w:val="20"/>
                <w:szCs w:val="20"/>
                <w:color w:val="3E3935"/>
              </w:rPr>
              <w:t>instead sought to be</w:t>
            </w:r>
          </w:p>
        </w:tc>
      </w:tr>
      <w:tr>
        <w:trPr>
          <w:trHeight w:val="216"/>
        </w:trPr>
        <w:tc>
          <w:tcPr>
            <w:tcW w:w="2520" w:type="dxa"/>
            <w:vAlign w:val="bottom"/>
            <w:tcBorders>
              <w:left w:val="single" w:sz="8" w:color="00C1DE"/>
              <w:right w:val="single" w:sz="8" w:color="3E3935"/>
            </w:tcBorders>
          </w:tcPr>
          <w:p>
            <w:pPr>
              <w:spacing w:after="0"/>
              <w:rPr>
                <w:sz w:val="18"/>
                <w:szCs w:val="18"/>
                <w:color w:val="auto"/>
              </w:rPr>
            </w:pPr>
          </w:p>
        </w:tc>
        <w:tc>
          <w:tcPr>
            <w:tcW w:w="2940" w:type="dxa"/>
            <w:vAlign w:val="bottom"/>
            <w:tcBorders>
              <w:right w:val="single" w:sz="8" w:color="3E3935"/>
            </w:tcBorders>
          </w:tcPr>
          <w:p>
            <w:pPr>
              <w:spacing w:after="0"/>
              <w:rPr>
                <w:sz w:val="18"/>
                <w:szCs w:val="18"/>
                <w:color w:val="auto"/>
              </w:rPr>
            </w:pPr>
          </w:p>
        </w:tc>
        <w:tc>
          <w:tcPr>
            <w:tcW w:w="2840" w:type="dxa"/>
            <w:vAlign w:val="bottom"/>
            <w:tcBorders>
              <w:right w:val="single" w:sz="8" w:color="3E3935"/>
            </w:tcBorders>
          </w:tcPr>
          <w:p>
            <w:pPr>
              <w:ind w:left="80"/>
              <w:spacing w:after="0" w:line="216" w:lineRule="exact"/>
              <w:rPr>
                <w:sz w:val="20"/>
                <w:szCs w:val="20"/>
                <w:color w:val="auto"/>
              </w:rPr>
            </w:pPr>
            <w:r>
              <w:rPr>
                <w:rFonts w:ascii="Arial" w:cs="Arial" w:eastAsia="Arial" w:hAnsi="Arial"/>
                <w:sz w:val="20"/>
                <w:szCs w:val="20"/>
                <w:color w:val="3E3935"/>
              </w:rPr>
              <w:t>directors, whichever is</w:t>
            </w:r>
          </w:p>
        </w:tc>
        <w:tc>
          <w:tcPr>
            <w:tcW w:w="2620" w:type="dxa"/>
            <w:vAlign w:val="bottom"/>
            <w:tcBorders>
              <w:right w:val="single" w:sz="8" w:color="00C1DE"/>
            </w:tcBorders>
          </w:tcPr>
          <w:p>
            <w:pPr>
              <w:ind w:left="100"/>
              <w:spacing w:after="0" w:line="216" w:lineRule="exact"/>
              <w:rPr>
                <w:sz w:val="20"/>
                <w:szCs w:val="20"/>
                <w:color w:val="auto"/>
              </w:rPr>
            </w:pPr>
            <w:r>
              <w:rPr>
                <w:rFonts w:ascii="Arial" w:cs="Arial" w:eastAsia="Arial" w:hAnsi="Arial"/>
                <w:sz w:val="20"/>
                <w:szCs w:val="20"/>
                <w:color w:val="3E3935"/>
              </w:rPr>
              <w:t>presented directly at next</w:t>
            </w:r>
          </w:p>
        </w:tc>
      </w:tr>
      <w:tr>
        <w:trPr>
          <w:trHeight w:val="216"/>
        </w:trPr>
        <w:tc>
          <w:tcPr>
            <w:tcW w:w="2520" w:type="dxa"/>
            <w:vAlign w:val="bottom"/>
            <w:tcBorders>
              <w:left w:val="single" w:sz="8" w:color="00C1DE"/>
              <w:right w:val="single" w:sz="8" w:color="3E3935"/>
            </w:tcBorders>
          </w:tcPr>
          <w:p>
            <w:pPr>
              <w:spacing w:after="0"/>
              <w:rPr>
                <w:sz w:val="18"/>
                <w:szCs w:val="18"/>
                <w:color w:val="auto"/>
              </w:rPr>
            </w:pPr>
          </w:p>
        </w:tc>
        <w:tc>
          <w:tcPr>
            <w:tcW w:w="2940" w:type="dxa"/>
            <w:vAlign w:val="bottom"/>
            <w:tcBorders>
              <w:right w:val="single" w:sz="8" w:color="3E3935"/>
            </w:tcBorders>
          </w:tcPr>
          <w:p>
            <w:pPr>
              <w:spacing w:after="0"/>
              <w:rPr>
                <w:sz w:val="18"/>
                <w:szCs w:val="18"/>
                <w:color w:val="auto"/>
              </w:rPr>
            </w:pPr>
          </w:p>
        </w:tc>
        <w:tc>
          <w:tcPr>
            <w:tcW w:w="2840" w:type="dxa"/>
            <w:vAlign w:val="bottom"/>
            <w:tcBorders>
              <w:right w:val="single" w:sz="8" w:color="3E3935"/>
            </w:tcBorders>
          </w:tcPr>
          <w:p>
            <w:pPr>
              <w:ind w:left="80"/>
              <w:spacing w:after="0" w:line="216" w:lineRule="exact"/>
              <w:rPr>
                <w:sz w:val="20"/>
                <w:szCs w:val="20"/>
                <w:color w:val="auto"/>
              </w:rPr>
            </w:pPr>
            <w:r>
              <w:rPr>
                <w:rFonts w:ascii="Arial" w:cs="Arial" w:eastAsia="Arial" w:hAnsi="Arial"/>
                <w:sz w:val="20"/>
                <w:szCs w:val="20"/>
                <w:color w:val="3E3935"/>
              </w:rPr>
              <w:t>greater) for inclusion in our</w:t>
            </w:r>
          </w:p>
        </w:tc>
        <w:tc>
          <w:tcPr>
            <w:tcW w:w="2620" w:type="dxa"/>
            <w:vAlign w:val="bottom"/>
            <w:tcBorders>
              <w:right w:val="single" w:sz="8" w:color="00C1DE"/>
            </w:tcBorders>
          </w:tcPr>
          <w:p>
            <w:pPr>
              <w:ind w:left="100"/>
              <w:spacing w:after="0" w:line="216" w:lineRule="exact"/>
              <w:rPr>
                <w:sz w:val="20"/>
                <w:szCs w:val="20"/>
                <w:color w:val="auto"/>
              </w:rPr>
            </w:pPr>
            <w:r>
              <w:rPr>
                <w:rFonts w:ascii="Arial" w:cs="Arial" w:eastAsia="Arial" w:hAnsi="Arial"/>
                <w:sz w:val="20"/>
                <w:szCs w:val="20"/>
                <w:color w:val="3E3935"/>
              </w:rPr>
              <w:t>year’s annual meeting must</w:t>
            </w:r>
          </w:p>
        </w:tc>
      </w:tr>
      <w:tr>
        <w:trPr>
          <w:trHeight w:val="216"/>
        </w:trPr>
        <w:tc>
          <w:tcPr>
            <w:tcW w:w="2520" w:type="dxa"/>
            <w:vAlign w:val="bottom"/>
            <w:tcBorders>
              <w:left w:val="single" w:sz="8" w:color="00C1DE"/>
              <w:right w:val="single" w:sz="8" w:color="3E3935"/>
            </w:tcBorders>
          </w:tcPr>
          <w:p>
            <w:pPr>
              <w:spacing w:after="0"/>
              <w:rPr>
                <w:sz w:val="18"/>
                <w:szCs w:val="18"/>
                <w:color w:val="auto"/>
              </w:rPr>
            </w:pPr>
          </w:p>
        </w:tc>
        <w:tc>
          <w:tcPr>
            <w:tcW w:w="2940" w:type="dxa"/>
            <w:vAlign w:val="bottom"/>
            <w:tcBorders>
              <w:right w:val="single" w:sz="8" w:color="3E3935"/>
            </w:tcBorders>
          </w:tcPr>
          <w:p>
            <w:pPr>
              <w:spacing w:after="0"/>
              <w:rPr>
                <w:sz w:val="18"/>
                <w:szCs w:val="18"/>
                <w:color w:val="auto"/>
              </w:rPr>
            </w:pPr>
          </w:p>
        </w:tc>
        <w:tc>
          <w:tcPr>
            <w:tcW w:w="2840" w:type="dxa"/>
            <w:vAlign w:val="bottom"/>
            <w:tcBorders>
              <w:right w:val="single" w:sz="8" w:color="3E3935"/>
            </w:tcBorders>
          </w:tcPr>
          <w:p>
            <w:pPr>
              <w:ind w:left="80"/>
              <w:spacing w:after="0" w:line="216" w:lineRule="exact"/>
              <w:rPr>
                <w:sz w:val="20"/>
                <w:szCs w:val="20"/>
                <w:color w:val="auto"/>
              </w:rPr>
            </w:pPr>
            <w:r>
              <w:rPr>
                <w:rFonts w:ascii="Arial" w:cs="Arial" w:eastAsia="Arial" w:hAnsi="Arial"/>
                <w:sz w:val="20"/>
                <w:szCs w:val="20"/>
                <w:color w:val="3E3935"/>
              </w:rPr>
              <w:t>Proxy Statement if the</w:t>
            </w:r>
          </w:p>
        </w:tc>
        <w:tc>
          <w:tcPr>
            <w:tcW w:w="2620" w:type="dxa"/>
            <w:vAlign w:val="bottom"/>
            <w:tcBorders>
              <w:right w:val="single" w:sz="8" w:color="00C1DE"/>
            </w:tcBorders>
          </w:tcPr>
          <w:p>
            <w:pPr>
              <w:ind w:left="100"/>
              <w:spacing w:after="0" w:line="216" w:lineRule="exact"/>
              <w:rPr>
                <w:sz w:val="20"/>
                <w:szCs w:val="20"/>
                <w:color w:val="auto"/>
              </w:rPr>
            </w:pPr>
            <w:r>
              <w:rPr>
                <w:rFonts w:ascii="Arial" w:cs="Arial" w:eastAsia="Arial" w:hAnsi="Arial"/>
                <w:sz w:val="20"/>
                <w:szCs w:val="20"/>
                <w:color w:val="3E3935"/>
              </w:rPr>
              <w:t>be received at our principal</w:t>
            </w:r>
          </w:p>
        </w:tc>
      </w:tr>
      <w:tr>
        <w:trPr>
          <w:trHeight w:val="216"/>
        </w:trPr>
        <w:tc>
          <w:tcPr>
            <w:tcW w:w="2520" w:type="dxa"/>
            <w:vAlign w:val="bottom"/>
            <w:tcBorders>
              <w:left w:val="single" w:sz="8" w:color="00C1DE"/>
              <w:right w:val="single" w:sz="8" w:color="3E3935"/>
            </w:tcBorders>
          </w:tcPr>
          <w:p>
            <w:pPr>
              <w:spacing w:after="0"/>
              <w:rPr>
                <w:sz w:val="18"/>
                <w:szCs w:val="18"/>
                <w:color w:val="auto"/>
              </w:rPr>
            </w:pPr>
          </w:p>
        </w:tc>
        <w:tc>
          <w:tcPr>
            <w:tcW w:w="2940" w:type="dxa"/>
            <w:vAlign w:val="bottom"/>
            <w:tcBorders>
              <w:right w:val="single" w:sz="8" w:color="3E3935"/>
            </w:tcBorders>
          </w:tcPr>
          <w:p>
            <w:pPr>
              <w:spacing w:after="0"/>
              <w:rPr>
                <w:sz w:val="18"/>
                <w:szCs w:val="18"/>
                <w:color w:val="auto"/>
              </w:rPr>
            </w:pPr>
          </w:p>
        </w:tc>
        <w:tc>
          <w:tcPr>
            <w:tcW w:w="2840" w:type="dxa"/>
            <w:vAlign w:val="bottom"/>
            <w:tcBorders>
              <w:right w:val="single" w:sz="8" w:color="3E3935"/>
            </w:tcBorders>
          </w:tcPr>
          <w:p>
            <w:pPr>
              <w:ind w:left="80"/>
              <w:spacing w:after="0" w:line="216" w:lineRule="exact"/>
              <w:rPr>
                <w:sz w:val="20"/>
                <w:szCs w:val="20"/>
                <w:color w:val="auto"/>
              </w:rPr>
            </w:pPr>
            <w:r>
              <w:rPr>
                <w:rFonts w:ascii="Arial" w:cs="Arial" w:eastAsia="Arial" w:hAnsi="Arial"/>
                <w:sz w:val="20"/>
                <w:szCs w:val="20"/>
                <w:color w:val="3E3935"/>
              </w:rPr>
              <w:t>shareholder(s) and the</w:t>
            </w:r>
          </w:p>
        </w:tc>
        <w:tc>
          <w:tcPr>
            <w:tcW w:w="2620" w:type="dxa"/>
            <w:vAlign w:val="bottom"/>
            <w:tcBorders>
              <w:right w:val="single" w:sz="8" w:color="00C1DE"/>
            </w:tcBorders>
          </w:tcPr>
          <w:p>
            <w:pPr>
              <w:ind w:left="100"/>
              <w:spacing w:after="0" w:line="216" w:lineRule="exact"/>
              <w:rPr>
                <w:sz w:val="20"/>
                <w:szCs w:val="20"/>
                <w:color w:val="auto"/>
              </w:rPr>
            </w:pPr>
            <w:r>
              <w:rPr>
                <w:rFonts w:ascii="Arial" w:cs="Arial" w:eastAsia="Arial" w:hAnsi="Arial"/>
                <w:sz w:val="20"/>
                <w:szCs w:val="20"/>
                <w:color w:val="3E3935"/>
              </w:rPr>
              <w:t>executive offices no earlier</w:t>
            </w:r>
          </w:p>
        </w:tc>
      </w:tr>
      <w:tr>
        <w:trPr>
          <w:trHeight w:val="216"/>
        </w:trPr>
        <w:tc>
          <w:tcPr>
            <w:tcW w:w="2520" w:type="dxa"/>
            <w:vAlign w:val="bottom"/>
            <w:tcBorders>
              <w:left w:val="single" w:sz="8" w:color="00C1DE"/>
              <w:right w:val="single" w:sz="8" w:color="3E3935"/>
            </w:tcBorders>
          </w:tcPr>
          <w:p>
            <w:pPr>
              <w:spacing w:after="0"/>
              <w:rPr>
                <w:sz w:val="18"/>
                <w:szCs w:val="18"/>
                <w:color w:val="auto"/>
              </w:rPr>
            </w:pPr>
          </w:p>
        </w:tc>
        <w:tc>
          <w:tcPr>
            <w:tcW w:w="2940" w:type="dxa"/>
            <w:vAlign w:val="bottom"/>
            <w:tcBorders>
              <w:right w:val="single" w:sz="8" w:color="3E3935"/>
            </w:tcBorders>
          </w:tcPr>
          <w:p>
            <w:pPr>
              <w:spacing w:after="0"/>
              <w:rPr>
                <w:sz w:val="18"/>
                <w:szCs w:val="18"/>
                <w:color w:val="auto"/>
              </w:rPr>
            </w:pPr>
          </w:p>
        </w:tc>
        <w:tc>
          <w:tcPr>
            <w:tcW w:w="2840" w:type="dxa"/>
            <w:vAlign w:val="bottom"/>
            <w:tcBorders>
              <w:right w:val="single" w:sz="8" w:color="3E3935"/>
            </w:tcBorders>
          </w:tcPr>
          <w:p>
            <w:pPr>
              <w:ind w:left="80"/>
              <w:spacing w:after="0" w:line="216" w:lineRule="exact"/>
              <w:rPr>
                <w:sz w:val="20"/>
                <w:szCs w:val="20"/>
                <w:color w:val="auto"/>
              </w:rPr>
            </w:pPr>
            <w:r>
              <w:rPr>
                <w:rFonts w:ascii="Arial" w:cs="Arial" w:eastAsia="Arial" w:hAnsi="Arial"/>
                <w:sz w:val="20"/>
                <w:szCs w:val="20"/>
                <w:color w:val="3E3935"/>
              </w:rPr>
              <w:t>nominee(s) satisfy the</w:t>
            </w:r>
          </w:p>
        </w:tc>
        <w:tc>
          <w:tcPr>
            <w:tcW w:w="2620" w:type="dxa"/>
            <w:vAlign w:val="bottom"/>
            <w:tcBorders>
              <w:right w:val="single" w:sz="8" w:color="00C1DE"/>
            </w:tcBorders>
          </w:tcPr>
          <w:p>
            <w:pPr>
              <w:ind w:left="100"/>
              <w:spacing w:after="0" w:line="216" w:lineRule="exact"/>
              <w:rPr>
                <w:sz w:val="20"/>
                <w:szCs w:val="20"/>
                <w:color w:val="auto"/>
              </w:rPr>
            </w:pPr>
            <w:r>
              <w:rPr>
                <w:rFonts w:ascii="Arial" w:cs="Arial" w:eastAsia="Arial" w:hAnsi="Arial"/>
                <w:sz w:val="20"/>
                <w:szCs w:val="20"/>
                <w:color w:val="3E3935"/>
              </w:rPr>
              <w:t>than 180 days and no later</w:t>
            </w:r>
          </w:p>
        </w:tc>
      </w:tr>
      <w:tr>
        <w:trPr>
          <w:trHeight w:val="216"/>
        </w:trPr>
        <w:tc>
          <w:tcPr>
            <w:tcW w:w="2520" w:type="dxa"/>
            <w:vAlign w:val="bottom"/>
            <w:tcBorders>
              <w:left w:val="single" w:sz="8" w:color="00C1DE"/>
              <w:right w:val="single" w:sz="8" w:color="3E3935"/>
            </w:tcBorders>
          </w:tcPr>
          <w:p>
            <w:pPr>
              <w:spacing w:after="0"/>
              <w:rPr>
                <w:sz w:val="18"/>
                <w:szCs w:val="18"/>
                <w:color w:val="auto"/>
              </w:rPr>
            </w:pPr>
          </w:p>
        </w:tc>
        <w:tc>
          <w:tcPr>
            <w:tcW w:w="2940" w:type="dxa"/>
            <w:vAlign w:val="bottom"/>
            <w:tcBorders>
              <w:right w:val="single" w:sz="8" w:color="3E3935"/>
            </w:tcBorders>
          </w:tcPr>
          <w:p>
            <w:pPr>
              <w:spacing w:after="0"/>
              <w:rPr>
                <w:sz w:val="18"/>
                <w:szCs w:val="18"/>
                <w:color w:val="auto"/>
              </w:rPr>
            </w:pPr>
          </w:p>
        </w:tc>
        <w:tc>
          <w:tcPr>
            <w:tcW w:w="2840" w:type="dxa"/>
            <w:vAlign w:val="bottom"/>
            <w:tcBorders>
              <w:right w:val="single" w:sz="8" w:color="3E3935"/>
            </w:tcBorders>
          </w:tcPr>
          <w:p>
            <w:pPr>
              <w:ind w:left="80"/>
              <w:spacing w:after="0" w:line="216" w:lineRule="exact"/>
              <w:rPr>
                <w:sz w:val="20"/>
                <w:szCs w:val="20"/>
                <w:color w:val="auto"/>
              </w:rPr>
            </w:pPr>
            <w:r>
              <w:rPr>
                <w:rFonts w:ascii="Arial" w:cs="Arial" w:eastAsia="Arial" w:hAnsi="Arial"/>
                <w:sz w:val="20"/>
                <w:szCs w:val="20"/>
                <w:color w:val="3E3935"/>
              </w:rPr>
              <w:t>requirements specified in our</w:t>
            </w:r>
          </w:p>
        </w:tc>
        <w:tc>
          <w:tcPr>
            <w:tcW w:w="2620" w:type="dxa"/>
            <w:vAlign w:val="bottom"/>
            <w:tcBorders>
              <w:right w:val="single" w:sz="8" w:color="00C1DE"/>
            </w:tcBorders>
          </w:tcPr>
          <w:p>
            <w:pPr>
              <w:ind w:left="100"/>
              <w:spacing w:after="0" w:line="216" w:lineRule="exact"/>
              <w:rPr>
                <w:sz w:val="20"/>
                <w:szCs w:val="20"/>
                <w:color w:val="auto"/>
              </w:rPr>
            </w:pPr>
            <w:r>
              <w:rPr>
                <w:rFonts w:ascii="Arial" w:cs="Arial" w:eastAsia="Arial" w:hAnsi="Arial"/>
                <w:sz w:val="20"/>
                <w:szCs w:val="20"/>
                <w:color w:val="3E3935"/>
              </w:rPr>
              <w:t>than 120 days before the</w:t>
            </w:r>
          </w:p>
        </w:tc>
      </w:tr>
      <w:tr>
        <w:trPr>
          <w:trHeight w:val="216"/>
        </w:trPr>
        <w:tc>
          <w:tcPr>
            <w:tcW w:w="2520" w:type="dxa"/>
            <w:vAlign w:val="bottom"/>
            <w:tcBorders>
              <w:left w:val="single" w:sz="8" w:color="00C1DE"/>
              <w:right w:val="single" w:sz="8" w:color="3E3935"/>
            </w:tcBorders>
          </w:tcPr>
          <w:p>
            <w:pPr>
              <w:spacing w:after="0"/>
              <w:rPr>
                <w:sz w:val="18"/>
                <w:szCs w:val="18"/>
                <w:color w:val="auto"/>
              </w:rPr>
            </w:pPr>
          </w:p>
        </w:tc>
        <w:tc>
          <w:tcPr>
            <w:tcW w:w="2940" w:type="dxa"/>
            <w:vAlign w:val="bottom"/>
            <w:tcBorders>
              <w:right w:val="single" w:sz="8" w:color="3E3935"/>
            </w:tcBorders>
          </w:tcPr>
          <w:p>
            <w:pPr>
              <w:spacing w:after="0"/>
              <w:rPr>
                <w:sz w:val="18"/>
                <w:szCs w:val="18"/>
                <w:color w:val="auto"/>
              </w:rPr>
            </w:pPr>
          </w:p>
        </w:tc>
        <w:tc>
          <w:tcPr>
            <w:tcW w:w="2840" w:type="dxa"/>
            <w:vAlign w:val="bottom"/>
            <w:tcBorders>
              <w:right w:val="single" w:sz="8" w:color="3E3935"/>
            </w:tcBorders>
          </w:tcPr>
          <w:p>
            <w:pPr>
              <w:ind w:left="80"/>
              <w:spacing w:after="0" w:line="216" w:lineRule="exact"/>
              <w:rPr>
                <w:sz w:val="20"/>
                <w:szCs w:val="20"/>
                <w:color w:val="auto"/>
              </w:rPr>
            </w:pPr>
            <w:r>
              <w:rPr>
                <w:rFonts w:ascii="Arial" w:cs="Arial" w:eastAsia="Arial" w:hAnsi="Arial"/>
                <w:sz w:val="20"/>
                <w:szCs w:val="20"/>
                <w:color w:val="3E3935"/>
              </w:rPr>
              <w:t>Bylaws.</w:t>
            </w:r>
          </w:p>
        </w:tc>
        <w:tc>
          <w:tcPr>
            <w:tcW w:w="2620" w:type="dxa"/>
            <w:vAlign w:val="bottom"/>
            <w:tcBorders>
              <w:right w:val="single" w:sz="8" w:color="00C1DE"/>
            </w:tcBorders>
          </w:tcPr>
          <w:p>
            <w:pPr>
              <w:ind w:left="100"/>
              <w:spacing w:after="0" w:line="216" w:lineRule="exact"/>
              <w:rPr>
                <w:sz w:val="20"/>
                <w:szCs w:val="20"/>
                <w:color w:val="auto"/>
              </w:rPr>
            </w:pPr>
            <w:r>
              <w:rPr>
                <w:rFonts w:ascii="Arial" w:cs="Arial" w:eastAsia="Arial" w:hAnsi="Arial"/>
                <w:sz w:val="20"/>
                <w:szCs w:val="20"/>
                <w:color w:val="3E3935"/>
              </w:rPr>
              <w:t>first anniversary of this</w:t>
            </w:r>
          </w:p>
        </w:tc>
      </w:tr>
      <w:tr>
        <w:trPr>
          <w:trHeight w:val="261"/>
        </w:trPr>
        <w:tc>
          <w:tcPr>
            <w:tcW w:w="2520" w:type="dxa"/>
            <w:vAlign w:val="bottom"/>
            <w:tcBorders>
              <w:left w:val="single" w:sz="8" w:color="00C1DE"/>
              <w:right w:val="single" w:sz="8" w:color="3E3935"/>
            </w:tcBorders>
          </w:tcPr>
          <w:p>
            <w:pPr>
              <w:spacing w:after="0"/>
              <w:rPr>
                <w:sz w:val="22"/>
                <w:szCs w:val="22"/>
                <w:color w:val="auto"/>
              </w:rPr>
            </w:pPr>
          </w:p>
        </w:tc>
        <w:tc>
          <w:tcPr>
            <w:tcW w:w="2940" w:type="dxa"/>
            <w:vAlign w:val="bottom"/>
            <w:tcBorders>
              <w:right w:val="single" w:sz="8" w:color="3E3935"/>
            </w:tcBorders>
          </w:tcPr>
          <w:p>
            <w:pPr>
              <w:spacing w:after="0"/>
              <w:rPr>
                <w:sz w:val="22"/>
                <w:szCs w:val="22"/>
                <w:color w:val="auto"/>
              </w:rPr>
            </w:pPr>
          </w:p>
        </w:tc>
        <w:tc>
          <w:tcPr>
            <w:tcW w:w="2840" w:type="dxa"/>
            <w:vAlign w:val="bottom"/>
            <w:tcBorders>
              <w:right w:val="single" w:sz="8" w:color="3E3935"/>
            </w:tcBorders>
          </w:tcPr>
          <w:p>
            <w:pPr>
              <w:spacing w:after="0"/>
              <w:rPr>
                <w:sz w:val="22"/>
                <w:szCs w:val="22"/>
                <w:color w:val="auto"/>
              </w:rPr>
            </w:pPr>
          </w:p>
        </w:tc>
        <w:tc>
          <w:tcPr>
            <w:tcW w:w="2620" w:type="dxa"/>
            <w:vAlign w:val="bottom"/>
            <w:tcBorders>
              <w:right w:val="single" w:sz="8" w:color="00C1DE"/>
            </w:tcBorders>
          </w:tcPr>
          <w:p>
            <w:pPr>
              <w:ind w:left="100"/>
              <w:spacing w:after="0"/>
              <w:rPr>
                <w:sz w:val="20"/>
                <w:szCs w:val="20"/>
                <w:color w:val="auto"/>
              </w:rPr>
            </w:pPr>
            <w:r>
              <w:rPr>
                <w:rFonts w:ascii="Arial" w:cs="Arial" w:eastAsia="Arial" w:hAnsi="Arial"/>
                <w:sz w:val="20"/>
                <w:szCs w:val="20"/>
                <w:color w:val="3E3935"/>
              </w:rPr>
              <w:t>year’s Annual Meeting.</w:t>
            </w:r>
          </w:p>
        </w:tc>
      </w:tr>
      <w:tr>
        <w:trPr>
          <w:trHeight w:val="30"/>
        </w:trPr>
        <w:tc>
          <w:tcPr>
            <w:tcW w:w="2520" w:type="dxa"/>
            <w:vAlign w:val="bottom"/>
            <w:tcBorders>
              <w:left w:val="single" w:sz="8" w:color="00C1DE"/>
              <w:bottom w:val="single" w:sz="8" w:color="3E3935"/>
              <w:right w:val="single" w:sz="8" w:color="3E3935"/>
            </w:tcBorders>
          </w:tcPr>
          <w:p>
            <w:pPr>
              <w:spacing w:after="0"/>
              <w:rPr>
                <w:sz w:val="2"/>
                <w:szCs w:val="2"/>
                <w:color w:val="auto"/>
              </w:rPr>
            </w:pPr>
          </w:p>
        </w:tc>
        <w:tc>
          <w:tcPr>
            <w:tcW w:w="2940" w:type="dxa"/>
            <w:vAlign w:val="bottom"/>
            <w:tcBorders>
              <w:bottom w:val="single" w:sz="8" w:color="3E3935"/>
              <w:right w:val="single" w:sz="8" w:color="3E3935"/>
            </w:tcBorders>
          </w:tcPr>
          <w:p>
            <w:pPr>
              <w:spacing w:after="0"/>
              <w:rPr>
                <w:sz w:val="2"/>
                <w:szCs w:val="2"/>
                <w:color w:val="auto"/>
              </w:rPr>
            </w:pPr>
          </w:p>
        </w:tc>
        <w:tc>
          <w:tcPr>
            <w:tcW w:w="2840" w:type="dxa"/>
            <w:vAlign w:val="bottom"/>
            <w:tcBorders>
              <w:bottom w:val="single" w:sz="8" w:color="3E3935"/>
              <w:right w:val="single" w:sz="8" w:color="3E3935"/>
            </w:tcBorders>
          </w:tcPr>
          <w:p>
            <w:pPr>
              <w:spacing w:after="0"/>
              <w:rPr>
                <w:sz w:val="2"/>
                <w:szCs w:val="2"/>
                <w:color w:val="auto"/>
              </w:rPr>
            </w:pPr>
          </w:p>
        </w:tc>
        <w:tc>
          <w:tcPr>
            <w:tcW w:w="2620" w:type="dxa"/>
            <w:vAlign w:val="bottom"/>
            <w:tcBorders>
              <w:bottom w:val="single" w:sz="8" w:color="3E3935"/>
              <w:right w:val="single" w:sz="8" w:color="00C1DE"/>
            </w:tcBorders>
          </w:tcPr>
          <w:p>
            <w:pPr>
              <w:spacing w:after="0"/>
              <w:rPr>
                <w:sz w:val="2"/>
                <w:szCs w:val="2"/>
                <w:color w:val="auto"/>
              </w:rPr>
            </w:pPr>
          </w:p>
        </w:tc>
      </w:tr>
      <w:tr>
        <w:trPr>
          <w:trHeight w:val="240"/>
        </w:trPr>
        <w:tc>
          <w:tcPr>
            <w:tcW w:w="2520" w:type="dxa"/>
            <w:vAlign w:val="bottom"/>
            <w:tcBorders>
              <w:left w:val="single" w:sz="8" w:color="00C1DE"/>
              <w:right w:val="single" w:sz="8" w:color="3E3935"/>
            </w:tcBorders>
          </w:tcPr>
          <w:p>
            <w:pPr>
              <w:ind w:left="220"/>
              <w:spacing w:after="0"/>
              <w:rPr>
                <w:sz w:val="20"/>
                <w:szCs w:val="20"/>
                <w:color w:val="auto"/>
              </w:rPr>
            </w:pPr>
            <w:r>
              <w:rPr>
                <w:rFonts w:ascii="Arial" w:cs="Arial" w:eastAsia="Arial" w:hAnsi="Arial"/>
                <w:sz w:val="20"/>
                <w:szCs w:val="20"/>
                <w:b w:val="1"/>
                <w:bCs w:val="1"/>
                <w:color w:val="00C1DE"/>
              </w:rPr>
              <w:t>Deadline for Submitting</w:t>
            </w:r>
          </w:p>
        </w:tc>
        <w:tc>
          <w:tcPr>
            <w:tcW w:w="2940" w:type="dxa"/>
            <w:vAlign w:val="bottom"/>
            <w:tcBorders>
              <w:right w:val="single" w:sz="8" w:color="3E3935"/>
            </w:tcBorders>
          </w:tcPr>
          <w:p>
            <w:pPr>
              <w:ind w:left="60"/>
              <w:spacing w:after="0"/>
              <w:rPr>
                <w:sz w:val="20"/>
                <w:szCs w:val="20"/>
                <w:color w:val="auto"/>
              </w:rPr>
            </w:pPr>
            <w:r>
              <w:rPr>
                <w:rFonts w:ascii="Arial" w:cs="Arial" w:eastAsia="Arial" w:hAnsi="Arial"/>
                <w:sz w:val="20"/>
                <w:szCs w:val="20"/>
                <w:color w:val="3E3935"/>
              </w:rPr>
              <w:t>Proposals must be received at</w:t>
            </w:r>
          </w:p>
        </w:tc>
        <w:tc>
          <w:tcPr>
            <w:tcW w:w="5460" w:type="dxa"/>
            <w:vAlign w:val="bottom"/>
            <w:tcBorders>
              <w:right w:val="single" w:sz="8" w:color="00C1DE"/>
            </w:tcBorders>
            <w:gridSpan w:val="2"/>
          </w:tcPr>
          <w:p>
            <w:pPr>
              <w:ind w:left="80"/>
              <w:spacing w:after="0"/>
              <w:rPr>
                <w:sz w:val="20"/>
                <w:szCs w:val="20"/>
                <w:color w:val="auto"/>
              </w:rPr>
            </w:pPr>
            <w:r>
              <w:rPr>
                <w:rFonts w:ascii="Arial" w:cs="Arial" w:eastAsia="Arial" w:hAnsi="Arial"/>
                <w:sz w:val="20"/>
                <w:szCs w:val="20"/>
                <w:color w:val="3E3935"/>
                <w:w w:val="99"/>
              </w:rPr>
              <w:t>Proposals must be received at our principal executive offices</w:t>
            </w:r>
          </w:p>
        </w:tc>
      </w:tr>
      <w:tr>
        <w:trPr>
          <w:trHeight w:val="216"/>
        </w:trPr>
        <w:tc>
          <w:tcPr>
            <w:tcW w:w="2520" w:type="dxa"/>
            <w:vAlign w:val="bottom"/>
            <w:tcBorders>
              <w:left w:val="single" w:sz="8" w:color="00C1DE"/>
              <w:right w:val="single" w:sz="8" w:color="3E3935"/>
            </w:tcBorders>
          </w:tcPr>
          <w:p>
            <w:pPr>
              <w:ind w:left="220"/>
              <w:spacing w:after="0" w:line="216" w:lineRule="exact"/>
              <w:rPr>
                <w:sz w:val="20"/>
                <w:szCs w:val="20"/>
                <w:color w:val="auto"/>
              </w:rPr>
            </w:pPr>
            <w:r>
              <w:rPr>
                <w:rFonts w:ascii="Arial" w:cs="Arial" w:eastAsia="Arial" w:hAnsi="Arial"/>
                <w:sz w:val="20"/>
                <w:szCs w:val="20"/>
                <w:b w:val="1"/>
                <w:bCs w:val="1"/>
                <w:color w:val="00C1DE"/>
              </w:rPr>
              <w:t>These Proposals</w:t>
            </w:r>
          </w:p>
        </w:tc>
        <w:tc>
          <w:tcPr>
            <w:tcW w:w="2940" w:type="dxa"/>
            <w:vAlign w:val="bottom"/>
            <w:tcBorders>
              <w:right w:val="single" w:sz="8" w:color="3E3935"/>
            </w:tcBorders>
          </w:tcPr>
          <w:p>
            <w:pPr>
              <w:ind w:left="60"/>
              <w:spacing w:after="0" w:line="216" w:lineRule="exact"/>
              <w:rPr>
                <w:sz w:val="20"/>
                <w:szCs w:val="20"/>
                <w:color w:val="auto"/>
              </w:rPr>
            </w:pPr>
            <w:r>
              <w:rPr>
                <w:rFonts w:ascii="Arial" w:cs="Arial" w:eastAsia="Arial" w:hAnsi="Arial"/>
                <w:sz w:val="20"/>
                <w:szCs w:val="20"/>
                <w:color w:val="3E3935"/>
              </w:rPr>
              <w:t>our principal executive offices</w:t>
            </w:r>
          </w:p>
        </w:tc>
        <w:tc>
          <w:tcPr>
            <w:tcW w:w="5460" w:type="dxa"/>
            <w:vAlign w:val="bottom"/>
            <w:tcBorders>
              <w:right w:val="single" w:sz="8" w:color="00C1DE"/>
            </w:tcBorders>
            <w:gridSpan w:val="2"/>
          </w:tcPr>
          <w:p>
            <w:pPr>
              <w:ind w:left="80"/>
              <w:spacing w:after="0" w:line="216" w:lineRule="exact"/>
              <w:rPr>
                <w:sz w:val="20"/>
                <w:szCs w:val="20"/>
                <w:color w:val="auto"/>
              </w:rPr>
            </w:pPr>
            <w:r>
              <w:rPr>
                <w:rFonts w:ascii="Arial" w:cs="Arial" w:eastAsia="Arial" w:hAnsi="Arial"/>
                <w:sz w:val="20"/>
                <w:szCs w:val="20"/>
                <w:color w:val="3E3935"/>
              </w:rPr>
              <w:t xml:space="preserve">no earlier than </w:t>
            </w:r>
            <w:r>
              <w:rPr>
                <w:rFonts w:ascii="Arial" w:cs="Arial" w:eastAsia="Arial" w:hAnsi="Arial"/>
                <w:sz w:val="20"/>
                <w:szCs w:val="20"/>
                <w:b w:val="1"/>
                <w:bCs w:val="1"/>
                <w:color w:val="3E3935"/>
              </w:rPr>
              <w:t>December 23, 2023</w:t>
            </w:r>
            <w:r>
              <w:rPr>
                <w:rFonts w:ascii="Arial" w:cs="Arial" w:eastAsia="Arial" w:hAnsi="Arial"/>
                <w:sz w:val="20"/>
                <w:szCs w:val="20"/>
                <w:color w:val="3E3935"/>
              </w:rPr>
              <w:t>, and no later than</w:t>
            </w:r>
          </w:p>
        </w:tc>
      </w:tr>
      <w:tr>
        <w:trPr>
          <w:trHeight w:val="218"/>
        </w:trPr>
        <w:tc>
          <w:tcPr>
            <w:tcW w:w="2520" w:type="dxa"/>
            <w:vAlign w:val="bottom"/>
            <w:tcBorders>
              <w:left w:val="single" w:sz="8" w:color="00C1DE"/>
              <w:right w:val="single" w:sz="8" w:color="3E3935"/>
            </w:tcBorders>
          </w:tcPr>
          <w:p>
            <w:pPr>
              <w:spacing w:after="0"/>
              <w:rPr>
                <w:sz w:val="18"/>
                <w:szCs w:val="18"/>
                <w:color w:val="auto"/>
              </w:rPr>
            </w:pPr>
          </w:p>
        </w:tc>
        <w:tc>
          <w:tcPr>
            <w:tcW w:w="2940" w:type="dxa"/>
            <w:vAlign w:val="bottom"/>
            <w:tcBorders>
              <w:right w:val="single" w:sz="8" w:color="3E3935"/>
            </w:tcBorders>
          </w:tcPr>
          <w:p>
            <w:pPr>
              <w:ind w:left="60"/>
              <w:spacing w:after="0" w:line="218" w:lineRule="exact"/>
              <w:rPr>
                <w:sz w:val="20"/>
                <w:szCs w:val="20"/>
                <w:color w:val="auto"/>
              </w:rPr>
            </w:pPr>
            <w:r>
              <w:rPr>
                <w:rFonts w:ascii="Arial" w:cs="Arial" w:eastAsia="Arial" w:hAnsi="Arial"/>
                <w:sz w:val="20"/>
                <w:szCs w:val="20"/>
                <w:color w:val="3E3935"/>
              </w:rPr>
              <w:t>no later than 11:59 p.m.</w:t>
            </w:r>
          </w:p>
        </w:tc>
        <w:tc>
          <w:tcPr>
            <w:tcW w:w="5460" w:type="dxa"/>
            <w:vAlign w:val="bottom"/>
            <w:tcBorders>
              <w:right w:val="single" w:sz="8" w:color="00C1DE"/>
            </w:tcBorders>
            <w:gridSpan w:val="2"/>
          </w:tcPr>
          <w:p>
            <w:pPr>
              <w:ind w:left="80"/>
              <w:spacing w:after="0" w:line="218" w:lineRule="exact"/>
              <w:rPr>
                <w:sz w:val="20"/>
                <w:szCs w:val="20"/>
                <w:color w:val="auto"/>
              </w:rPr>
            </w:pPr>
            <w:r>
              <w:rPr>
                <w:rFonts w:ascii="Arial" w:cs="Arial" w:eastAsia="Arial" w:hAnsi="Arial"/>
                <w:sz w:val="20"/>
                <w:szCs w:val="20"/>
                <w:color w:val="3E3935"/>
              </w:rPr>
              <w:t xml:space="preserve">11:59 p.m. Eastern Time on </w:t>
            </w:r>
            <w:r>
              <w:rPr>
                <w:rFonts w:ascii="Arial" w:cs="Arial" w:eastAsia="Arial" w:hAnsi="Arial"/>
                <w:sz w:val="20"/>
                <w:szCs w:val="20"/>
                <w:b w:val="1"/>
                <w:bCs w:val="1"/>
                <w:color w:val="3E3935"/>
              </w:rPr>
              <w:t>February 21, 2024.</w:t>
            </w:r>
          </w:p>
        </w:tc>
      </w:tr>
      <w:tr>
        <w:trPr>
          <w:trHeight w:val="214"/>
        </w:trPr>
        <w:tc>
          <w:tcPr>
            <w:tcW w:w="2520" w:type="dxa"/>
            <w:vAlign w:val="bottom"/>
            <w:tcBorders>
              <w:left w:val="single" w:sz="8" w:color="00C1DE"/>
              <w:right w:val="single" w:sz="8" w:color="3E3935"/>
            </w:tcBorders>
          </w:tcPr>
          <w:p>
            <w:pPr>
              <w:spacing w:after="0"/>
              <w:rPr>
                <w:sz w:val="18"/>
                <w:szCs w:val="18"/>
                <w:color w:val="auto"/>
              </w:rPr>
            </w:pPr>
          </w:p>
        </w:tc>
        <w:tc>
          <w:tcPr>
            <w:tcW w:w="2940" w:type="dxa"/>
            <w:vAlign w:val="bottom"/>
            <w:tcBorders>
              <w:right w:val="single" w:sz="8" w:color="3E3935"/>
            </w:tcBorders>
          </w:tcPr>
          <w:p>
            <w:pPr>
              <w:ind w:left="60"/>
              <w:spacing w:after="0" w:line="214" w:lineRule="exact"/>
              <w:rPr>
                <w:sz w:val="20"/>
                <w:szCs w:val="20"/>
                <w:color w:val="auto"/>
              </w:rPr>
            </w:pPr>
            <w:r>
              <w:rPr>
                <w:rFonts w:ascii="Arial" w:cs="Arial" w:eastAsia="Arial" w:hAnsi="Arial"/>
                <w:sz w:val="20"/>
                <w:szCs w:val="20"/>
                <w:color w:val="3E3935"/>
              </w:rPr>
              <w:t>Eastern Time on</w:t>
            </w:r>
          </w:p>
        </w:tc>
        <w:tc>
          <w:tcPr>
            <w:tcW w:w="2840" w:type="dxa"/>
            <w:vAlign w:val="bottom"/>
          </w:tcPr>
          <w:p>
            <w:pPr>
              <w:spacing w:after="0"/>
              <w:rPr>
                <w:sz w:val="18"/>
                <w:szCs w:val="18"/>
                <w:color w:val="auto"/>
              </w:rPr>
            </w:pPr>
          </w:p>
        </w:tc>
        <w:tc>
          <w:tcPr>
            <w:tcW w:w="2620" w:type="dxa"/>
            <w:vAlign w:val="bottom"/>
            <w:tcBorders>
              <w:right w:val="single" w:sz="8" w:color="00C1DE"/>
            </w:tcBorders>
          </w:tcPr>
          <w:p>
            <w:pPr>
              <w:spacing w:after="0"/>
              <w:rPr>
                <w:sz w:val="18"/>
                <w:szCs w:val="18"/>
                <w:color w:val="auto"/>
              </w:rPr>
            </w:pPr>
          </w:p>
        </w:tc>
      </w:tr>
      <w:tr>
        <w:trPr>
          <w:trHeight w:val="273"/>
        </w:trPr>
        <w:tc>
          <w:tcPr>
            <w:tcW w:w="2520" w:type="dxa"/>
            <w:vAlign w:val="bottom"/>
            <w:tcBorders>
              <w:left w:val="single" w:sz="8" w:color="00C1DE"/>
              <w:right w:val="single" w:sz="8" w:color="3E3935"/>
            </w:tcBorders>
          </w:tcPr>
          <w:p>
            <w:pPr>
              <w:spacing w:after="0"/>
              <w:rPr>
                <w:sz w:val="23"/>
                <w:szCs w:val="23"/>
                <w:color w:val="auto"/>
              </w:rPr>
            </w:pPr>
          </w:p>
        </w:tc>
        <w:tc>
          <w:tcPr>
            <w:tcW w:w="2940" w:type="dxa"/>
            <w:vAlign w:val="bottom"/>
            <w:tcBorders>
              <w:right w:val="single" w:sz="8" w:color="3E3935"/>
            </w:tcBorders>
          </w:tcPr>
          <w:p>
            <w:pPr>
              <w:ind w:left="60"/>
              <w:spacing w:after="0"/>
              <w:rPr>
                <w:sz w:val="20"/>
                <w:szCs w:val="20"/>
                <w:color w:val="auto"/>
              </w:rPr>
            </w:pPr>
            <w:r>
              <w:rPr>
                <w:rFonts w:ascii="Arial" w:cs="Arial" w:eastAsia="Arial" w:hAnsi="Arial"/>
                <w:sz w:val="20"/>
                <w:szCs w:val="20"/>
                <w:b w:val="1"/>
                <w:bCs w:val="1"/>
                <w:color w:val="3E3935"/>
              </w:rPr>
              <w:t>December 30, 2023</w:t>
            </w:r>
            <w:r>
              <w:rPr>
                <w:rFonts w:ascii="Arial" w:cs="Arial" w:eastAsia="Arial" w:hAnsi="Arial"/>
                <w:sz w:val="20"/>
                <w:szCs w:val="20"/>
                <w:color w:val="3E3935"/>
              </w:rPr>
              <w:t>.</w:t>
            </w:r>
          </w:p>
        </w:tc>
        <w:tc>
          <w:tcPr>
            <w:tcW w:w="2840" w:type="dxa"/>
            <w:vAlign w:val="bottom"/>
          </w:tcPr>
          <w:p>
            <w:pPr>
              <w:spacing w:after="0"/>
              <w:rPr>
                <w:sz w:val="23"/>
                <w:szCs w:val="23"/>
                <w:color w:val="auto"/>
              </w:rPr>
            </w:pPr>
          </w:p>
        </w:tc>
        <w:tc>
          <w:tcPr>
            <w:tcW w:w="2620" w:type="dxa"/>
            <w:vAlign w:val="bottom"/>
            <w:tcBorders>
              <w:right w:val="single" w:sz="8" w:color="00C1DE"/>
            </w:tcBorders>
          </w:tcPr>
          <w:p>
            <w:pPr>
              <w:spacing w:after="0"/>
              <w:rPr>
                <w:sz w:val="23"/>
                <w:szCs w:val="23"/>
                <w:color w:val="auto"/>
              </w:rPr>
            </w:pPr>
          </w:p>
        </w:tc>
      </w:tr>
      <w:tr>
        <w:trPr>
          <w:trHeight w:val="20"/>
        </w:trPr>
        <w:tc>
          <w:tcPr>
            <w:tcW w:w="2520" w:type="dxa"/>
            <w:vAlign w:val="bottom"/>
            <w:tcBorders>
              <w:left w:val="single" w:sz="8" w:color="00C1DE"/>
              <w:bottom w:val="single" w:sz="8" w:color="3E3935"/>
              <w:right w:val="single" w:sz="8" w:color="3E3935"/>
            </w:tcBorders>
          </w:tcPr>
          <w:p>
            <w:pPr>
              <w:spacing w:after="0" w:line="20" w:lineRule="exact"/>
              <w:rPr>
                <w:sz w:val="1"/>
                <w:szCs w:val="1"/>
                <w:color w:val="auto"/>
              </w:rPr>
            </w:pPr>
          </w:p>
        </w:tc>
        <w:tc>
          <w:tcPr>
            <w:tcW w:w="2940" w:type="dxa"/>
            <w:vAlign w:val="bottom"/>
            <w:tcBorders>
              <w:bottom w:val="single" w:sz="8" w:color="3E3935"/>
              <w:right w:val="single" w:sz="8" w:color="3E3935"/>
            </w:tcBorders>
          </w:tcPr>
          <w:p>
            <w:pPr>
              <w:spacing w:after="0" w:line="20" w:lineRule="exact"/>
              <w:rPr>
                <w:sz w:val="1"/>
                <w:szCs w:val="1"/>
                <w:color w:val="auto"/>
              </w:rPr>
            </w:pPr>
          </w:p>
        </w:tc>
        <w:tc>
          <w:tcPr>
            <w:tcW w:w="2840" w:type="dxa"/>
            <w:vAlign w:val="bottom"/>
            <w:tcBorders>
              <w:bottom w:val="single" w:sz="8" w:color="3E3935"/>
            </w:tcBorders>
          </w:tcPr>
          <w:p>
            <w:pPr>
              <w:spacing w:after="0" w:line="20" w:lineRule="exact"/>
              <w:rPr>
                <w:sz w:val="1"/>
                <w:szCs w:val="1"/>
                <w:color w:val="auto"/>
              </w:rPr>
            </w:pPr>
          </w:p>
        </w:tc>
        <w:tc>
          <w:tcPr>
            <w:tcW w:w="2620" w:type="dxa"/>
            <w:vAlign w:val="bottom"/>
            <w:tcBorders>
              <w:bottom w:val="single" w:sz="8" w:color="3E3935"/>
              <w:right w:val="single" w:sz="8" w:color="00C1DE"/>
            </w:tcBorders>
          </w:tcPr>
          <w:p>
            <w:pPr>
              <w:spacing w:after="0" w:line="20" w:lineRule="exact"/>
              <w:rPr>
                <w:sz w:val="1"/>
                <w:szCs w:val="1"/>
                <w:color w:val="auto"/>
              </w:rPr>
            </w:pPr>
          </w:p>
        </w:tc>
      </w:tr>
      <w:tr>
        <w:trPr>
          <w:trHeight w:val="240"/>
        </w:trPr>
        <w:tc>
          <w:tcPr>
            <w:tcW w:w="2520" w:type="dxa"/>
            <w:vAlign w:val="bottom"/>
            <w:tcBorders>
              <w:left w:val="single" w:sz="8" w:color="00C1DE"/>
              <w:right w:val="single" w:sz="8" w:color="3E3935"/>
            </w:tcBorders>
          </w:tcPr>
          <w:p>
            <w:pPr>
              <w:ind w:left="220"/>
              <w:spacing w:after="0"/>
              <w:rPr>
                <w:sz w:val="20"/>
                <w:szCs w:val="20"/>
                <w:color w:val="auto"/>
              </w:rPr>
            </w:pPr>
            <w:r>
              <w:rPr>
                <w:rFonts w:ascii="Arial" w:cs="Arial" w:eastAsia="Arial" w:hAnsi="Arial"/>
                <w:sz w:val="20"/>
                <w:szCs w:val="20"/>
                <w:b w:val="1"/>
                <w:bCs w:val="1"/>
                <w:color w:val="00C1DE"/>
              </w:rPr>
              <w:t>Where to Send These</w:t>
            </w:r>
          </w:p>
        </w:tc>
        <w:tc>
          <w:tcPr>
            <w:tcW w:w="8400" w:type="dxa"/>
            <w:vAlign w:val="bottom"/>
            <w:tcBorders>
              <w:right w:val="single" w:sz="8" w:color="00C1DE"/>
            </w:tcBorders>
            <w:gridSpan w:val="3"/>
          </w:tcPr>
          <w:p>
            <w:pPr>
              <w:ind w:left="60"/>
              <w:spacing w:after="0"/>
              <w:rPr>
                <w:sz w:val="20"/>
                <w:szCs w:val="20"/>
                <w:color w:val="auto"/>
              </w:rPr>
            </w:pPr>
            <w:r>
              <w:rPr>
                <w:rFonts w:ascii="Arial" w:cs="Arial" w:eastAsia="Arial" w:hAnsi="Arial"/>
                <w:sz w:val="20"/>
                <w:szCs w:val="20"/>
                <w:color w:val="3E3935"/>
              </w:rPr>
              <w:t>Mail proposals to our Corporate Secretary at Mail Code 482-C24-A68, 300 Renaissance</w:t>
            </w:r>
          </w:p>
        </w:tc>
      </w:tr>
      <w:tr>
        <w:trPr>
          <w:trHeight w:val="218"/>
        </w:trPr>
        <w:tc>
          <w:tcPr>
            <w:tcW w:w="2520" w:type="dxa"/>
            <w:vAlign w:val="bottom"/>
            <w:tcBorders>
              <w:left w:val="single" w:sz="8" w:color="00C1DE"/>
              <w:right w:val="single" w:sz="8" w:color="3E3935"/>
            </w:tcBorders>
          </w:tcPr>
          <w:p>
            <w:pPr>
              <w:ind w:left="220"/>
              <w:spacing w:after="0" w:line="218" w:lineRule="exact"/>
              <w:rPr>
                <w:sz w:val="20"/>
                <w:szCs w:val="20"/>
                <w:color w:val="auto"/>
              </w:rPr>
            </w:pPr>
            <w:r>
              <w:rPr>
                <w:rFonts w:ascii="Arial" w:cs="Arial" w:eastAsia="Arial" w:hAnsi="Arial"/>
                <w:sz w:val="20"/>
                <w:szCs w:val="20"/>
                <w:b w:val="1"/>
                <w:bCs w:val="1"/>
                <w:color w:val="00C1DE"/>
              </w:rPr>
              <w:t>Proposals</w:t>
            </w:r>
          </w:p>
        </w:tc>
        <w:tc>
          <w:tcPr>
            <w:tcW w:w="5780" w:type="dxa"/>
            <w:vAlign w:val="bottom"/>
            <w:gridSpan w:val="2"/>
          </w:tcPr>
          <w:p>
            <w:pPr>
              <w:ind w:left="60"/>
              <w:spacing w:after="0" w:line="218" w:lineRule="exact"/>
              <w:rPr>
                <w:sz w:val="20"/>
                <w:szCs w:val="20"/>
                <w:color w:val="auto"/>
              </w:rPr>
            </w:pPr>
            <w:r>
              <w:rPr>
                <w:rFonts w:ascii="Arial" w:cs="Arial" w:eastAsia="Arial" w:hAnsi="Arial"/>
                <w:sz w:val="20"/>
                <w:szCs w:val="20"/>
                <w:color w:val="3E3935"/>
              </w:rPr>
              <w:t>Center, Detroit, Michigan 48265 or send proposals by e-mail to</w:t>
            </w:r>
          </w:p>
        </w:tc>
        <w:tc>
          <w:tcPr>
            <w:tcW w:w="2620" w:type="dxa"/>
            <w:vAlign w:val="bottom"/>
            <w:tcBorders>
              <w:right w:val="single" w:sz="8" w:color="00C1DE"/>
            </w:tcBorders>
          </w:tcPr>
          <w:p>
            <w:pPr>
              <w:spacing w:after="0"/>
              <w:rPr>
                <w:sz w:val="18"/>
                <w:szCs w:val="18"/>
                <w:color w:val="auto"/>
              </w:rPr>
            </w:pPr>
          </w:p>
        </w:tc>
      </w:tr>
      <w:tr>
        <w:trPr>
          <w:trHeight w:val="261"/>
        </w:trPr>
        <w:tc>
          <w:tcPr>
            <w:tcW w:w="2520" w:type="dxa"/>
            <w:vAlign w:val="bottom"/>
            <w:tcBorders>
              <w:left w:val="single" w:sz="8" w:color="00C1DE"/>
              <w:right w:val="single" w:sz="8" w:color="3E3935"/>
            </w:tcBorders>
          </w:tcPr>
          <w:p>
            <w:pPr>
              <w:spacing w:after="0"/>
              <w:rPr>
                <w:sz w:val="22"/>
                <w:szCs w:val="22"/>
                <w:color w:val="auto"/>
              </w:rPr>
            </w:pPr>
          </w:p>
        </w:tc>
        <w:tc>
          <w:tcPr>
            <w:tcW w:w="2940" w:type="dxa"/>
            <w:vAlign w:val="bottom"/>
          </w:tcPr>
          <w:p>
            <w:pPr>
              <w:ind w:left="60"/>
              <w:spacing w:after="0"/>
              <w:rPr>
                <w:sz w:val="20"/>
                <w:szCs w:val="20"/>
                <w:color w:val="auto"/>
              </w:rPr>
            </w:pPr>
            <w:r>
              <w:rPr>
                <w:rFonts w:ascii="Arial" w:cs="Arial" w:eastAsia="Arial" w:hAnsi="Arial"/>
                <w:sz w:val="20"/>
                <w:szCs w:val="20"/>
                <w:i w:val="1"/>
                <w:iCs w:val="1"/>
                <w:color w:val="00C1DE"/>
              </w:rPr>
              <w:t>shareholder.relations@gm.com.</w:t>
            </w:r>
          </w:p>
        </w:tc>
        <w:tc>
          <w:tcPr>
            <w:tcW w:w="2840" w:type="dxa"/>
            <w:vAlign w:val="bottom"/>
          </w:tcPr>
          <w:p>
            <w:pPr>
              <w:spacing w:after="0"/>
              <w:rPr>
                <w:sz w:val="22"/>
                <w:szCs w:val="22"/>
                <w:color w:val="auto"/>
              </w:rPr>
            </w:pPr>
          </w:p>
        </w:tc>
        <w:tc>
          <w:tcPr>
            <w:tcW w:w="2620" w:type="dxa"/>
            <w:vAlign w:val="bottom"/>
            <w:tcBorders>
              <w:right w:val="single" w:sz="8" w:color="00C1DE"/>
            </w:tcBorders>
          </w:tcPr>
          <w:p>
            <w:pPr>
              <w:spacing w:after="0"/>
              <w:rPr>
                <w:sz w:val="22"/>
                <w:szCs w:val="22"/>
                <w:color w:val="auto"/>
              </w:rPr>
            </w:pPr>
          </w:p>
        </w:tc>
      </w:tr>
      <w:tr>
        <w:trPr>
          <w:trHeight w:val="30"/>
        </w:trPr>
        <w:tc>
          <w:tcPr>
            <w:tcW w:w="2520" w:type="dxa"/>
            <w:vAlign w:val="bottom"/>
            <w:tcBorders>
              <w:left w:val="single" w:sz="8" w:color="00C1DE"/>
              <w:bottom w:val="single" w:sz="8" w:color="3E3935"/>
              <w:right w:val="single" w:sz="8" w:color="3E3935"/>
            </w:tcBorders>
          </w:tcPr>
          <w:p>
            <w:pPr>
              <w:spacing w:after="0"/>
              <w:rPr>
                <w:sz w:val="2"/>
                <w:szCs w:val="2"/>
                <w:color w:val="auto"/>
              </w:rPr>
            </w:pPr>
          </w:p>
        </w:tc>
        <w:tc>
          <w:tcPr>
            <w:tcW w:w="2940" w:type="dxa"/>
            <w:vAlign w:val="bottom"/>
            <w:tcBorders>
              <w:bottom w:val="single" w:sz="8" w:color="3E3935"/>
            </w:tcBorders>
          </w:tcPr>
          <w:p>
            <w:pPr>
              <w:spacing w:after="0"/>
              <w:rPr>
                <w:sz w:val="2"/>
                <w:szCs w:val="2"/>
                <w:color w:val="auto"/>
              </w:rPr>
            </w:pPr>
          </w:p>
        </w:tc>
        <w:tc>
          <w:tcPr>
            <w:tcW w:w="2840" w:type="dxa"/>
            <w:vAlign w:val="bottom"/>
            <w:tcBorders>
              <w:bottom w:val="single" w:sz="8" w:color="3E3935"/>
            </w:tcBorders>
          </w:tcPr>
          <w:p>
            <w:pPr>
              <w:spacing w:after="0"/>
              <w:rPr>
                <w:sz w:val="2"/>
                <w:szCs w:val="2"/>
                <w:color w:val="auto"/>
              </w:rPr>
            </w:pPr>
          </w:p>
        </w:tc>
        <w:tc>
          <w:tcPr>
            <w:tcW w:w="2620" w:type="dxa"/>
            <w:vAlign w:val="bottom"/>
            <w:tcBorders>
              <w:bottom w:val="single" w:sz="8" w:color="3E3935"/>
              <w:right w:val="single" w:sz="8" w:color="00C1DE"/>
            </w:tcBorders>
          </w:tcPr>
          <w:p>
            <w:pPr>
              <w:spacing w:after="0"/>
              <w:rPr>
                <w:sz w:val="2"/>
                <w:szCs w:val="2"/>
                <w:color w:val="auto"/>
              </w:rPr>
            </w:pPr>
          </w:p>
        </w:tc>
      </w:tr>
      <w:tr>
        <w:trPr>
          <w:trHeight w:val="242"/>
        </w:trPr>
        <w:tc>
          <w:tcPr>
            <w:tcW w:w="2520" w:type="dxa"/>
            <w:vAlign w:val="bottom"/>
            <w:tcBorders>
              <w:left w:val="single" w:sz="8" w:color="00C1DE"/>
              <w:right w:val="single" w:sz="8" w:color="3E3935"/>
            </w:tcBorders>
          </w:tcPr>
          <w:p>
            <w:pPr>
              <w:ind w:left="220"/>
              <w:spacing w:after="0"/>
              <w:rPr>
                <w:sz w:val="20"/>
                <w:szCs w:val="20"/>
                <w:color w:val="auto"/>
              </w:rPr>
            </w:pPr>
            <w:r>
              <w:rPr>
                <w:rFonts w:ascii="Arial" w:cs="Arial" w:eastAsia="Arial" w:hAnsi="Arial"/>
                <w:sz w:val="20"/>
                <w:szCs w:val="20"/>
                <w:b w:val="1"/>
                <w:bCs w:val="1"/>
                <w:color w:val="00C1DE"/>
              </w:rPr>
              <w:t>What to Include</w:t>
            </w:r>
          </w:p>
        </w:tc>
        <w:tc>
          <w:tcPr>
            <w:tcW w:w="2940" w:type="dxa"/>
            <w:vAlign w:val="bottom"/>
            <w:tcBorders>
              <w:right w:val="single" w:sz="8" w:color="3E3935"/>
            </w:tcBorders>
          </w:tcPr>
          <w:p>
            <w:pPr>
              <w:ind w:left="60"/>
              <w:spacing w:after="0"/>
              <w:rPr>
                <w:sz w:val="20"/>
                <w:szCs w:val="20"/>
                <w:color w:val="auto"/>
              </w:rPr>
            </w:pPr>
            <w:r>
              <w:rPr>
                <w:rFonts w:ascii="Arial" w:cs="Arial" w:eastAsia="Arial" w:hAnsi="Arial"/>
                <w:sz w:val="20"/>
                <w:szCs w:val="20"/>
                <w:color w:val="3E3935"/>
              </w:rPr>
              <w:t>Proposals must conform to</w:t>
            </w:r>
          </w:p>
        </w:tc>
        <w:tc>
          <w:tcPr>
            <w:tcW w:w="5460" w:type="dxa"/>
            <w:vAlign w:val="bottom"/>
            <w:tcBorders>
              <w:right w:val="single" w:sz="8" w:color="00C1DE"/>
            </w:tcBorders>
            <w:gridSpan w:val="2"/>
          </w:tcPr>
          <w:p>
            <w:pPr>
              <w:ind w:left="80"/>
              <w:spacing w:after="0"/>
              <w:rPr>
                <w:sz w:val="20"/>
                <w:szCs w:val="20"/>
                <w:color w:val="auto"/>
              </w:rPr>
            </w:pPr>
            <w:r>
              <w:rPr>
                <w:rFonts w:ascii="Arial" w:cs="Arial" w:eastAsia="Arial" w:hAnsi="Arial"/>
                <w:sz w:val="20"/>
                <w:szCs w:val="20"/>
                <w:color w:val="3E3935"/>
              </w:rPr>
              <w:t>Proposals must include information required by</w:t>
            </w:r>
          </w:p>
        </w:tc>
      </w:tr>
      <w:tr>
        <w:trPr>
          <w:trHeight w:val="216"/>
        </w:trPr>
        <w:tc>
          <w:tcPr>
            <w:tcW w:w="2520" w:type="dxa"/>
            <w:vAlign w:val="bottom"/>
            <w:tcBorders>
              <w:left w:val="single" w:sz="8" w:color="00C1DE"/>
              <w:right w:val="single" w:sz="8" w:color="3E3935"/>
            </w:tcBorders>
          </w:tcPr>
          <w:p>
            <w:pPr>
              <w:spacing w:after="0"/>
              <w:rPr>
                <w:sz w:val="18"/>
                <w:szCs w:val="18"/>
                <w:color w:val="auto"/>
              </w:rPr>
            </w:pPr>
          </w:p>
        </w:tc>
        <w:tc>
          <w:tcPr>
            <w:tcW w:w="2940" w:type="dxa"/>
            <w:vAlign w:val="bottom"/>
            <w:tcBorders>
              <w:right w:val="single" w:sz="8" w:color="3E3935"/>
            </w:tcBorders>
          </w:tcPr>
          <w:p>
            <w:pPr>
              <w:ind w:left="60"/>
              <w:spacing w:after="0" w:line="216" w:lineRule="exact"/>
              <w:rPr>
                <w:sz w:val="20"/>
                <w:szCs w:val="20"/>
                <w:color w:val="auto"/>
              </w:rPr>
            </w:pPr>
            <w:r>
              <w:rPr>
                <w:rFonts w:ascii="Arial" w:cs="Arial" w:eastAsia="Arial" w:hAnsi="Arial"/>
                <w:sz w:val="20"/>
                <w:szCs w:val="20"/>
                <w:color w:val="3E3935"/>
              </w:rPr>
              <w:t>and include the information</w:t>
            </w:r>
          </w:p>
        </w:tc>
        <w:tc>
          <w:tcPr>
            <w:tcW w:w="5460" w:type="dxa"/>
            <w:vAlign w:val="bottom"/>
            <w:tcBorders>
              <w:right w:val="single" w:sz="8" w:color="00C1DE"/>
            </w:tcBorders>
            <w:gridSpan w:val="2"/>
          </w:tcPr>
          <w:p>
            <w:pPr>
              <w:ind w:left="80"/>
              <w:spacing w:after="0" w:line="216" w:lineRule="exact"/>
              <w:rPr>
                <w:sz w:val="20"/>
                <w:szCs w:val="20"/>
                <w:color w:val="auto"/>
              </w:rPr>
            </w:pPr>
            <w:r>
              <w:rPr>
                <w:rFonts w:ascii="Arial" w:cs="Arial" w:eastAsia="Arial" w:hAnsi="Arial"/>
                <w:sz w:val="20"/>
                <w:szCs w:val="20"/>
                <w:color w:val="3E3935"/>
              </w:rPr>
              <w:t>our Bylaws, which are available on our website at</w:t>
            </w:r>
          </w:p>
        </w:tc>
      </w:tr>
      <w:tr>
        <w:trPr>
          <w:trHeight w:val="216"/>
        </w:trPr>
        <w:tc>
          <w:tcPr>
            <w:tcW w:w="2520" w:type="dxa"/>
            <w:vAlign w:val="bottom"/>
            <w:tcBorders>
              <w:left w:val="single" w:sz="8" w:color="00C1DE"/>
              <w:right w:val="single" w:sz="8" w:color="3E3935"/>
            </w:tcBorders>
          </w:tcPr>
          <w:p>
            <w:pPr>
              <w:spacing w:after="0"/>
              <w:rPr>
                <w:sz w:val="18"/>
                <w:szCs w:val="18"/>
                <w:color w:val="auto"/>
              </w:rPr>
            </w:pPr>
          </w:p>
        </w:tc>
        <w:tc>
          <w:tcPr>
            <w:tcW w:w="2940" w:type="dxa"/>
            <w:vAlign w:val="bottom"/>
            <w:tcBorders>
              <w:right w:val="single" w:sz="8" w:color="3E3935"/>
            </w:tcBorders>
          </w:tcPr>
          <w:p>
            <w:pPr>
              <w:ind w:left="60"/>
              <w:spacing w:after="0" w:line="216" w:lineRule="exact"/>
              <w:rPr>
                <w:sz w:val="20"/>
                <w:szCs w:val="20"/>
                <w:color w:val="auto"/>
              </w:rPr>
            </w:pPr>
            <w:r>
              <w:rPr>
                <w:rFonts w:ascii="Arial" w:cs="Arial" w:eastAsia="Arial" w:hAnsi="Arial"/>
                <w:sz w:val="20"/>
                <w:szCs w:val="20"/>
                <w:color w:val="3E3935"/>
              </w:rPr>
              <w:t>required by SEC Rule 14a-8.</w:t>
            </w:r>
          </w:p>
        </w:tc>
        <w:tc>
          <w:tcPr>
            <w:tcW w:w="5460" w:type="dxa"/>
            <w:vAlign w:val="bottom"/>
            <w:tcBorders>
              <w:right w:val="single" w:sz="8" w:color="00C1DE"/>
            </w:tcBorders>
            <w:gridSpan w:val="2"/>
          </w:tcPr>
          <w:p>
            <w:pPr>
              <w:ind w:left="80"/>
              <w:spacing w:after="0" w:line="216" w:lineRule="exact"/>
              <w:rPr>
                <w:sz w:val="20"/>
                <w:szCs w:val="20"/>
                <w:color w:val="auto"/>
              </w:rPr>
            </w:pPr>
            <w:r>
              <w:rPr>
                <w:rFonts w:ascii="Arial" w:cs="Arial" w:eastAsia="Arial" w:hAnsi="Arial"/>
                <w:sz w:val="20"/>
                <w:szCs w:val="20"/>
                <w:i w:val="1"/>
                <w:iCs w:val="1"/>
                <w:color w:val="00C1DE"/>
              </w:rPr>
              <w:t>investor.gm.com/esg</w:t>
            </w:r>
            <w:r>
              <w:rPr>
                <w:rFonts w:ascii="Arial" w:cs="Arial" w:eastAsia="Arial" w:hAnsi="Arial"/>
                <w:sz w:val="20"/>
                <w:szCs w:val="20"/>
                <w:color w:val="3E3935"/>
              </w:rPr>
              <w:t>, and all requirements in Rule 14a-</w:t>
            </w:r>
          </w:p>
        </w:tc>
      </w:tr>
      <w:tr>
        <w:trPr>
          <w:trHeight w:val="261"/>
        </w:trPr>
        <w:tc>
          <w:tcPr>
            <w:tcW w:w="2520" w:type="dxa"/>
            <w:vAlign w:val="bottom"/>
            <w:tcBorders>
              <w:left w:val="single" w:sz="8" w:color="00C1DE"/>
              <w:right w:val="single" w:sz="8" w:color="3E3935"/>
            </w:tcBorders>
          </w:tcPr>
          <w:p>
            <w:pPr>
              <w:spacing w:after="0"/>
              <w:rPr>
                <w:sz w:val="22"/>
                <w:szCs w:val="22"/>
                <w:color w:val="auto"/>
              </w:rPr>
            </w:pPr>
          </w:p>
        </w:tc>
        <w:tc>
          <w:tcPr>
            <w:tcW w:w="2940" w:type="dxa"/>
            <w:vAlign w:val="bottom"/>
            <w:tcBorders>
              <w:right w:val="single" w:sz="8" w:color="3E3935"/>
            </w:tcBorders>
          </w:tcPr>
          <w:p>
            <w:pPr>
              <w:spacing w:after="0"/>
              <w:rPr>
                <w:sz w:val="22"/>
                <w:szCs w:val="22"/>
                <w:color w:val="auto"/>
              </w:rPr>
            </w:pPr>
          </w:p>
        </w:tc>
        <w:tc>
          <w:tcPr>
            <w:tcW w:w="2840" w:type="dxa"/>
            <w:vAlign w:val="bottom"/>
          </w:tcPr>
          <w:p>
            <w:pPr>
              <w:ind w:left="80"/>
              <w:spacing w:after="0"/>
              <w:rPr>
                <w:sz w:val="20"/>
                <w:szCs w:val="20"/>
                <w:color w:val="auto"/>
              </w:rPr>
            </w:pPr>
            <w:r>
              <w:rPr>
                <w:rFonts w:ascii="Arial" w:cs="Arial" w:eastAsia="Arial" w:hAnsi="Arial"/>
                <w:sz w:val="20"/>
                <w:szCs w:val="20"/>
                <w:color w:val="3E3935"/>
              </w:rPr>
              <w:t>19(b), if applicable.</w:t>
            </w:r>
          </w:p>
        </w:tc>
        <w:tc>
          <w:tcPr>
            <w:tcW w:w="2620" w:type="dxa"/>
            <w:vAlign w:val="bottom"/>
            <w:tcBorders>
              <w:right w:val="single" w:sz="8" w:color="00C1DE"/>
            </w:tcBorders>
          </w:tcPr>
          <w:p>
            <w:pPr>
              <w:spacing w:after="0"/>
              <w:rPr>
                <w:sz w:val="22"/>
                <w:szCs w:val="22"/>
                <w:color w:val="auto"/>
              </w:rPr>
            </w:pPr>
          </w:p>
        </w:tc>
      </w:tr>
      <w:tr>
        <w:trPr>
          <w:trHeight w:val="44"/>
        </w:trPr>
        <w:tc>
          <w:tcPr>
            <w:tcW w:w="2520" w:type="dxa"/>
            <w:vAlign w:val="bottom"/>
            <w:tcBorders>
              <w:left w:val="single" w:sz="8" w:color="00C1DE"/>
              <w:bottom w:val="single" w:sz="8" w:color="00C1DE"/>
              <w:right w:val="single" w:sz="8" w:color="3E3935"/>
            </w:tcBorders>
          </w:tcPr>
          <w:p>
            <w:pPr>
              <w:spacing w:after="0"/>
              <w:rPr>
                <w:sz w:val="3"/>
                <w:szCs w:val="3"/>
                <w:color w:val="auto"/>
              </w:rPr>
            </w:pPr>
          </w:p>
        </w:tc>
        <w:tc>
          <w:tcPr>
            <w:tcW w:w="2940" w:type="dxa"/>
            <w:vAlign w:val="bottom"/>
            <w:tcBorders>
              <w:bottom w:val="single" w:sz="8" w:color="00C1DE"/>
              <w:right w:val="single" w:sz="8" w:color="3E3935"/>
            </w:tcBorders>
          </w:tcPr>
          <w:p>
            <w:pPr>
              <w:spacing w:after="0"/>
              <w:rPr>
                <w:sz w:val="3"/>
                <w:szCs w:val="3"/>
                <w:color w:val="auto"/>
              </w:rPr>
            </w:pPr>
          </w:p>
        </w:tc>
        <w:tc>
          <w:tcPr>
            <w:tcW w:w="2840" w:type="dxa"/>
            <w:vAlign w:val="bottom"/>
            <w:tcBorders>
              <w:bottom w:val="single" w:sz="8" w:color="00C1DE"/>
            </w:tcBorders>
          </w:tcPr>
          <w:p>
            <w:pPr>
              <w:spacing w:after="0"/>
              <w:rPr>
                <w:sz w:val="3"/>
                <w:szCs w:val="3"/>
                <w:color w:val="auto"/>
              </w:rPr>
            </w:pPr>
          </w:p>
        </w:tc>
        <w:tc>
          <w:tcPr>
            <w:tcW w:w="2620" w:type="dxa"/>
            <w:vAlign w:val="bottom"/>
            <w:tcBorders>
              <w:bottom w:val="single" w:sz="8" w:color="00C1DE"/>
              <w:right w:val="single" w:sz="8" w:color="00C1DE"/>
            </w:tcBorders>
          </w:tcPr>
          <w:p>
            <w:pPr>
              <w:spacing w:after="0"/>
              <w:rPr>
                <w:sz w:val="3"/>
                <w:szCs w:val="3"/>
                <w:color w:val="auto"/>
              </w:rPr>
            </w:pPr>
          </w:p>
        </w:tc>
      </w:tr>
      <w:tr>
        <w:trPr>
          <w:trHeight w:val="323"/>
        </w:trPr>
        <w:tc>
          <w:tcPr>
            <w:tcW w:w="252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2620" w:type="dxa"/>
            <w:vAlign w:val="bottom"/>
          </w:tcPr>
          <w:p>
            <w:pPr>
              <w:ind w:left="2160"/>
              <w:spacing w:after="0"/>
              <w:rPr>
                <w:sz w:val="20"/>
                <w:szCs w:val="20"/>
                <w:color w:val="auto"/>
              </w:rPr>
            </w:pPr>
            <w:r>
              <w:rPr>
                <w:rFonts w:ascii="Arial" w:cs="Arial" w:eastAsia="Arial" w:hAnsi="Arial"/>
                <w:sz w:val="14"/>
                <w:szCs w:val="14"/>
                <w:color w:val="0071CE"/>
              </w:rPr>
              <w:t>109</w:t>
            </w:r>
          </w:p>
        </w:tc>
      </w:tr>
    </w:tbl>
    <w:p>
      <w:pPr>
        <w:sectPr>
          <w:pgSz w:w="11900" w:h="16838" w:orient="portrait"/>
          <w:cols w:equalWidth="0" w:num="1">
            <w:col w:w="11120"/>
          </w:cols>
          <w:pgMar w:left="320" w:top="482" w:right="45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5" w:lineRule="exact"/>
        <w:rPr>
          <w:sz w:val="20"/>
          <w:szCs w:val="20"/>
          <w:color w:val="auto"/>
        </w:rPr>
      </w:pPr>
    </w:p>
    <w:p>
      <w:pPr>
        <w:ind w:left="660" w:hanging="544"/>
        <w:spacing w:after="0"/>
        <w:tabs>
          <w:tab w:leader="none" w:pos="660" w:val="left"/>
        </w:tabs>
        <w:numPr>
          <w:ilvl w:val="0"/>
          <w:numId w:val="169"/>
        </w:numPr>
        <w:rPr>
          <w:rFonts w:ascii="Times New Roman" w:cs="Times New Roman" w:eastAsia="Times New Roman" w:hAnsi="Times New Roman"/>
          <w:sz w:val="19"/>
          <w:szCs w:val="19"/>
          <w:color w:val="0071CE"/>
        </w:rPr>
      </w:pPr>
      <w:r>
        <w:rPr>
          <w:rFonts w:ascii="Arial" w:cs="Arial" w:eastAsia="Arial" w:hAnsi="Arial"/>
          <w:sz w:val="25"/>
          <w:szCs w:val="25"/>
          <w:color w:val="3E3935"/>
        </w:rPr>
        <w:t>Annual Report and Other Investor Materials</w:t>
      </w:r>
    </w:p>
    <w:p>
      <w:pPr>
        <w:spacing w:after="0" w:line="118" w:lineRule="exact"/>
        <w:rPr>
          <w:sz w:val="20"/>
          <w:szCs w:val="20"/>
          <w:color w:val="auto"/>
        </w:rPr>
      </w:pPr>
    </w:p>
    <w:p>
      <w:pPr>
        <w:jc w:val="both"/>
        <w:ind w:left="120" w:right="20"/>
        <w:spacing w:after="0" w:line="232" w:lineRule="auto"/>
        <w:rPr>
          <w:sz w:val="20"/>
          <w:szCs w:val="20"/>
          <w:color w:val="auto"/>
        </w:rPr>
      </w:pPr>
      <w:r>
        <w:rPr>
          <w:rFonts w:ascii="Arial" w:cs="Arial" w:eastAsia="Arial" w:hAnsi="Arial"/>
          <w:sz w:val="20"/>
          <w:szCs w:val="20"/>
          <w:color w:val="3E3935"/>
        </w:rPr>
        <w:t xml:space="preserve">You may download a copy of our 2022 Annual Report and 2023 Proxy Statement at </w:t>
      </w:r>
      <w:r>
        <w:rPr>
          <w:rFonts w:ascii="Arial" w:cs="Arial" w:eastAsia="Arial" w:hAnsi="Arial"/>
          <w:sz w:val="20"/>
          <w:szCs w:val="20"/>
          <w:i w:val="1"/>
          <w:iCs w:val="1"/>
          <w:color w:val="00C1DE"/>
        </w:rPr>
        <w:t>investor.gm.com/shareholder</w:t>
      </w:r>
      <w:r>
        <w:rPr>
          <w:rFonts w:ascii="Arial" w:cs="Arial" w:eastAsia="Arial" w:hAnsi="Arial"/>
          <w:sz w:val="20"/>
          <w:szCs w:val="20"/>
          <w:color w:val="3E3935"/>
        </w:rPr>
        <w:t xml:space="preserve">. Our other SEC filings are available at </w:t>
      </w:r>
      <w:r>
        <w:rPr>
          <w:rFonts w:ascii="Arial" w:cs="Arial" w:eastAsia="Arial" w:hAnsi="Arial"/>
          <w:sz w:val="20"/>
          <w:szCs w:val="20"/>
          <w:i w:val="1"/>
          <w:iCs w:val="1"/>
          <w:color w:val="00C1DE"/>
        </w:rPr>
        <w:t>investor.gm.com/sec-filings</w:t>
      </w:r>
      <w:r>
        <w:rPr>
          <w:rFonts w:ascii="Arial" w:cs="Arial" w:eastAsia="Arial" w:hAnsi="Arial"/>
          <w:sz w:val="20"/>
          <w:szCs w:val="20"/>
          <w:color w:val="3E3935"/>
        </w:rPr>
        <w:t xml:space="preserve">. Alternatively, you may request a printed copy of these publications by writing to Shareholder Relations at General Motors Company, Mail Code 482-C24-A68, 300 Renaissance Center, Detroit, Michigan 48265 or by e-mail to </w:t>
      </w:r>
      <w:r>
        <w:rPr>
          <w:rFonts w:ascii="Arial" w:cs="Arial" w:eastAsia="Arial" w:hAnsi="Arial"/>
          <w:sz w:val="20"/>
          <w:szCs w:val="20"/>
          <w:i w:val="1"/>
          <w:iCs w:val="1"/>
          <w:color w:val="00C1DE"/>
        </w:rPr>
        <w:t>shareholder.relations@gm.com</w:t>
      </w:r>
      <w:r>
        <w:rPr>
          <w:rFonts w:ascii="Arial" w:cs="Arial" w:eastAsia="Arial" w:hAnsi="Arial"/>
          <w:sz w:val="20"/>
          <w:szCs w:val="20"/>
          <w:color w:val="3E3935"/>
        </w:rPr>
        <w:t xml:space="preserve">. Our 2022 Sustainability Report, ESG policies, compliance documents, and political contributions and lobbying disclosures can be found at </w:t>
      </w:r>
      <w:r>
        <w:rPr>
          <w:rFonts w:ascii="Arial" w:cs="Arial" w:eastAsia="Arial" w:hAnsi="Arial"/>
          <w:sz w:val="20"/>
          <w:szCs w:val="20"/>
          <w:i w:val="1"/>
          <w:iCs w:val="1"/>
          <w:color w:val="00C1DE"/>
        </w:rPr>
        <w:t>gmsustainability.com</w:t>
      </w:r>
      <w:r>
        <w:rPr>
          <w:rFonts w:ascii="Arial" w:cs="Arial" w:eastAsia="Arial" w:hAnsi="Arial"/>
          <w:sz w:val="20"/>
          <w:szCs w:val="20"/>
          <w:i w:val="1"/>
          <w:iCs w:val="1"/>
          <w:color w:val="3E3935"/>
        </w:rPr>
        <w:t>.</w:t>
      </w:r>
      <w:r>
        <w:rPr>
          <w:rFonts w:ascii="Arial" w:cs="Arial" w:eastAsia="Arial" w:hAnsi="Arial"/>
          <w:sz w:val="20"/>
          <w:szCs w:val="20"/>
          <w:color w:val="3E3935"/>
        </w:rPr>
        <w:t xml:space="preserve"> The reports and information contained in, or that can be accessed from, our websites, are not incorporated by reference into, and are not part of, this Proxy Statement.</w:t>
      </w:r>
    </w:p>
    <w:p>
      <w:pPr>
        <w:spacing w:after="0" w:line="292" w:lineRule="exact"/>
        <w:rPr>
          <w:sz w:val="20"/>
          <w:szCs w:val="20"/>
          <w:color w:val="auto"/>
        </w:rPr>
      </w:pPr>
    </w:p>
    <w:p>
      <w:pPr>
        <w:ind w:left="660" w:hanging="544"/>
        <w:spacing w:after="0"/>
        <w:tabs>
          <w:tab w:leader="none" w:pos="660" w:val="left"/>
        </w:tabs>
        <w:numPr>
          <w:ilvl w:val="0"/>
          <w:numId w:val="170"/>
        </w:numPr>
        <w:rPr>
          <w:rFonts w:ascii="Times New Roman" w:cs="Times New Roman" w:eastAsia="Times New Roman" w:hAnsi="Times New Roman"/>
          <w:sz w:val="19"/>
          <w:szCs w:val="19"/>
          <w:color w:val="0071CE"/>
        </w:rPr>
      </w:pPr>
      <w:r>
        <w:rPr>
          <w:rFonts w:ascii="Arial" w:cs="Arial" w:eastAsia="Arial" w:hAnsi="Arial"/>
          <w:sz w:val="25"/>
          <w:szCs w:val="25"/>
          <w:color w:val="3E3935"/>
        </w:rPr>
        <w:t>Cost of Proxy Solicitation</w:t>
      </w:r>
    </w:p>
    <w:p>
      <w:pPr>
        <w:spacing w:after="0" w:line="118" w:lineRule="exact"/>
        <w:rPr>
          <w:sz w:val="20"/>
          <w:szCs w:val="20"/>
          <w:color w:val="auto"/>
        </w:rPr>
      </w:pPr>
    </w:p>
    <w:p>
      <w:pPr>
        <w:jc w:val="both"/>
        <w:ind w:left="120"/>
        <w:spacing w:after="0" w:line="232" w:lineRule="auto"/>
        <w:rPr>
          <w:sz w:val="20"/>
          <w:szCs w:val="20"/>
          <w:color w:val="auto"/>
        </w:rPr>
      </w:pPr>
      <w:r>
        <w:rPr>
          <w:rFonts w:ascii="Arial" w:cs="Arial" w:eastAsia="Arial" w:hAnsi="Arial"/>
          <w:sz w:val="20"/>
          <w:szCs w:val="20"/>
          <w:color w:val="3E3935"/>
        </w:rPr>
        <w:t>We will pay our cost for soliciting proxies for the Annual Meeting. The Company will distribute proxy materials and follow-up reminders, if any, by mail and electronic means. We have engaged Innisfree M&amp;A Incorporated, a professional proxy solicitation firm located at 501 Madison Avenue, 20th Floor, New York, New York 10022, to assist with the solicitation of proxies and to provide related advice and informational support for a service fee, plus customary disbursements. We expect to pay Innisfree a base fee of $20,000, plus expenses, and up to an additional approximately $500,000, depending on the level of services actually provided. GM directors, officers, and employees may also solicit proxies by mail, telephone, or personal visits. They will not receive any additional compensation for their services.</w:t>
      </w:r>
    </w:p>
    <w:p>
      <w:pPr>
        <w:spacing w:after="0" w:line="64" w:lineRule="exact"/>
        <w:rPr>
          <w:sz w:val="20"/>
          <w:szCs w:val="20"/>
          <w:color w:val="auto"/>
        </w:rPr>
      </w:pPr>
    </w:p>
    <w:p>
      <w:pPr>
        <w:jc w:val="both"/>
        <w:ind w:left="120"/>
        <w:spacing w:after="0" w:line="237" w:lineRule="auto"/>
        <w:rPr>
          <w:sz w:val="20"/>
          <w:szCs w:val="20"/>
          <w:color w:val="auto"/>
        </w:rPr>
      </w:pPr>
      <w:r>
        <w:rPr>
          <w:rFonts w:ascii="Arial" w:cs="Arial" w:eastAsia="Arial" w:hAnsi="Arial"/>
          <w:sz w:val="20"/>
          <w:szCs w:val="20"/>
          <w:color w:val="3E3935"/>
        </w:rPr>
        <w:t>GM will provide copies of these proxy materials to banks, brokerage houses, fiduciaries, and custodians holding in their names shares of our common stock beneficially owned by others so that they may forward these proxy materials to the beneficial owners. As usual, we will reimburse brokers, banks, and other nominees for their reasonable expenses in forwarding proxy materials to beneficial owners.</w:t>
      </w:r>
    </w:p>
    <w:p>
      <w:pPr>
        <w:spacing w:after="0" w:line="116" w:lineRule="exact"/>
        <w:rPr>
          <w:sz w:val="20"/>
          <w:szCs w:val="20"/>
          <w:color w:val="auto"/>
        </w:rPr>
      </w:pPr>
    </w:p>
    <w:p>
      <w:pPr>
        <w:jc w:val="center"/>
        <w:ind w:right="10680"/>
        <w:spacing w:after="0"/>
        <w:rPr>
          <w:sz w:val="20"/>
          <w:szCs w:val="20"/>
          <w:color w:val="auto"/>
        </w:rPr>
      </w:pPr>
      <w:r>
        <w:rPr>
          <w:rFonts w:ascii="Arial" w:cs="Arial" w:eastAsia="Arial" w:hAnsi="Arial"/>
          <w:sz w:val="14"/>
          <w:szCs w:val="14"/>
          <w:color w:val="0071CE"/>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wp:posOffset>
            </wp:positionH>
            <wp:positionV relativeFrom="paragraph">
              <wp:posOffset>-95885</wp:posOffset>
            </wp:positionV>
            <wp:extent cx="5983605" cy="10287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5983605" cy="102870"/>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98" w:lineRule="exact"/>
        <w:rPr>
          <w:sz w:val="20"/>
          <w:szCs w:val="20"/>
          <w:color w:val="auto"/>
        </w:rPr>
      </w:pPr>
    </w:p>
    <w:p>
      <w:pPr>
        <w:ind w:left="120"/>
        <w:spacing w:after="0"/>
        <w:rPr>
          <w:sz w:val="20"/>
          <w:szCs w:val="20"/>
          <w:color w:val="auto"/>
        </w:rPr>
      </w:pPr>
      <w:r>
        <w:rPr>
          <w:rFonts w:ascii="Arial" w:cs="Arial" w:eastAsia="Arial" w:hAnsi="Arial"/>
          <w:sz w:val="32"/>
          <w:szCs w:val="32"/>
          <w:b w:val="1"/>
          <w:bCs w:val="1"/>
          <w:color w:val="0071CE"/>
        </w:rPr>
        <w:t>HELPFUL RESOURCES</w:t>
      </w:r>
    </w:p>
    <w:p>
      <w:pPr>
        <w:spacing w:after="0" w:line="200" w:lineRule="exact"/>
        <w:rPr>
          <w:sz w:val="20"/>
          <w:szCs w:val="20"/>
          <w:color w:val="auto"/>
        </w:rPr>
      </w:pPr>
    </w:p>
    <w:p>
      <w:pPr>
        <w:spacing w:after="0" w:line="210" w:lineRule="exact"/>
        <w:rPr>
          <w:sz w:val="20"/>
          <w:szCs w:val="20"/>
          <w:color w:val="auto"/>
        </w:rPr>
      </w:pPr>
    </w:p>
    <w:p>
      <w:pPr>
        <w:ind w:left="200"/>
        <w:spacing w:after="0"/>
        <w:rPr>
          <w:sz w:val="20"/>
          <w:szCs w:val="20"/>
          <w:color w:val="auto"/>
        </w:rPr>
      </w:pPr>
      <w:r>
        <w:rPr>
          <w:rFonts w:ascii="Arial" w:cs="Arial" w:eastAsia="Arial" w:hAnsi="Arial"/>
          <w:sz w:val="17"/>
          <w:szCs w:val="17"/>
          <w:b w:val="1"/>
          <w:bCs w:val="1"/>
          <w:color w:val="3E3935"/>
        </w:rPr>
        <w:t xml:space="preserve">Annual Meeting: </w:t>
      </w:r>
      <w:r>
        <w:rPr>
          <w:rFonts w:ascii="Arial" w:cs="Arial" w:eastAsia="Arial" w:hAnsi="Arial"/>
          <w:sz w:val="17"/>
          <w:szCs w:val="17"/>
          <w:i w:val="1"/>
          <w:iCs w:val="1"/>
          <w:color w:val="00C1DE"/>
        </w:rPr>
        <w:t>investor.gm.com/shareholder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27305</wp:posOffset>
            </wp:positionV>
            <wp:extent cx="3351530" cy="825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0" w:lineRule="exact"/>
        <w:rPr>
          <w:sz w:val="20"/>
          <w:szCs w:val="20"/>
          <w:color w:val="auto"/>
        </w:rPr>
      </w:pPr>
    </w:p>
    <w:p>
      <w:pPr>
        <w:ind w:left="320"/>
        <w:spacing w:after="0"/>
        <w:rPr>
          <w:sz w:val="20"/>
          <w:szCs w:val="20"/>
          <w:color w:val="auto"/>
        </w:rPr>
      </w:pPr>
      <w:r>
        <w:rPr>
          <w:rFonts w:ascii="Arial" w:cs="Arial" w:eastAsia="Arial" w:hAnsi="Arial"/>
          <w:sz w:val="17"/>
          <w:szCs w:val="17"/>
          <w:i w:val="1"/>
          <w:iCs w:val="1"/>
          <w:color w:val="3E3935"/>
        </w:rPr>
        <w:t>2022 Annual Report</w:t>
      </w:r>
    </w:p>
    <w:p>
      <w:pPr>
        <w:spacing w:after="0" w:line="27" w:lineRule="exact"/>
        <w:rPr>
          <w:sz w:val="20"/>
          <w:szCs w:val="20"/>
          <w:color w:val="auto"/>
        </w:rPr>
      </w:pPr>
    </w:p>
    <w:p>
      <w:pPr>
        <w:ind w:left="320"/>
        <w:spacing w:after="0"/>
        <w:rPr>
          <w:sz w:val="20"/>
          <w:szCs w:val="20"/>
          <w:color w:val="auto"/>
        </w:rPr>
      </w:pPr>
      <w:r>
        <w:rPr>
          <w:rFonts w:ascii="Arial" w:cs="Arial" w:eastAsia="Arial" w:hAnsi="Arial"/>
          <w:sz w:val="17"/>
          <w:szCs w:val="17"/>
          <w:i w:val="1"/>
          <w:iCs w:val="1"/>
          <w:color w:val="3E3935"/>
        </w:rPr>
        <w:t>2023 Proxy Statement</w:t>
      </w:r>
    </w:p>
    <w:p>
      <w:pPr>
        <w:spacing w:after="0" w:line="52" w:lineRule="exact"/>
        <w:rPr>
          <w:sz w:val="20"/>
          <w:szCs w:val="20"/>
          <w:color w:val="auto"/>
        </w:rPr>
      </w:pPr>
    </w:p>
    <w:p>
      <w:pPr>
        <w:ind w:left="220"/>
        <w:spacing w:after="0"/>
        <w:rPr>
          <w:sz w:val="20"/>
          <w:szCs w:val="20"/>
          <w:color w:val="auto"/>
        </w:rPr>
      </w:pPr>
      <w:r>
        <w:rPr>
          <w:rFonts w:ascii="Arial" w:cs="Arial" w:eastAsia="Arial" w:hAnsi="Arial"/>
          <w:sz w:val="17"/>
          <w:szCs w:val="17"/>
          <w:b w:val="1"/>
          <w:bCs w:val="1"/>
          <w:color w:val="3E3935"/>
        </w:rPr>
        <w:t>Charters and Governance Documents:</w:t>
      </w:r>
    </w:p>
    <w:p>
      <w:pPr>
        <w:spacing w:after="0" w:line="10" w:lineRule="exact"/>
        <w:rPr>
          <w:sz w:val="20"/>
          <w:szCs w:val="20"/>
          <w:color w:val="auto"/>
        </w:rPr>
      </w:pPr>
    </w:p>
    <w:p>
      <w:pPr>
        <w:ind w:left="220"/>
        <w:spacing w:after="0"/>
        <w:rPr>
          <w:sz w:val="20"/>
          <w:szCs w:val="20"/>
          <w:color w:val="auto"/>
        </w:rPr>
      </w:pPr>
      <w:r>
        <w:rPr>
          <w:rFonts w:ascii="Arial" w:cs="Arial" w:eastAsia="Arial" w:hAnsi="Arial"/>
          <w:sz w:val="17"/>
          <w:szCs w:val="17"/>
          <w:i w:val="1"/>
          <w:iCs w:val="1"/>
          <w:color w:val="00C1DE"/>
        </w:rPr>
        <w:t>investor.gm.com/esg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25400</wp:posOffset>
            </wp:positionV>
            <wp:extent cx="3351530" cy="825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27" w:lineRule="exact"/>
        <w:rPr>
          <w:sz w:val="20"/>
          <w:szCs w:val="20"/>
          <w:color w:val="auto"/>
        </w:rPr>
      </w:pPr>
    </w:p>
    <w:p>
      <w:pPr>
        <w:ind w:left="320"/>
        <w:spacing w:after="0"/>
        <w:rPr>
          <w:sz w:val="20"/>
          <w:szCs w:val="20"/>
          <w:color w:val="auto"/>
        </w:rPr>
      </w:pPr>
      <w:r>
        <w:rPr>
          <w:rFonts w:ascii="Arial" w:cs="Arial" w:eastAsia="Arial" w:hAnsi="Arial"/>
          <w:sz w:val="17"/>
          <w:szCs w:val="17"/>
          <w:i w:val="1"/>
          <w:iCs w:val="1"/>
          <w:color w:val="3E3935"/>
        </w:rPr>
        <w:t>Board Committee Charters</w:t>
      </w:r>
    </w:p>
    <w:p>
      <w:pPr>
        <w:spacing w:after="0" w:line="27" w:lineRule="exact"/>
        <w:rPr>
          <w:sz w:val="20"/>
          <w:szCs w:val="20"/>
          <w:color w:val="auto"/>
        </w:rPr>
      </w:pPr>
    </w:p>
    <w:p>
      <w:pPr>
        <w:ind w:left="320"/>
        <w:spacing w:after="0"/>
        <w:rPr>
          <w:sz w:val="20"/>
          <w:szCs w:val="20"/>
          <w:color w:val="auto"/>
        </w:rPr>
      </w:pPr>
      <w:r>
        <w:rPr>
          <w:rFonts w:ascii="Arial" w:cs="Arial" w:eastAsia="Arial" w:hAnsi="Arial"/>
          <w:sz w:val="17"/>
          <w:szCs w:val="17"/>
          <w:i w:val="1"/>
          <w:iCs w:val="1"/>
          <w:color w:val="3E3935"/>
        </w:rPr>
        <w:t>Bylaws and Certificate of Incorporation</w:t>
      </w:r>
    </w:p>
    <w:p>
      <w:pPr>
        <w:spacing w:after="0" w:line="21" w:lineRule="exact"/>
        <w:rPr>
          <w:sz w:val="20"/>
          <w:szCs w:val="20"/>
          <w:color w:val="auto"/>
        </w:rPr>
      </w:pPr>
    </w:p>
    <w:p>
      <w:pPr>
        <w:ind w:left="320"/>
        <w:spacing w:after="0"/>
        <w:rPr>
          <w:sz w:val="20"/>
          <w:szCs w:val="20"/>
          <w:color w:val="auto"/>
        </w:rPr>
      </w:pPr>
      <w:r>
        <w:rPr>
          <w:rFonts w:ascii="Arial" w:cs="Arial" w:eastAsia="Arial" w:hAnsi="Arial"/>
          <w:sz w:val="17"/>
          <w:szCs w:val="17"/>
          <w:i w:val="1"/>
          <w:iCs w:val="1"/>
          <w:color w:val="3E3935"/>
        </w:rPr>
        <w:t>Corporate Governance Guidelines</w:t>
      </w:r>
    </w:p>
    <w:p>
      <w:pPr>
        <w:spacing w:after="0" w:line="52" w:lineRule="exact"/>
        <w:rPr>
          <w:sz w:val="20"/>
          <w:szCs w:val="20"/>
          <w:color w:val="auto"/>
        </w:rPr>
      </w:pPr>
    </w:p>
    <w:p>
      <w:pPr>
        <w:ind w:left="220"/>
        <w:spacing w:after="0"/>
        <w:rPr>
          <w:sz w:val="20"/>
          <w:szCs w:val="20"/>
          <w:color w:val="auto"/>
        </w:rPr>
      </w:pPr>
      <w:r>
        <w:rPr>
          <w:rFonts w:ascii="Arial" w:cs="Arial" w:eastAsia="Arial" w:hAnsi="Arial"/>
          <w:sz w:val="17"/>
          <w:szCs w:val="17"/>
          <w:b w:val="1"/>
          <w:bCs w:val="1"/>
          <w:color w:val="3E3935"/>
        </w:rPr>
        <w:t xml:space="preserve">Compliance Documents: </w:t>
      </w:r>
      <w:r>
        <w:rPr>
          <w:rFonts w:ascii="Arial" w:cs="Arial" w:eastAsia="Arial" w:hAnsi="Arial"/>
          <w:sz w:val="17"/>
          <w:szCs w:val="17"/>
          <w:i w:val="1"/>
          <w:iCs w:val="1"/>
          <w:color w:val="00C1DE"/>
        </w:rPr>
        <w:t>investor.gm.com/esg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27305</wp:posOffset>
            </wp:positionV>
            <wp:extent cx="3351530" cy="889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30" w:lineRule="exact"/>
        <w:rPr>
          <w:sz w:val="20"/>
          <w:szCs w:val="20"/>
          <w:color w:val="auto"/>
        </w:rPr>
      </w:pPr>
    </w:p>
    <w:p>
      <w:pPr>
        <w:ind w:left="460" w:right="500" w:hanging="151"/>
        <w:spacing w:after="0" w:line="252" w:lineRule="auto"/>
        <w:rPr>
          <w:sz w:val="20"/>
          <w:szCs w:val="20"/>
          <w:color w:val="auto"/>
        </w:rPr>
      </w:pPr>
      <w:r>
        <w:rPr>
          <w:rFonts w:ascii="Arial" w:cs="Arial" w:eastAsia="Arial" w:hAnsi="Arial"/>
          <w:sz w:val="17"/>
          <w:szCs w:val="17"/>
          <w:i w:val="1"/>
          <w:iCs w:val="1"/>
          <w:color w:val="3E3935"/>
        </w:rPr>
        <w:t>Company Policy on Corporate Political Contributions and Expenditures</w:t>
      </w:r>
    </w:p>
    <w:p>
      <w:pPr>
        <w:spacing w:after="0" w:line="1" w:lineRule="exact"/>
        <w:rPr>
          <w:sz w:val="20"/>
          <w:szCs w:val="20"/>
          <w:color w:val="auto"/>
        </w:rPr>
      </w:pPr>
    </w:p>
    <w:p>
      <w:pPr>
        <w:ind w:left="320"/>
        <w:spacing w:after="0"/>
        <w:rPr>
          <w:sz w:val="20"/>
          <w:szCs w:val="20"/>
          <w:color w:val="auto"/>
        </w:rPr>
      </w:pPr>
      <w:r>
        <w:rPr>
          <w:rFonts w:ascii="Arial" w:cs="Arial" w:eastAsia="Arial" w:hAnsi="Arial"/>
          <w:sz w:val="17"/>
          <w:szCs w:val="17"/>
          <w:i w:val="1"/>
          <w:iCs w:val="1"/>
          <w:color w:val="3E3935"/>
        </w:rPr>
        <w:t>Global Integrity Policy</w:t>
      </w:r>
    </w:p>
    <w:p>
      <w:pPr>
        <w:spacing w:after="0" w:line="21" w:lineRule="exact"/>
        <w:rPr>
          <w:sz w:val="20"/>
          <w:szCs w:val="20"/>
          <w:color w:val="auto"/>
        </w:rPr>
      </w:pPr>
    </w:p>
    <w:p>
      <w:pPr>
        <w:ind w:left="320" w:right="1260"/>
        <w:spacing w:after="0" w:line="265" w:lineRule="auto"/>
        <w:rPr>
          <w:sz w:val="20"/>
          <w:szCs w:val="20"/>
          <w:color w:val="auto"/>
        </w:rPr>
      </w:pPr>
      <w:r>
        <w:rPr>
          <w:rFonts w:ascii="Arial" w:cs="Arial" w:eastAsia="Arial" w:hAnsi="Arial"/>
          <w:sz w:val="17"/>
          <w:szCs w:val="17"/>
          <w:i w:val="1"/>
          <w:iCs w:val="1"/>
          <w:color w:val="3E3935"/>
        </w:rPr>
        <w:t>GM’s Code of Conduct: “Winning with Integrity” Insider Trading Policy</w:t>
      </w:r>
    </w:p>
    <w:p>
      <w:pPr>
        <w:ind w:left="320" w:right="1020"/>
        <w:spacing w:after="0" w:line="290" w:lineRule="auto"/>
        <w:rPr>
          <w:sz w:val="20"/>
          <w:szCs w:val="20"/>
          <w:color w:val="auto"/>
        </w:rPr>
      </w:pPr>
      <w:r>
        <w:rPr>
          <w:rFonts w:ascii="Arial" w:cs="Arial" w:eastAsia="Arial" w:hAnsi="Arial"/>
          <w:sz w:val="17"/>
          <w:szCs w:val="17"/>
          <w:i w:val="1"/>
          <w:iCs w:val="1"/>
          <w:color w:val="3E3935"/>
        </w:rPr>
        <w:t>Policy on Recoupment of Incentive Compensation Related Party Transactions Policy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7"/>
          <w:szCs w:val="17"/>
          <w:b w:val="1"/>
          <w:bCs w:val="1"/>
          <w:color w:val="3E3935"/>
        </w:rPr>
        <w:t xml:space="preserve">ESG Policies: </w:t>
      </w:r>
      <w:r>
        <w:rPr>
          <w:rFonts w:ascii="Arial" w:cs="Arial" w:eastAsia="Arial" w:hAnsi="Arial"/>
          <w:sz w:val="17"/>
          <w:szCs w:val="17"/>
          <w:i w:val="1"/>
          <w:iCs w:val="1"/>
          <w:color w:val="00C1DE"/>
        </w:rPr>
        <w:t>investor.gm.com/esg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-3715385</wp:posOffset>
            </wp:positionH>
            <wp:positionV relativeFrom="paragraph">
              <wp:posOffset>-1155065</wp:posOffset>
            </wp:positionV>
            <wp:extent cx="7174865" cy="5524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7174865" cy="55245"/>
                    </a:xfrm>
                    <a:prstGeom prst="rect">
                      <a:avLst/>
                    </a:prstGeom>
                    <a:noFill/>
                  </pic:spPr>
                </pic:pic>
              </a:graphicData>
            </a:graphic>
          </wp:anchor>
        </w:drawing>
        <w:drawing>
          <wp:anchor simplePos="0" relativeHeight="251657728" behindDoc="1" locked="0" layoutInCell="0" allowOverlap="1">
            <wp:simplePos x="0" y="0"/>
            <wp:positionH relativeFrom="column">
              <wp:posOffset>-59690</wp:posOffset>
            </wp:positionH>
            <wp:positionV relativeFrom="paragraph">
              <wp:posOffset>27305</wp:posOffset>
            </wp:positionV>
            <wp:extent cx="3420110" cy="825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3420110" cy="8255"/>
                    </a:xfrm>
                    <a:prstGeom prst="rect">
                      <a:avLst/>
                    </a:prstGeom>
                    <a:noFill/>
                  </pic:spPr>
                </pic:pic>
              </a:graphicData>
            </a:graphic>
          </wp:anchor>
        </w:drawing>
      </w:r>
    </w:p>
    <w:p>
      <w:pPr>
        <w:spacing w:after="0" w:line="30" w:lineRule="exact"/>
        <w:rPr>
          <w:sz w:val="20"/>
          <w:szCs w:val="20"/>
          <w:color w:val="auto"/>
        </w:rPr>
      </w:pPr>
    </w:p>
    <w:p>
      <w:pPr>
        <w:ind w:left="80"/>
        <w:spacing w:after="0"/>
        <w:rPr>
          <w:sz w:val="20"/>
          <w:szCs w:val="20"/>
          <w:color w:val="auto"/>
        </w:rPr>
      </w:pPr>
      <w:r>
        <w:rPr>
          <w:rFonts w:ascii="Arial" w:cs="Arial" w:eastAsia="Arial" w:hAnsi="Arial"/>
          <w:sz w:val="17"/>
          <w:szCs w:val="17"/>
          <w:i w:val="1"/>
          <w:iCs w:val="1"/>
          <w:color w:val="3E3935"/>
        </w:rPr>
        <w:t>Anti-Harassment Policy</w:t>
      </w:r>
    </w:p>
    <w:p>
      <w:pPr>
        <w:spacing w:after="0" w:line="27" w:lineRule="exact"/>
        <w:rPr>
          <w:sz w:val="20"/>
          <w:szCs w:val="20"/>
          <w:color w:val="auto"/>
        </w:rPr>
      </w:pPr>
    </w:p>
    <w:p>
      <w:pPr>
        <w:ind w:left="80"/>
        <w:spacing w:after="0"/>
        <w:rPr>
          <w:sz w:val="20"/>
          <w:szCs w:val="20"/>
          <w:color w:val="auto"/>
        </w:rPr>
      </w:pPr>
      <w:r>
        <w:rPr>
          <w:rFonts w:ascii="Arial" w:cs="Arial" w:eastAsia="Arial" w:hAnsi="Arial"/>
          <w:sz w:val="17"/>
          <w:szCs w:val="17"/>
          <w:i w:val="1"/>
          <w:iCs w:val="1"/>
          <w:color w:val="3E3935"/>
        </w:rPr>
        <w:t>Environmental Policy</w:t>
      </w:r>
    </w:p>
    <w:p>
      <w:pPr>
        <w:spacing w:after="0" w:line="21" w:lineRule="exact"/>
        <w:rPr>
          <w:sz w:val="20"/>
          <w:szCs w:val="20"/>
          <w:color w:val="auto"/>
        </w:rPr>
      </w:pPr>
    </w:p>
    <w:p>
      <w:pPr>
        <w:ind w:left="80"/>
        <w:spacing w:after="0"/>
        <w:rPr>
          <w:sz w:val="20"/>
          <w:szCs w:val="20"/>
          <w:color w:val="auto"/>
        </w:rPr>
      </w:pPr>
      <w:r>
        <w:rPr>
          <w:rFonts w:ascii="Arial" w:cs="Arial" w:eastAsia="Arial" w:hAnsi="Arial"/>
          <w:sz w:val="17"/>
          <w:szCs w:val="17"/>
          <w:i w:val="1"/>
          <w:iCs w:val="1"/>
          <w:color w:val="3E3935"/>
        </w:rPr>
        <w:t>Human Rights Policy</w:t>
      </w:r>
    </w:p>
    <w:p>
      <w:pPr>
        <w:spacing w:after="0" w:line="21" w:lineRule="exact"/>
        <w:rPr>
          <w:sz w:val="20"/>
          <w:szCs w:val="20"/>
          <w:color w:val="auto"/>
        </w:rPr>
      </w:pPr>
    </w:p>
    <w:p>
      <w:pPr>
        <w:ind w:left="80"/>
        <w:spacing w:after="0"/>
        <w:rPr>
          <w:sz w:val="20"/>
          <w:szCs w:val="20"/>
          <w:color w:val="auto"/>
        </w:rPr>
      </w:pPr>
      <w:r>
        <w:rPr>
          <w:rFonts w:ascii="Arial" w:cs="Arial" w:eastAsia="Arial" w:hAnsi="Arial"/>
          <w:sz w:val="17"/>
          <w:szCs w:val="17"/>
          <w:i w:val="1"/>
          <w:iCs w:val="1"/>
          <w:color w:val="3E3935"/>
        </w:rPr>
        <w:t>Responsible Minerals Sourcing Policy</w:t>
      </w:r>
    </w:p>
    <w:p>
      <w:pPr>
        <w:spacing w:after="0" w:line="21" w:lineRule="exact"/>
        <w:rPr>
          <w:sz w:val="20"/>
          <w:szCs w:val="20"/>
          <w:color w:val="auto"/>
        </w:rPr>
      </w:pPr>
    </w:p>
    <w:p>
      <w:pPr>
        <w:ind w:left="80"/>
        <w:spacing w:after="0"/>
        <w:rPr>
          <w:sz w:val="20"/>
          <w:szCs w:val="20"/>
          <w:color w:val="auto"/>
        </w:rPr>
      </w:pPr>
      <w:r>
        <w:rPr>
          <w:rFonts w:ascii="Arial" w:cs="Arial" w:eastAsia="Arial" w:hAnsi="Arial"/>
          <w:sz w:val="17"/>
          <w:szCs w:val="17"/>
          <w:i w:val="1"/>
          <w:iCs w:val="1"/>
          <w:color w:val="3E3935"/>
        </w:rPr>
        <w:t>Supplier Code of Conduct</w:t>
      </w:r>
    </w:p>
    <w:p>
      <w:pPr>
        <w:spacing w:after="0" w:line="21" w:lineRule="exact"/>
        <w:rPr>
          <w:sz w:val="20"/>
          <w:szCs w:val="20"/>
          <w:color w:val="auto"/>
        </w:rPr>
      </w:pPr>
    </w:p>
    <w:p>
      <w:pPr>
        <w:ind w:left="80"/>
        <w:spacing w:after="0"/>
        <w:rPr>
          <w:sz w:val="20"/>
          <w:szCs w:val="20"/>
          <w:color w:val="auto"/>
        </w:rPr>
      </w:pPr>
      <w:r>
        <w:rPr>
          <w:rFonts w:ascii="Arial" w:cs="Arial" w:eastAsia="Arial" w:hAnsi="Arial"/>
          <w:sz w:val="17"/>
          <w:szCs w:val="17"/>
          <w:i w:val="1"/>
          <w:iCs w:val="1"/>
          <w:color w:val="3E3935"/>
        </w:rPr>
        <w:t>Sustainability Framework</w:t>
      </w:r>
    </w:p>
    <w:p>
      <w:pPr>
        <w:spacing w:after="0" w:line="52" w:lineRule="exact"/>
        <w:rPr>
          <w:sz w:val="20"/>
          <w:szCs w:val="20"/>
          <w:color w:val="auto"/>
        </w:rPr>
      </w:pPr>
    </w:p>
    <w:p>
      <w:pPr>
        <w:spacing w:after="0"/>
        <w:rPr>
          <w:sz w:val="20"/>
          <w:szCs w:val="20"/>
          <w:color w:val="auto"/>
        </w:rPr>
      </w:pPr>
      <w:r>
        <w:rPr>
          <w:rFonts w:ascii="Arial" w:cs="Arial" w:eastAsia="Arial" w:hAnsi="Arial"/>
          <w:sz w:val="17"/>
          <w:szCs w:val="17"/>
          <w:b w:val="1"/>
          <w:bCs w:val="1"/>
          <w:color w:val="3E3935"/>
        </w:rPr>
        <w:t xml:space="preserve">Investor Relations: </w:t>
      </w:r>
      <w:r>
        <w:rPr>
          <w:rFonts w:ascii="Arial" w:cs="Arial" w:eastAsia="Arial" w:hAnsi="Arial"/>
          <w:sz w:val="17"/>
          <w:szCs w:val="17"/>
          <w:i w:val="1"/>
          <w:iCs w:val="1"/>
          <w:color w:val="00C1DE"/>
        </w:rPr>
        <w:t>investor.gm.com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-59690</wp:posOffset>
            </wp:positionH>
            <wp:positionV relativeFrom="paragraph">
              <wp:posOffset>27305</wp:posOffset>
            </wp:positionV>
            <wp:extent cx="3420110" cy="889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3420110" cy="8890"/>
                    </a:xfrm>
                    <a:prstGeom prst="rect">
                      <a:avLst/>
                    </a:prstGeom>
                    <a:noFill/>
                  </pic:spPr>
                </pic:pic>
              </a:graphicData>
            </a:graphic>
          </wp:anchor>
        </w:drawing>
      </w:r>
    </w:p>
    <w:p>
      <w:pPr>
        <w:spacing w:after="0" w:line="68" w:lineRule="exact"/>
        <w:rPr>
          <w:sz w:val="20"/>
          <w:szCs w:val="20"/>
          <w:color w:val="auto"/>
        </w:rPr>
      </w:pPr>
    </w:p>
    <w:p>
      <w:pPr>
        <w:spacing w:after="0"/>
        <w:rPr>
          <w:sz w:val="20"/>
          <w:szCs w:val="20"/>
          <w:color w:val="auto"/>
        </w:rPr>
      </w:pPr>
      <w:r>
        <w:rPr>
          <w:rFonts w:ascii="Arial" w:cs="Arial" w:eastAsia="Arial" w:hAnsi="Arial"/>
          <w:sz w:val="17"/>
          <w:szCs w:val="17"/>
          <w:b w:val="1"/>
          <w:bCs w:val="1"/>
          <w:color w:val="3E3935"/>
        </w:rPr>
        <w:t xml:space="preserve">Political Disclosures:  </w:t>
      </w:r>
      <w:r>
        <w:rPr>
          <w:rFonts w:ascii="Arial" w:cs="Arial" w:eastAsia="Arial" w:hAnsi="Arial"/>
          <w:sz w:val="17"/>
          <w:szCs w:val="17"/>
          <w:i w:val="1"/>
          <w:iCs w:val="1"/>
          <w:color w:val="00C1DE"/>
        </w:rPr>
        <w:t>investor.gm.com/esg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-59690</wp:posOffset>
            </wp:positionH>
            <wp:positionV relativeFrom="paragraph">
              <wp:posOffset>27305</wp:posOffset>
            </wp:positionV>
            <wp:extent cx="3420110" cy="825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3420110" cy="8255"/>
                    </a:xfrm>
                    <a:prstGeom prst="rect">
                      <a:avLst/>
                    </a:prstGeom>
                    <a:noFill/>
                  </pic:spPr>
                </pic:pic>
              </a:graphicData>
            </a:graphic>
          </wp:anchor>
        </w:drawing>
      </w:r>
    </w:p>
    <w:p>
      <w:pPr>
        <w:spacing w:after="0" w:line="30" w:lineRule="exact"/>
        <w:rPr>
          <w:sz w:val="20"/>
          <w:szCs w:val="20"/>
          <w:color w:val="auto"/>
        </w:rPr>
      </w:pPr>
    </w:p>
    <w:p>
      <w:pPr>
        <w:ind w:left="80"/>
        <w:spacing w:after="0"/>
        <w:rPr>
          <w:sz w:val="20"/>
          <w:szCs w:val="20"/>
          <w:color w:val="auto"/>
        </w:rPr>
      </w:pPr>
      <w:r>
        <w:rPr>
          <w:rFonts w:ascii="Arial" w:cs="Arial" w:eastAsia="Arial" w:hAnsi="Arial"/>
          <w:sz w:val="17"/>
          <w:szCs w:val="17"/>
          <w:i w:val="1"/>
          <w:iCs w:val="1"/>
          <w:color w:val="3E3935"/>
        </w:rPr>
        <w:t>2022 Sustainability Advocacy Report</w:t>
      </w:r>
    </w:p>
    <w:p>
      <w:pPr>
        <w:spacing w:after="0" w:line="27" w:lineRule="exact"/>
        <w:rPr>
          <w:sz w:val="20"/>
          <w:szCs w:val="20"/>
          <w:color w:val="auto"/>
        </w:rPr>
      </w:pPr>
    </w:p>
    <w:p>
      <w:pPr>
        <w:ind w:left="80"/>
        <w:spacing w:after="0"/>
        <w:rPr>
          <w:sz w:val="20"/>
          <w:szCs w:val="20"/>
          <w:color w:val="auto"/>
        </w:rPr>
      </w:pPr>
      <w:r>
        <w:rPr>
          <w:rFonts w:ascii="Arial" w:cs="Arial" w:eastAsia="Arial" w:hAnsi="Arial"/>
          <w:sz w:val="17"/>
          <w:szCs w:val="17"/>
          <w:i w:val="1"/>
          <w:iCs w:val="1"/>
          <w:color w:val="3E3935"/>
        </w:rPr>
        <w:t>U.S. Political Engagement Overview, Priorities, and Trade</w:t>
      </w:r>
    </w:p>
    <w:p>
      <w:pPr>
        <w:spacing w:after="0" w:line="1" w:lineRule="exact"/>
        <w:rPr>
          <w:sz w:val="20"/>
          <w:szCs w:val="20"/>
          <w:color w:val="auto"/>
        </w:rPr>
      </w:pPr>
    </w:p>
    <w:p>
      <w:pPr>
        <w:ind w:left="240"/>
        <w:spacing w:after="0"/>
        <w:rPr>
          <w:sz w:val="20"/>
          <w:szCs w:val="20"/>
          <w:color w:val="auto"/>
        </w:rPr>
      </w:pPr>
      <w:r>
        <w:rPr>
          <w:rFonts w:ascii="Arial" w:cs="Arial" w:eastAsia="Arial" w:hAnsi="Arial"/>
          <w:sz w:val="17"/>
          <w:szCs w:val="17"/>
          <w:i w:val="1"/>
          <w:iCs w:val="1"/>
          <w:color w:val="3E3935"/>
        </w:rPr>
        <w:t>Association Disclosures</w:t>
      </w:r>
    </w:p>
    <w:p>
      <w:pPr>
        <w:spacing w:after="0" w:line="13" w:lineRule="exact"/>
        <w:rPr>
          <w:sz w:val="20"/>
          <w:szCs w:val="20"/>
          <w:color w:val="auto"/>
        </w:rPr>
      </w:pPr>
    </w:p>
    <w:p>
      <w:pPr>
        <w:ind w:left="80"/>
        <w:spacing w:after="0"/>
        <w:rPr>
          <w:sz w:val="20"/>
          <w:szCs w:val="20"/>
          <w:color w:val="auto"/>
        </w:rPr>
      </w:pPr>
      <w:r>
        <w:rPr>
          <w:rFonts w:ascii="Arial" w:cs="Arial" w:eastAsia="Arial" w:hAnsi="Arial"/>
          <w:sz w:val="17"/>
          <w:szCs w:val="17"/>
          <w:i w:val="1"/>
          <w:iCs w:val="1"/>
          <w:color w:val="3E3935"/>
        </w:rPr>
        <w:t>Voluntary Report of 2021 Political Contributions</w:t>
      </w:r>
    </w:p>
    <w:p>
      <w:pPr>
        <w:spacing w:after="0" w:line="52" w:lineRule="exact"/>
        <w:rPr>
          <w:sz w:val="20"/>
          <w:szCs w:val="20"/>
          <w:color w:val="auto"/>
        </w:rPr>
      </w:pPr>
    </w:p>
    <w:p>
      <w:pPr>
        <w:spacing w:after="0"/>
        <w:rPr>
          <w:sz w:val="20"/>
          <w:szCs w:val="20"/>
          <w:color w:val="auto"/>
        </w:rPr>
      </w:pPr>
      <w:r>
        <w:rPr>
          <w:rFonts w:ascii="Arial" w:cs="Arial" w:eastAsia="Arial" w:hAnsi="Arial"/>
          <w:sz w:val="17"/>
          <w:szCs w:val="17"/>
          <w:b w:val="1"/>
          <w:bCs w:val="1"/>
          <w:color w:val="3E3935"/>
        </w:rPr>
        <w:t xml:space="preserve">Sustainability Report: </w:t>
      </w:r>
      <w:r>
        <w:rPr>
          <w:rFonts w:ascii="Arial" w:cs="Arial" w:eastAsia="Arial" w:hAnsi="Arial"/>
          <w:sz w:val="17"/>
          <w:szCs w:val="17"/>
          <w:i w:val="1"/>
          <w:iCs w:val="1"/>
          <w:color w:val="00C1DE"/>
        </w:rPr>
        <w:t>gmsustainability.com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-59690</wp:posOffset>
            </wp:positionH>
            <wp:positionV relativeFrom="paragraph">
              <wp:posOffset>27305</wp:posOffset>
            </wp:positionV>
            <wp:extent cx="3420110" cy="825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3420110" cy="8255"/>
                    </a:xfrm>
                    <a:prstGeom prst="rect">
                      <a:avLst/>
                    </a:prstGeom>
                    <a:noFill/>
                  </pic:spPr>
                </pic:pic>
              </a:graphicData>
            </a:graphic>
          </wp:anchor>
        </w:drawing>
      </w:r>
    </w:p>
    <w:p>
      <w:pPr>
        <w:spacing w:after="0" w:line="647" w:lineRule="exact"/>
        <w:rPr>
          <w:sz w:val="20"/>
          <w:szCs w:val="20"/>
          <w:color w:val="auto"/>
        </w:rPr>
      </w:pPr>
    </w:p>
    <w:p>
      <w:pPr>
        <w:sectPr>
          <w:pgSz w:w="11900" w:h="16838" w:orient="portrait"/>
          <w:cols w:equalWidth="0" w:num="2">
            <w:col w:w="5120" w:space="720"/>
            <w:col w:w="5300"/>
          </w:cols>
          <w:pgMar w:left="320" w:top="482" w:right="439" w:bottom="0" w:gutter="0" w:footer="0" w:header="0"/>
        </w:sectPr>
      </w:pPr>
    </w:p>
    <w:p>
      <w:pPr>
        <w:spacing w:after="0" w:line="107" w:lineRule="exact"/>
        <w:rPr>
          <w:sz w:val="20"/>
          <w:szCs w:val="20"/>
          <w:color w:val="auto"/>
        </w:rPr>
      </w:pPr>
    </w:p>
    <w:p>
      <w:pPr>
        <w:ind w:left="120"/>
        <w:spacing w:after="0"/>
        <w:rPr>
          <w:sz w:val="20"/>
          <w:szCs w:val="20"/>
          <w:color w:val="auto"/>
        </w:rPr>
      </w:pPr>
      <w:r>
        <w:rPr>
          <w:rFonts w:ascii="Arial" w:cs="Arial" w:eastAsia="Arial" w:hAnsi="Arial"/>
          <w:sz w:val="32"/>
          <w:szCs w:val="32"/>
          <w:b w:val="1"/>
          <w:bCs w:val="1"/>
          <w:color w:val="0071CE"/>
        </w:rPr>
        <w:t>DEFINED TERMS AND COMMONLY USED ACRONYMS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213995</wp:posOffset>
            </wp:positionV>
            <wp:extent cx="6995160" cy="825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140"/>
          </w:cols>
          <w:pgMar w:left="320" w:top="482" w:right="439" w:bottom="0" w:gutter="0" w:footer="0" w:header="0"/>
          <w:type w:val="continuous"/>
        </w:sectPr>
      </w:pPr>
    </w:p>
    <w:p>
      <w:pPr>
        <w:spacing w:after="0" w:line="200" w:lineRule="exact"/>
        <w:rPr>
          <w:sz w:val="20"/>
          <w:szCs w:val="20"/>
          <w:color w:val="auto"/>
        </w:rPr>
      </w:pPr>
    </w:p>
    <w:p>
      <w:pPr>
        <w:spacing w:after="0" w:line="204" w:lineRule="exact"/>
        <w:rPr>
          <w:sz w:val="20"/>
          <w:szCs w:val="20"/>
          <w:color w:val="auto"/>
        </w:rPr>
      </w:pPr>
    </w:p>
    <w:tbl>
      <w:tblPr>
        <w:tblLayout w:type="fixed"/>
        <w:tblInd w:w="120" w:type="dxa"/>
        <w:tblCellMar>
          <w:top w:w="0" w:type="dxa"/>
          <w:left w:w="0" w:type="dxa"/>
          <w:bottom w:w="0" w:type="dxa"/>
          <w:right w:w="0" w:type="dxa"/>
        </w:tblCellMar>
      </w:tblPr>
      <w:tr>
        <w:trPr>
          <w:trHeight w:val="189"/>
        </w:trPr>
        <w:tc>
          <w:tcPr>
            <w:tcW w:w="1560" w:type="dxa"/>
            <w:vAlign w:val="bottom"/>
          </w:tcPr>
          <w:p>
            <w:pPr>
              <w:ind w:left="80"/>
              <w:spacing w:after="0"/>
              <w:rPr>
                <w:sz w:val="20"/>
                <w:szCs w:val="20"/>
                <w:color w:val="auto"/>
              </w:rPr>
            </w:pPr>
            <w:r>
              <w:rPr>
                <w:rFonts w:ascii="Arial" w:cs="Arial" w:eastAsia="Arial" w:hAnsi="Arial"/>
                <w:sz w:val="16"/>
                <w:szCs w:val="16"/>
                <w:b w:val="1"/>
                <w:bCs w:val="1"/>
                <w:color w:val="3E3935"/>
              </w:rPr>
              <w:t>2022 Form 10-K</w:t>
            </w:r>
          </w:p>
        </w:tc>
        <w:tc>
          <w:tcPr>
            <w:tcW w:w="3720" w:type="dxa"/>
            <w:vAlign w:val="bottom"/>
          </w:tcPr>
          <w:p>
            <w:pPr>
              <w:ind w:left="200"/>
              <w:spacing w:after="0"/>
              <w:rPr>
                <w:sz w:val="20"/>
                <w:szCs w:val="20"/>
                <w:color w:val="auto"/>
              </w:rPr>
            </w:pPr>
            <w:r>
              <w:rPr>
                <w:rFonts w:ascii="Arial" w:cs="Arial" w:eastAsia="Arial" w:hAnsi="Arial"/>
                <w:sz w:val="16"/>
                <w:szCs w:val="16"/>
                <w:color w:val="3E3935"/>
              </w:rPr>
              <w:t>GM’s Annual Report on Form 10-K for the year</w:t>
            </w:r>
          </w:p>
        </w:tc>
      </w:tr>
      <w:tr>
        <w:trPr>
          <w:trHeight w:val="215"/>
        </w:trPr>
        <w:tc>
          <w:tcPr>
            <w:tcW w:w="1560" w:type="dxa"/>
            <w:vAlign w:val="bottom"/>
          </w:tcPr>
          <w:p>
            <w:pPr>
              <w:spacing w:after="0"/>
              <w:rPr>
                <w:sz w:val="18"/>
                <w:szCs w:val="18"/>
                <w:color w:val="auto"/>
              </w:rPr>
            </w:pPr>
          </w:p>
        </w:tc>
        <w:tc>
          <w:tcPr>
            <w:tcW w:w="3720" w:type="dxa"/>
            <w:vAlign w:val="bottom"/>
          </w:tcPr>
          <w:p>
            <w:pPr>
              <w:ind w:left="200"/>
              <w:spacing w:after="0"/>
              <w:rPr>
                <w:sz w:val="20"/>
                <w:szCs w:val="20"/>
                <w:color w:val="auto"/>
              </w:rPr>
            </w:pPr>
            <w:r>
              <w:rPr>
                <w:rFonts w:ascii="Arial" w:cs="Arial" w:eastAsia="Arial" w:hAnsi="Arial"/>
                <w:sz w:val="16"/>
                <w:szCs w:val="16"/>
                <w:color w:val="3E3935"/>
              </w:rPr>
              <w:t>ended December 31, 2022</w:t>
            </w:r>
          </w:p>
        </w:tc>
      </w:tr>
      <w:tr>
        <w:trPr>
          <w:trHeight w:val="43"/>
        </w:trPr>
        <w:tc>
          <w:tcPr>
            <w:tcW w:w="1560" w:type="dxa"/>
            <w:vAlign w:val="bottom"/>
            <w:tcBorders>
              <w:bottom w:val="single" w:sz="8" w:color="3E3935"/>
            </w:tcBorders>
          </w:tcPr>
          <w:p>
            <w:pPr>
              <w:spacing w:after="0"/>
              <w:rPr>
                <w:sz w:val="3"/>
                <w:szCs w:val="3"/>
                <w:color w:val="auto"/>
              </w:rPr>
            </w:pPr>
          </w:p>
        </w:tc>
        <w:tc>
          <w:tcPr>
            <w:tcW w:w="3720" w:type="dxa"/>
            <w:vAlign w:val="bottom"/>
            <w:tcBorders>
              <w:bottom w:val="single" w:sz="8" w:color="3E3935"/>
            </w:tcBorders>
          </w:tcPr>
          <w:p>
            <w:pPr>
              <w:spacing w:after="0"/>
              <w:rPr>
                <w:sz w:val="3"/>
                <w:szCs w:val="3"/>
                <w:color w:val="auto"/>
              </w:rPr>
            </w:pPr>
          </w:p>
        </w:tc>
      </w:tr>
      <w:tr>
        <w:trPr>
          <w:trHeight w:val="270"/>
        </w:trPr>
        <w:tc>
          <w:tcPr>
            <w:tcW w:w="1560" w:type="dxa"/>
            <w:vAlign w:val="bottom"/>
          </w:tcPr>
          <w:p>
            <w:pPr>
              <w:ind w:left="80"/>
              <w:spacing w:after="0"/>
              <w:rPr>
                <w:sz w:val="20"/>
                <w:szCs w:val="20"/>
                <w:color w:val="auto"/>
              </w:rPr>
            </w:pPr>
            <w:r>
              <w:rPr>
                <w:rFonts w:ascii="Arial" w:cs="Arial" w:eastAsia="Arial" w:hAnsi="Arial"/>
                <w:sz w:val="16"/>
                <w:szCs w:val="16"/>
                <w:b w:val="1"/>
                <w:bCs w:val="1"/>
                <w:color w:val="3E3935"/>
              </w:rPr>
              <w:t>AAFCF</w:t>
            </w:r>
          </w:p>
        </w:tc>
        <w:tc>
          <w:tcPr>
            <w:tcW w:w="3720" w:type="dxa"/>
            <w:vAlign w:val="bottom"/>
          </w:tcPr>
          <w:p>
            <w:pPr>
              <w:ind w:left="200"/>
              <w:spacing w:after="0"/>
              <w:rPr>
                <w:sz w:val="20"/>
                <w:szCs w:val="20"/>
                <w:color w:val="auto"/>
              </w:rPr>
            </w:pPr>
            <w:r>
              <w:rPr>
                <w:rFonts w:ascii="Arial" w:cs="Arial" w:eastAsia="Arial" w:hAnsi="Arial"/>
                <w:sz w:val="16"/>
                <w:szCs w:val="16"/>
                <w:color w:val="3E3935"/>
              </w:rPr>
              <w:t>Adjusted Automotive Free Cash Flow</w:t>
            </w:r>
          </w:p>
        </w:tc>
      </w:tr>
      <w:tr>
        <w:trPr>
          <w:trHeight w:val="35"/>
        </w:trPr>
        <w:tc>
          <w:tcPr>
            <w:tcW w:w="1560" w:type="dxa"/>
            <w:vAlign w:val="bottom"/>
            <w:tcBorders>
              <w:bottom w:val="single" w:sz="8" w:color="3E3935"/>
            </w:tcBorders>
          </w:tcPr>
          <w:p>
            <w:pPr>
              <w:spacing w:after="0"/>
              <w:rPr>
                <w:sz w:val="3"/>
                <w:szCs w:val="3"/>
                <w:color w:val="auto"/>
              </w:rPr>
            </w:pPr>
          </w:p>
        </w:tc>
        <w:tc>
          <w:tcPr>
            <w:tcW w:w="3720" w:type="dxa"/>
            <w:vAlign w:val="bottom"/>
            <w:tcBorders>
              <w:bottom w:val="single" w:sz="8" w:color="3E3935"/>
            </w:tcBorders>
          </w:tcPr>
          <w:p>
            <w:pPr>
              <w:spacing w:after="0"/>
              <w:rPr>
                <w:sz w:val="3"/>
                <w:szCs w:val="3"/>
                <w:color w:val="auto"/>
              </w:rPr>
            </w:pPr>
          </w:p>
        </w:tc>
      </w:tr>
      <w:tr>
        <w:trPr>
          <w:trHeight w:val="236"/>
        </w:trPr>
        <w:tc>
          <w:tcPr>
            <w:tcW w:w="1560" w:type="dxa"/>
            <w:vAlign w:val="bottom"/>
          </w:tcPr>
          <w:p>
            <w:pPr>
              <w:ind w:left="80"/>
              <w:spacing w:after="0"/>
              <w:rPr>
                <w:sz w:val="20"/>
                <w:szCs w:val="20"/>
                <w:color w:val="auto"/>
              </w:rPr>
            </w:pPr>
            <w:r>
              <w:rPr>
                <w:rFonts w:ascii="Arial" w:cs="Arial" w:eastAsia="Arial" w:hAnsi="Arial"/>
                <w:sz w:val="16"/>
                <w:szCs w:val="16"/>
                <w:b w:val="1"/>
                <w:bCs w:val="1"/>
                <w:color w:val="3E3935"/>
              </w:rPr>
              <w:t>Annual Meeting</w:t>
            </w:r>
          </w:p>
        </w:tc>
        <w:tc>
          <w:tcPr>
            <w:tcW w:w="3720" w:type="dxa"/>
            <w:vAlign w:val="bottom"/>
          </w:tcPr>
          <w:p>
            <w:pPr>
              <w:ind w:left="200"/>
              <w:spacing w:after="0"/>
              <w:rPr>
                <w:sz w:val="20"/>
                <w:szCs w:val="20"/>
                <w:color w:val="auto"/>
              </w:rPr>
            </w:pPr>
            <w:r>
              <w:rPr>
                <w:rFonts w:ascii="Arial" w:cs="Arial" w:eastAsia="Arial" w:hAnsi="Arial"/>
                <w:sz w:val="16"/>
                <w:szCs w:val="16"/>
                <w:color w:val="3E3935"/>
              </w:rPr>
              <w:t>GM’s Annual Meeting of Shareholders to be held</w:t>
            </w:r>
          </w:p>
        </w:tc>
      </w:tr>
      <w:tr>
        <w:trPr>
          <w:trHeight w:val="215"/>
        </w:trPr>
        <w:tc>
          <w:tcPr>
            <w:tcW w:w="1560" w:type="dxa"/>
            <w:vAlign w:val="bottom"/>
          </w:tcPr>
          <w:p>
            <w:pPr>
              <w:spacing w:after="0"/>
              <w:rPr>
                <w:sz w:val="18"/>
                <w:szCs w:val="18"/>
                <w:color w:val="auto"/>
              </w:rPr>
            </w:pPr>
          </w:p>
        </w:tc>
        <w:tc>
          <w:tcPr>
            <w:tcW w:w="3720" w:type="dxa"/>
            <w:vAlign w:val="bottom"/>
          </w:tcPr>
          <w:p>
            <w:pPr>
              <w:ind w:left="200"/>
              <w:spacing w:after="0"/>
              <w:rPr>
                <w:sz w:val="20"/>
                <w:szCs w:val="20"/>
                <w:color w:val="auto"/>
              </w:rPr>
            </w:pPr>
            <w:r>
              <w:rPr>
                <w:rFonts w:ascii="Arial" w:cs="Arial" w:eastAsia="Arial" w:hAnsi="Arial"/>
                <w:sz w:val="16"/>
                <w:szCs w:val="16"/>
                <w:color w:val="3E3935"/>
              </w:rPr>
              <w:t>on June 20, 2023</w:t>
            </w:r>
          </w:p>
        </w:tc>
      </w:tr>
      <w:tr>
        <w:trPr>
          <w:trHeight w:val="43"/>
        </w:trPr>
        <w:tc>
          <w:tcPr>
            <w:tcW w:w="1560" w:type="dxa"/>
            <w:vAlign w:val="bottom"/>
            <w:tcBorders>
              <w:bottom w:val="single" w:sz="8" w:color="3E3935"/>
            </w:tcBorders>
          </w:tcPr>
          <w:p>
            <w:pPr>
              <w:spacing w:after="0"/>
              <w:rPr>
                <w:sz w:val="3"/>
                <w:szCs w:val="3"/>
                <w:color w:val="auto"/>
              </w:rPr>
            </w:pPr>
          </w:p>
        </w:tc>
        <w:tc>
          <w:tcPr>
            <w:tcW w:w="3720" w:type="dxa"/>
            <w:vAlign w:val="bottom"/>
            <w:tcBorders>
              <w:bottom w:val="single" w:sz="8" w:color="3E3935"/>
            </w:tcBorders>
          </w:tcPr>
          <w:p>
            <w:pPr>
              <w:spacing w:after="0"/>
              <w:rPr>
                <w:sz w:val="3"/>
                <w:szCs w:val="3"/>
                <w:color w:val="auto"/>
              </w:rPr>
            </w:pPr>
          </w:p>
        </w:tc>
      </w:tr>
      <w:tr>
        <w:trPr>
          <w:trHeight w:val="270"/>
        </w:trPr>
        <w:tc>
          <w:tcPr>
            <w:tcW w:w="1560" w:type="dxa"/>
            <w:vAlign w:val="bottom"/>
          </w:tcPr>
          <w:p>
            <w:pPr>
              <w:ind w:left="80"/>
              <w:spacing w:after="0"/>
              <w:rPr>
                <w:sz w:val="20"/>
                <w:szCs w:val="20"/>
                <w:color w:val="auto"/>
              </w:rPr>
            </w:pPr>
            <w:r>
              <w:rPr>
                <w:rFonts w:ascii="Arial" w:cs="Arial" w:eastAsia="Arial" w:hAnsi="Arial"/>
                <w:sz w:val="16"/>
                <w:szCs w:val="16"/>
                <w:b w:val="1"/>
                <w:bCs w:val="1"/>
                <w:color w:val="3E3935"/>
              </w:rPr>
              <w:t>AV</w:t>
            </w:r>
          </w:p>
        </w:tc>
        <w:tc>
          <w:tcPr>
            <w:tcW w:w="3720" w:type="dxa"/>
            <w:vAlign w:val="bottom"/>
          </w:tcPr>
          <w:p>
            <w:pPr>
              <w:ind w:left="200"/>
              <w:spacing w:after="0"/>
              <w:rPr>
                <w:sz w:val="20"/>
                <w:szCs w:val="20"/>
                <w:color w:val="auto"/>
              </w:rPr>
            </w:pPr>
            <w:r>
              <w:rPr>
                <w:rFonts w:ascii="Arial" w:cs="Arial" w:eastAsia="Arial" w:hAnsi="Arial"/>
                <w:sz w:val="16"/>
                <w:szCs w:val="16"/>
                <w:color w:val="3E3935"/>
              </w:rPr>
              <w:t>Autonomous Vehicle</w:t>
            </w:r>
          </w:p>
        </w:tc>
      </w:tr>
      <w:tr>
        <w:trPr>
          <w:trHeight w:val="34"/>
        </w:trPr>
        <w:tc>
          <w:tcPr>
            <w:tcW w:w="1560" w:type="dxa"/>
            <w:vAlign w:val="bottom"/>
            <w:tcBorders>
              <w:bottom w:val="single" w:sz="8" w:color="3E3935"/>
            </w:tcBorders>
          </w:tcPr>
          <w:p>
            <w:pPr>
              <w:spacing w:after="0"/>
              <w:rPr>
                <w:sz w:val="3"/>
                <w:szCs w:val="3"/>
                <w:color w:val="auto"/>
              </w:rPr>
            </w:pPr>
          </w:p>
        </w:tc>
        <w:tc>
          <w:tcPr>
            <w:tcW w:w="3720" w:type="dxa"/>
            <w:vAlign w:val="bottom"/>
            <w:tcBorders>
              <w:bottom w:val="single" w:sz="8" w:color="3E3935"/>
            </w:tcBorders>
          </w:tcPr>
          <w:p>
            <w:pPr>
              <w:spacing w:after="0"/>
              <w:rPr>
                <w:sz w:val="3"/>
                <w:szCs w:val="3"/>
                <w:color w:val="auto"/>
              </w:rPr>
            </w:pPr>
          </w:p>
        </w:tc>
      </w:tr>
      <w:tr>
        <w:trPr>
          <w:trHeight w:val="270"/>
        </w:trPr>
        <w:tc>
          <w:tcPr>
            <w:tcW w:w="1560" w:type="dxa"/>
            <w:vAlign w:val="bottom"/>
          </w:tcPr>
          <w:p>
            <w:pPr>
              <w:ind w:left="80"/>
              <w:spacing w:after="0"/>
              <w:rPr>
                <w:sz w:val="20"/>
                <w:szCs w:val="20"/>
                <w:color w:val="auto"/>
              </w:rPr>
            </w:pPr>
            <w:r>
              <w:rPr>
                <w:rFonts w:ascii="Arial" w:cs="Arial" w:eastAsia="Arial" w:hAnsi="Arial"/>
                <w:sz w:val="16"/>
                <w:szCs w:val="16"/>
                <w:b w:val="1"/>
                <w:bCs w:val="1"/>
                <w:color w:val="3E3935"/>
              </w:rPr>
              <w:t>Board</w:t>
            </w:r>
          </w:p>
        </w:tc>
        <w:tc>
          <w:tcPr>
            <w:tcW w:w="3720" w:type="dxa"/>
            <w:vAlign w:val="bottom"/>
          </w:tcPr>
          <w:p>
            <w:pPr>
              <w:ind w:left="200"/>
              <w:spacing w:after="0"/>
              <w:rPr>
                <w:sz w:val="20"/>
                <w:szCs w:val="20"/>
                <w:color w:val="auto"/>
              </w:rPr>
            </w:pPr>
            <w:r>
              <w:rPr>
                <w:rFonts w:ascii="Arial" w:cs="Arial" w:eastAsia="Arial" w:hAnsi="Arial"/>
                <w:sz w:val="16"/>
                <w:szCs w:val="16"/>
                <w:color w:val="3E3935"/>
              </w:rPr>
              <w:t>GM’s Board of Directors</w:t>
            </w:r>
          </w:p>
        </w:tc>
      </w:tr>
      <w:tr>
        <w:trPr>
          <w:trHeight w:val="35"/>
        </w:trPr>
        <w:tc>
          <w:tcPr>
            <w:tcW w:w="1560" w:type="dxa"/>
            <w:vAlign w:val="bottom"/>
            <w:tcBorders>
              <w:bottom w:val="single" w:sz="8" w:color="3E3935"/>
            </w:tcBorders>
          </w:tcPr>
          <w:p>
            <w:pPr>
              <w:spacing w:after="0"/>
              <w:rPr>
                <w:sz w:val="3"/>
                <w:szCs w:val="3"/>
                <w:color w:val="auto"/>
              </w:rPr>
            </w:pPr>
          </w:p>
        </w:tc>
        <w:tc>
          <w:tcPr>
            <w:tcW w:w="3720" w:type="dxa"/>
            <w:vAlign w:val="bottom"/>
            <w:tcBorders>
              <w:bottom w:val="single" w:sz="8" w:color="3E3935"/>
            </w:tcBorders>
          </w:tcPr>
          <w:p>
            <w:pPr>
              <w:spacing w:after="0"/>
              <w:rPr>
                <w:sz w:val="3"/>
                <w:szCs w:val="3"/>
                <w:color w:val="auto"/>
              </w:rPr>
            </w:pPr>
          </w:p>
        </w:tc>
      </w:tr>
      <w:tr>
        <w:trPr>
          <w:trHeight w:val="236"/>
        </w:trPr>
        <w:tc>
          <w:tcPr>
            <w:tcW w:w="1560" w:type="dxa"/>
            <w:vAlign w:val="bottom"/>
          </w:tcPr>
          <w:p>
            <w:pPr>
              <w:ind w:left="80"/>
              <w:spacing w:after="0"/>
              <w:rPr>
                <w:sz w:val="20"/>
                <w:szCs w:val="20"/>
                <w:color w:val="auto"/>
              </w:rPr>
            </w:pPr>
            <w:r>
              <w:rPr>
                <w:rFonts w:ascii="Arial" w:cs="Arial" w:eastAsia="Arial" w:hAnsi="Arial"/>
                <w:sz w:val="16"/>
                <w:szCs w:val="16"/>
                <w:b w:val="1"/>
                <w:bCs w:val="1"/>
                <w:color w:val="3E3935"/>
              </w:rPr>
              <w:t>Bylaws</w:t>
            </w:r>
          </w:p>
        </w:tc>
        <w:tc>
          <w:tcPr>
            <w:tcW w:w="3720" w:type="dxa"/>
            <w:vAlign w:val="bottom"/>
          </w:tcPr>
          <w:p>
            <w:pPr>
              <w:ind w:left="200"/>
              <w:spacing w:after="0"/>
              <w:rPr>
                <w:sz w:val="20"/>
                <w:szCs w:val="20"/>
                <w:color w:val="auto"/>
              </w:rPr>
            </w:pPr>
            <w:r>
              <w:rPr>
                <w:rFonts w:ascii="Arial" w:cs="Arial" w:eastAsia="Arial" w:hAnsi="Arial"/>
                <w:sz w:val="16"/>
                <w:szCs w:val="16"/>
                <w:color w:val="3E3935"/>
              </w:rPr>
              <w:t>GM’s Amended and Restated Bylaws, dated as</w:t>
            </w:r>
          </w:p>
        </w:tc>
      </w:tr>
      <w:tr>
        <w:trPr>
          <w:trHeight w:val="215"/>
        </w:trPr>
        <w:tc>
          <w:tcPr>
            <w:tcW w:w="1560" w:type="dxa"/>
            <w:vAlign w:val="bottom"/>
          </w:tcPr>
          <w:p>
            <w:pPr>
              <w:spacing w:after="0"/>
              <w:rPr>
                <w:sz w:val="18"/>
                <w:szCs w:val="18"/>
                <w:color w:val="auto"/>
              </w:rPr>
            </w:pPr>
          </w:p>
        </w:tc>
        <w:tc>
          <w:tcPr>
            <w:tcW w:w="3720" w:type="dxa"/>
            <w:vAlign w:val="bottom"/>
          </w:tcPr>
          <w:p>
            <w:pPr>
              <w:ind w:left="200"/>
              <w:spacing w:after="0"/>
              <w:rPr>
                <w:sz w:val="20"/>
                <w:szCs w:val="20"/>
                <w:color w:val="auto"/>
              </w:rPr>
            </w:pPr>
            <w:r>
              <w:rPr>
                <w:rFonts w:ascii="Arial" w:cs="Arial" w:eastAsia="Arial" w:hAnsi="Arial"/>
                <w:sz w:val="16"/>
                <w:szCs w:val="16"/>
                <w:color w:val="3E3935"/>
              </w:rPr>
              <w:t>of April 19, 2023</w:t>
            </w:r>
          </w:p>
        </w:tc>
      </w:tr>
      <w:tr>
        <w:trPr>
          <w:trHeight w:val="43"/>
        </w:trPr>
        <w:tc>
          <w:tcPr>
            <w:tcW w:w="1560" w:type="dxa"/>
            <w:vAlign w:val="bottom"/>
            <w:tcBorders>
              <w:bottom w:val="single" w:sz="8" w:color="3E3935"/>
            </w:tcBorders>
          </w:tcPr>
          <w:p>
            <w:pPr>
              <w:spacing w:after="0"/>
              <w:rPr>
                <w:sz w:val="3"/>
                <w:szCs w:val="3"/>
                <w:color w:val="auto"/>
              </w:rPr>
            </w:pPr>
          </w:p>
        </w:tc>
        <w:tc>
          <w:tcPr>
            <w:tcW w:w="3720" w:type="dxa"/>
            <w:vAlign w:val="bottom"/>
            <w:tcBorders>
              <w:bottom w:val="single" w:sz="8" w:color="3E3935"/>
            </w:tcBorders>
          </w:tcPr>
          <w:p>
            <w:pPr>
              <w:spacing w:after="0"/>
              <w:rPr>
                <w:sz w:val="3"/>
                <w:szCs w:val="3"/>
                <w:color w:val="auto"/>
              </w:rPr>
            </w:pPr>
          </w:p>
        </w:tc>
      </w:tr>
      <w:tr>
        <w:trPr>
          <w:trHeight w:val="270"/>
        </w:trPr>
        <w:tc>
          <w:tcPr>
            <w:tcW w:w="1560" w:type="dxa"/>
            <w:vAlign w:val="bottom"/>
          </w:tcPr>
          <w:p>
            <w:pPr>
              <w:ind w:left="80"/>
              <w:spacing w:after="0"/>
              <w:rPr>
                <w:sz w:val="20"/>
                <w:szCs w:val="20"/>
                <w:color w:val="auto"/>
              </w:rPr>
            </w:pPr>
            <w:r>
              <w:rPr>
                <w:rFonts w:ascii="Arial" w:cs="Arial" w:eastAsia="Arial" w:hAnsi="Arial"/>
                <w:sz w:val="16"/>
                <w:szCs w:val="16"/>
                <w:b w:val="1"/>
                <w:bCs w:val="1"/>
                <w:color w:val="3E3935"/>
              </w:rPr>
              <w:t>CAP</w:t>
            </w:r>
          </w:p>
        </w:tc>
        <w:tc>
          <w:tcPr>
            <w:tcW w:w="3720" w:type="dxa"/>
            <w:vAlign w:val="bottom"/>
          </w:tcPr>
          <w:p>
            <w:pPr>
              <w:ind w:left="200"/>
              <w:spacing w:after="0"/>
              <w:rPr>
                <w:sz w:val="20"/>
                <w:szCs w:val="20"/>
                <w:color w:val="auto"/>
              </w:rPr>
            </w:pPr>
            <w:r>
              <w:rPr>
                <w:rFonts w:ascii="Arial" w:cs="Arial" w:eastAsia="Arial" w:hAnsi="Arial"/>
                <w:sz w:val="16"/>
                <w:szCs w:val="16"/>
                <w:color w:val="3E3935"/>
              </w:rPr>
              <w:t>Compensation Actually Paid</w:t>
            </w:r>
          </w:p>
        </w:tc>
      </w:tr>
      <w:tr>
        <w:trPr>
          <w:trHeight w:val="35"/>
        </w:trPr>
        <w:tc>
          <w:tcPr>
            <w:tcW w:w="1560" w:type="dxa"/>
            <w:vAlign w:val="bottom"/>
            <w:tcBorders>
              <w:bottom w:val="single" w:sz="8" w:color="3E3935"/>
            </w:tcBorders>
          </w:tcPr>
          <w:p>
            <w:pPr>
              <w:spacing w:after="0"/>
              <w:rPr>
                <w:sz w:val="3"/>
                <w:szCs w:val="3"/>
                <w:color w:val="auto"/>
              </w:rPr>
            </w:pPr>
          </w:p>
        </w:tc>
        <w:tc>
          <w:tcPr>
            <w:tcW w:w="3720" w:type="dxa"/>
            <w:vAlign w:val="bottom"/>
            <w:tcBorders>
              <w:bottom w:val="single" w:sz="8" w:color="3E3935"/>
            </w:tcBorders>
          </w:tcPr>
          <w:p>
            <w:pPr>
              <w:spacing w:after="0"/>
              <w:rPr>
                <w:sz w:val="3"/>
                <w:szCs w:val="3"/>
                <w:color w:val="auto"/>
              </w:rPr>
            </w:pPr>
          </w:p>
        </w:tc>
      </w:tr>
      <w:tr>
        <w:trPr>
          <w:trHeight w:val="269"/>
        </w:trPr>
        <w:tc>
          <w:tcPr>
            <w:tcW w:w="1560" w:type="dxa"/>
            <w:vAlign w:val="bottom"/>
          </w:tcPr>
          <w:p>
            <w:pPr>
              <w:ind w:left="80"/>
              <w:spacing w:after="0"/>
              <w:rPr>
                <w:sz w:val="20"/>
                <w:szCs w:val="20"/>
                <w:color w:val="auto"/>
              </w:rPr>
            </w:pPr>
            <w:r>
              <w:rPr>
                <w:rFonts w:ascii="Arial" w:cs="Arial" w:eastAsia="Arial" w:hAnsi="Arial"/>
                <w:sz w:val="16"/>
                <w:szCs w:val="16"/>
                <w:b w:val="1"/>
                <w:bCs w:val="1"/>
                <w:color w:val="3E3935"/>
              </w:rPr>
              <w:t>CEO</w:t>
            </w:r>
          </w:p>
        </w:tc>
        <w:tc>
          <w:tcPr>
            <w:tcW w:w="3720" w:type="dxa"/>
            <w:vAlign w:val="bottom"/>
          </w:tcPr>
          <w:p>
            <w:pPr>
              <w:ind w:left="200"/>
              <w:spacing w:after="0"/>
              <w:rPr>
                <w:sz w:val="20"/>
                <w:szCs w:val="20"/>
                <w:color w:val="auto"/>
              </w:rPr>
            </w:pPr>
            <w:r>
              <w:rPr>
                <w:rFonts w:ascii="Arial" w:cs="Arial" w:eastAsia="Arial" w:hAnsi="Arial"/>
                <w:sz w:val="16"/>
                <w:szCs w:val="16"/>
                <w:color w:val="3E3935"/>
              </w:rPr>
              <w:t>Chief Executive Officer</w:t>
            </w:r>
          </w:p>
        </w:tc>
      </w:tr>
      <w:tr>
        <w:trPr>
          <w:trHeight w:val="35"/>
        </w:trPr>
        <w:tc>
          <w:tcPr>
            <w:tcW w:w="1560" w:type="dxa"/>
            <w:vAlign w:val="bottom"/>
            <w:tcBorders>
              <w:bottom w:val="single" w:sz="8" w:color="3E3935"/>
            </w:tcBorders>
          </w:tcPr>
          <w:p>
            <w:pPr>
              <w:spacing w:after="0"/>
              <w:rPr>
                <w:sz w:val="3"/>
                <w:szCs w:val="3"/>
                <w:color w:val="auto"/>
              </w:rPr>
            </w:pPr>
          </w:p>
        </w:tc>
        <w:tc>
          <w:tcPr>
            <w:tcW w:w="3720" w:type="dxa"/>
            <w:vAlign w:val="bottom"/>
            <w:tcBorders>
              <w:bottom w:val="single" w:sz="8" w:color="3E3935"/>
            </w:tcBorders>
          </w:tcPr>
          <w:p>
            <w:pPr>
              <w:spacing w:after="0"/>
              <w:rPr>
                <w:sz w:val="3"/>
                <w:szCs w:val="3"/>
                <w:color w:val="auto"/>
              </w:rPr>
            </w:pPr>
          </w:p>
        </w:tc>
      </w:tr>
      <w:tr>
        <w:trPr>
          <w:trHeight w:val="270"/>
        </w:trPr>
        <w:tc>
          <w:tcPr>
            <w:tcW w:w="1560" w:type="dxa"/>
            <w:vAlign w:val="bottom"/>
          </w:tcPr>
          <w:p>
            <w:pPr>
              <w:ind w:left="80"/>
              <w:spacing w:after="0"/>
              <w:rPr>
                <w:sz w:val="20"/>
                <w:szCs w:val="20"/>
                <w:color w:val="auto"/>
              </w:rPr>
            </w:pPr>
            <w:r>
              <w:rPr>
                <w:rFonts w:ascii="Arial" w:cs="Arial" w:eastAsia="Arial" w:hAnsi="Arial"/>
                <w:sz w:val="16"/>
                <w:szCs w:val="16"/>
                <w:b w:val="1"/>
                <w:bCs w:val="1"/>
                <w:color w:val="3E3935"/>
              </w:rPr>
              <w:t>CFO</w:t>
            </w:r>
          </w:p>
        </w:tc>
        <w:tc>
          <w:tcPr>
            <w:tcW w:w="3720" w:type="dxa"/>
            <w:vAlign w:val="bottom"/>
          </w:tcPr>
          <w:p>
            <w:pPr>
              <w:ind w:left="200"/>
              <w:spacing w:after="0"/>
              <w:rPr>
                <w:sz w:val="20"/>
                <w:szCs w:val="20"/>
                <w:color w:val="auto"/>
              </w:rPr>
            </w:pPr>
            <w:r>
              <w:rPr>
                <w:rFonts w:ascii="Arial" w:cs="Arial" w:eastAsia="Arial" w:hAnsi="Arial"/>
                <w:sz w:val="16"/>
                <w:szCs w:val="16"/>
                <w:color w:val="3E3935"/>
              </w:rPr>
              <w:t>Chief Financial Officer</w:t>
            </w:r>
          </w:p>
        </w:tc>
      </w:tr>
      <w:tr>
        <w:trPr>
          <w:trHeight w:val="35"/>
        </w:trPr>
        <w:tc>
          <w:tcPr>
            <w:tcW w:w="1560" w:type="dxa"/>
            <w:vAlign w:val="bottom"/>
            <w:tcBorders>
              <w:bottom w:val="single" w:sz="8" w:color="3E3935"/>
            </w:tcBorders>
          </w:tcPr>
          <w:p>
            <w:pPr>
              <w:spacing w:after="0"/>
              <w:rPr>
                <w:sz w:val="3"/>
                <w:szCs w:val="3"/>
                <w:color w:val="auto"/>
              </w:rPr>
            </w:pPr>
          </w:p>
        </w:tc>
        <w:tc>
          <w:tcPr>
            <w:tcW w:w="3720" w:type="dxa"/>
            <w:vAlign w:val="bottom"/>
            <w:tcBorders>
              <w:bottom w:val="single" w:sz="8" w:color="3E3935"/>
            </w:tcBorders>
          </w:tcPr>
          <w:p>
            <w:pPr>
              <w:spacing w:after="0"/>
              <w:rPr>
                <w:sz w:val="3"/>
                <w:szCs w:val="3"/>
                <w:color w:val="auto"/>
              </w:rPr>
            </w:pPr>
          </w:p>
        </w:tc>
      </w:tr>
      <w:tr>
        <w:trPr>
          <w:trHeight w:val="269"/>
        </w:trPr>
        <w:tc>
          <w:tcPr>
            <w:tcW w:w="1560" w:type="dxa"/>
            <w:vAlign w:val="bottom"/>
          </w:tcPr>
          <w:p>
            <w:pPr>
              <w:ind w:left="80"/>
              <w:spacing w:after="0"/>
              <w:rPr>
                <w:sz w:val="20"/>
                <w:szCs w:val="20"/>
                <w:color w:val="auto"/>
              </w:rPr>
            </w:pPr>
            <w:r>
              <w:rPr>
                <w:rFonts w:ascii="Arial" w:cs="Arial" w:eastAsia="Arial" w:hAnsi="Arial"/>
                <w:sz w:val="16"/>
                <w:szCs w:val="16"/>
                <w:b w:val="1"/>
                <w:bCs w:val="1"/>
                <w:color w:val="3E3935"/>
              </w:rPr>
              <w:t>Code of Conduct</w:t>
            </w:r>
          </w:p>
        </w:tc>
        <w:tc>
          <w:tcPr>
            <w:tcW w:w="3720" w:type="dxa"/>
            <w:vAlign w:val="bottom"/>
          </w:tcPr>
          <w:p>
            <w:pPr>
              <w:ind w:left="200"/>
              <w:spacing w:after="0"/>
              <w:rPr>
                <w:sz w:val="20"/>
                <w:szCs w:val="20"/>
                <w:color w:val="auto"/>
              </w:rPr>
            </w:pPr>
            <w:r>
              <w:rPr>
                <w:rFonts w:ascii="Arial" w:cs="Arial" w:eastAsia="Arial" w:hAnsi="Arial"/>
                <w:sz w:val="16"/>
                <w:szCs w:val="16"/>
                <w:color w:val="3E3935"/>
              </w:rPr>
              <w:t>GM’s Code of Conduct: “</w:t>
            </w:r>
            <w:r>
              <w:rPr>
                <w:rFonts w:ascii="Arial" w:cs="Arial" w:eastAsia="Arial" w:hAnsi="Arial"/>
                <w:sz w:val="16"/>
                <w:szCs w:val="16"/>
                <w:i w:val="1"/>
                <w:iCs w:val="1"/>
                <w:color w:val="3E3935"/>
              </w:rPr>
              <w:t>Winning with Integrity</w:t>
            </w:r>
            <w:r>
              <w:rPr>
                <w:rFonts w:ascii="Arial" w:cs="Arial" w:eastAsia="Arial" w:hAnsi="Arial"/>
                <w:sz w:val="16"/>
                <w:szCs w:val="16"/>
                <w:color w:val="3E3935"/>
              </w:rPr>
              <w:t>”</w:t>
            </w:r>
          </w:p>
        </w:tc>
      </w:tr>
      <w:tr>
        <w:trPr>
          <w:trHeight w:val="35"/>
        </w:trPr>
        <w:tc>
          <w:tcPr>
            <w:tcW w:w="1560" w:type="dxa"/>
            <w:vAlign w:val="bottom"/>
            <w:tcBorders>
              <w:bottom w:val="single" w:sz="8" w:color="3E3935"/>
            </w:tcBorders>
          </w:tcPr>
          <w:p>
            <w:pPr>
              <w:spacing w:after="0"/>
              <w:rPr>
                <w:sz w:val="3"/>
                <w:szCs w:val="3"/>
                <w:color w:val="auto"/>
              </w:rPr>
            </w:pPr>
          </w:p>
        </w:tc>
        <w:tc>
          <w:tcPr>
            <w:tcW w:w="3720" w:type="dxa"/>
            <w:vAlign w:val="bottom"/>
            <w:tcBorders>
              <w:bottom w:val="single" w:sz="8" w:color="3E3935"/>
            </w:tcBorders>
          </w:tcPr>
          <w:p>
            <w:pPr>
              <w:spacing w:after="0"/>
              <w:rPr>
                <w:sz w:val="3"/>
                <w:szCs w:val="3"/>
                <w:color w:val="auto"/>
              </w:rPr>
            </w:pPr>
          </w:p>
        </w:tc>
      </w:tr>
      <w:tr>
        <w:trPr>
          <w:trHeight w:val="236"/>
        </w:trPr>
        <w:tc>
          <w:tcPr>
            <w:tcW w:w="1560" w:type="dxa"/>
            <w:vAlign w:val="bottom"/>
          </w:tcPr>
          <w:p>
            <w:pPr>
              <w:ind w:left="80"/>
              <w:spacing w:after="0"/>
              <w:rPr>
                <w:sz w:val="20"/>
                <w:szCs w:val="20"/>
                <w:color w:val="auto"/>
              </w:rPr>
            </w:pPr>
            <w:r>
              <w:rPr>
                <w:rFonts w:ascii="Arial" w:cs="Arial" w:eastAsia="Arial" w:hAnsi="Arial"/>
                <w:sz w:val="16"/>
                <w:szCs w:val="16"/>
                <w:b w:val="1"/>
                <w:bCs w:val="1"/>
                <w:color w:val="3E3935"/>
              </w:rPr>
              <w:t>Compensation</w:t>
            </w:r>
          </w:p>
        </w:tc>
        <w:tc>
          <w:tcPr>
            <w:tcW w:w="3720" w:type="dxa"/>
            <w:vAlign w:val="bottom"/>
          </w:tcPr>
          <w:p>
            <w:pPr>
              <w:ind w:left="200"/>
              <w:spacing w:after="0"/>
              <w:rPr>
                <w:sz w:val="20"/>
                <w:szCs w:val="20"/>
                <w:color w:val="auto"/>
              </w:rPr>
            </w:pPr>
            <w:r>
              <w:rPr>
                <w:rFonts w:ascii="Arial" w:cs="Arial" w:eastAsia="Arial" w:hAnsi="Arial"/>
                <w:sz w:val="16"/>
                <w:szCs w:val="16"/>
                <w:color w:val="3E3935"/>
              </w:rPr>
              <w:t>Executive Compensation Committee</w:t>
            </w:r>
          </w:p>
        </w:tc>
      </w:tr>
      <w:tr>
        <w:trPr>
          <w:trHeight w:val="223"/>
        </w:trPr>
        <w:tc>
          <w:tcPr>
            <w:tcW w:w="1560" w:type="dxa"/>
            <w:vAlign w:val="bottom"/>
          </w:tcPr>
          <w:p>
            <w:pPr>
              <w:ind w:left="80"/>
              <w:spacing w:after="0"/>
              <w:rPr>
                <w:sz w:val="20"/>
                <w:szCs w:val="20"/>
                <w:color w:val="auto"/>
              </w:rPr>
            </w:pPr>
            <w:r>
              <w:rPr>
                <w:rFonts w:ascii="Arial" w:cs="Arial" w:eastAsia="Arial" w:hAnsi="Arial"/>
                <w:sz w:val="16"/>
                <w:szCs w:val="16"/>
                <w:b w:val="1"/>
                <w:bCs w:val="1"/>
                <w:color w:val="3E3935"/>
              </w:rPr>
              <w:t>Committee</w:t>
            </w:r>
          </w:p>
        </w:tc>
        <w:tc>
          <w:tcPr>
            <w:tcW w:w="3720" w:type="dxa"/>
            <w:vAlign w:val="bottom"/>
          </w:tcPr>
          <w:p>
            <w:pPr>
              <w:spacing w:after="0"/>
              <w:rPr>
                <w:sz w:val="19"/>
                <w:szCs w:val="19"/>
                <w:color w:val="auto"/>
              </w:rPr>
            </w:pPr>
          </w:p>
        </w:tc>
      </w:tr>
      <w:tr>
        <w:trPr>
          <w:trHeight w:val="35"/>
        </w:trPr>
        <w:tc>
          <w:tcPr>
            <w:tcW w:w="1560" w:type="dxa"/>
            <w:vAlign w:val="bottom"/>
            <w:tcBorders>
              <w:bottom w:val="single" w:sz="8" w:color="3E3935"/>
            </w:tcBorders>
          </w:tcPr>
          <w:p>
            <w:pPr>
              <w:spacing w:after="0"/>
              <w:rPr>
                <w:sz w:val="3"/>
                <w:szCs w:val="3"/>
                <w:color w:val="auto"/>
              </w:rPr>
            </w:pPr>
          </w:p>
        </w:tc>
        <w:tc>
          <w:tcPr>
            <w:tcW w:w="3720" w:type="dxa"/>
            <w:vAlign w:val="bottom"/>
            <w:tcBorders>
              <w:bottom w:val="single" w:sz="8" w:color="3E3935"/>
            </w:tcBorders>
          </w:tcPr>
          <w:p>
            <w:pPr>
              <w:spacing w:after="0"/>
              <w:rPr>
                <w:sz w:val="3"/>
                <w:szCs w:val="3"/>
                <w:color w:val="auto"/>
              </w:rPr>
            </w:pPr>
          </w:p>
        </w:tc>
      </w:tr>
      <w:tr>
        <w:trPr>
          <w:trHeight w:val="270"/>
        </w:trPr>
        <w:tc>
          <w:tcPr>
            <w:tcW w:w="1560" w:type="dxa"/>
            <w:vAlign w:val="bottom"/>
          </w:tcPr>
          <w:p>
            <w:pPr>
              <w:ind w:left="80"/>
              <w:spacing w:after="0"/>
              <w:rPr>
                <w:sz w:val="20"/>
                <w:szCs w:val="20"/>
                <w:color w:val="auto"/>
              </w:rPr>
            </w:pPr>
            <w:r>
              <w:rPr>
                <w:rFonts w:ascii="Arial" w:cs="Arial" w:eastAsia="Arial" w:hAnsi="Arial"/>
                <w:sz w:val="16"/>
                <w:szCs w:val="16"/>
                <w:b w:val="1"/>
                <w:bCs w:val="1"/>
                <w:color w:val="3E3935"/>
              </w:rPr>
              <w:t>DB</w:t>
            </w:r>
          </w:p>
        </w:tc>
        <w:tc>
          <w:tcPr>
            <w:tcW w:w="3720" w:type="dxa"/>
            <w:vAlign w:val="bottom"/>
          </w:tcPr>
          <w:p>
            <w:pPr>
              <w:ind w:left="200"/>
              <w:spacing w:after="0"/>
              <w:rPr>
                <w:sz w:val="20"/>
                <w:szCs w:val="20"/>
                <w:color w:val="auto"/>
              </w:rPr>
            </w:pPr>
            <w:r>
              <w:rPr>
                <w:rFonts w:ascii="Arial" w:cs="Arial" w:eastAsia="Arial" w:hAnsi="Arial"/>
                <w:sz w:val="16"/>
                <w:szCs w:val="16"/>
                <w:color w:val="3E3935"/>
              </w:rPr>
              <w:t>Defined Benefit</w:t>
            </w:r>
          </w:p>
        </w:tc>
      </w:tr>
      <w:tr>
        <w:trPr>
          <w:trHeight w:val="35"/>
        </w:trPr>
        <w:tc>
          <w:tcPr>
            <w:tcW w:w="1560" w:type="dxa"/>
            <w:vAlign w:val="bottom"/>
            <w:tcBorders>
              <w:bottom w:val="single" w:sz="8" w:color="3E3935"/>
            </w:tcBorders>
          </w:tcPr>
          <w:p>
            <w:pPr>
              <w:spacing w:after="0"/>
              <w:rPr>
                <w:sz w:val="3"/>
                <w:szCs w:val="3"/>
                <w:color w:val="auto"/>
              </w:rPr>
            </w:pPr>
          </w:p>
        </w:tc>
        <w:tc>
          <w:tcPr>
            <w:tcW w:w="3720" w:type="dxa"/>
            <w:vAlign w:val="bottom"/>
            <w:tcBorders>
              <w:bottom w:val="single" w:sz="8" w:color="3E3935"/>
            </w:tcBorders>
          </w:tcPr>
          <w:p>
            <w:pPr>
              <w:spacing w:after="0"/>
              <w:rPr>
                <w:sz w:val="3"/>
                <w:szCs w:val="3"/>
                <w:color w:val="auto"/>
              </w:rPr>
            </w:pPr>
          </w:p>
        </w:tc>
      </w:tr>
      <w:tr>
        <w:trPr>
          <w:trHeight w:val="270"/>
        </w:trPr>
        <w:tc>
          <w:tcPr>
            <w:tcW w:w="1560" w:type="dxa"/>
            <w:vAlign w:val="bottom"/>
          </w:tcPr>
          <w:p>
            <w:pPr>
              <w:ind w:left="80"/>
              <w:spacing w:after="0"/>
              <w:rPr>
                <w:sz w:val="20"/>
                <w:szCs w:val="20"/>
                <w:color w:val="auto"/>
              </w:rPr>
            </w:pPr>
            <w:r>
              <w:rPr>
                <w:rFonts w:ascii="Arial" w:cs="Arial" w:eastAsia="Arial" w:hAnsi="Arial"/>
                <w:sz w:val="16"/>
                <w:szCs w:val="16"/>
                <w:b w:val="1"/>
                <w:bCs w:val="1"/>
                <w:color w:val="3E3935"/>
              </w:rPr>
              <w:t>DC</w:t>
            </w:r>
          </w:p>
        </w:tc>
        <w:tc>
          <w:tcPr>
            <w:tcW w:w="3720" w:type="dxa"/>
            <w:vAlign w:val="bottom"/>
          </w:tcPr>
          <w:p>
            <w:pPr>
              <w:ind w:left="200"/>
              <w:spacing w:after="0"/>
              <w:rPr>
                <w:sz w:val="20"/>
                <w:szCs w:val="20"/>
                <w:color w:val="auto"/>
              </w:rPr>
            </w:pPr>
            <w:r>
              <w:rPr>
                <w:rFonts w:ascii="Arial" w:cs="Arial" w:eastAsia="Arial" w:hAnsi="Arial"/>
                <w:sz w:val="16"/>
                <w:szCs w:val="16"/>
                <w:color w:val="3E3935"/>
              </w:rPr>
              <w:t>Defined Contribution</w:t>
            </w:r>
          </w:p>
        </w:tc>
      </w:tr>
      <w:tr>
        <w:trPr>
          <w:trHeight w:val="34"/>
        </w:trPr>
        <w:tc>
          <w:tcPr>
            <w:tcW w:w="1560" w:type="dxa"/>
            <w:vAlign w:val="bottom"/>
            <w:tcBorders>
              <w:bottom w:val="single" w:sz="8" w:color="3E3935"/>
            </w:tcBorders>
          </w:tcPr>
          <w:p>
            <w:pPr>
              <w:spacing w:after="0"/>
              <w:rPr>
                <w:sz w:val="3"/>
                <w:szCs w:val="3"/>
                <w:color w:val="auto"/>
              </w:rPr>
            </w:pPr>
          </w:p>
        </w:tc>
        <w:tc>
          <w:tcPr>
            <w:tcW w:w="3720" w:type="dxa"/>
            <w:vAlign w:val="bottom"/>
            <w:tcBorders>
              <w:bottom w:val="single" w:sz="8" w:color="3E3935"/>
            </w:tcBorders>
          </w:tcPr>
          <w:p>
            <w:pPr>
              <w:spacing w:after="0"/>
              <w:rPr>
                <w:sz w:val="3"/>
                <w:szCs w:val="3"/>
                <w:color w:val="auto"/>
              </w:rPr>
            </w:pPr>
          </w:p>
        </w:tc>
      </w:tr>
      <w:tr>
        <w:trPr>
          <w:trHeight w:val="270"/>
        </w:trPr>
        <w:tc>
          <w:tcPr>
            <w:tcW w:w="1560" w:type="dxa"/>
            <w:vAlign w:val="bottom"/>
          </w:tcPr>
          <w:p>
            <w:pPr>
              <w:ind w:left="80"/>
              <w:spacing w:after="0"/>
              <w:rPr>
                <w:sz w:val="20"/>
                <w:szCs w:val="20"/>
                <w:color w:val="auto"/>
              </w:rPr>
            </w:pPr>
            <w:r>
              <w:rPr>
                <w:rFonts w:ascii="Arial" w:cs="Arial" w:eastAsia="Arial" w:hAnsi="Arial"/>
                <w:sz w:val="16"/>
                <w:szCs w:val="16"/>
                <w:b w:val="1"/>
                <w:bCs w:val="1"/>
                <w:color w:val="3E3935"/>
              </w:rPr>
              <w:t>DE&amp;I</w:t>
            </w:r>
          </w:p>
        </w:tc>
        <w:tc>
          <w:tcPr>
            <w:tcW w:w="3720" w:type="dxa"/>
            <w:vAlign w:val="bottom"/>
          </w:tcPr>
          <w:p>
            <w:pPr>
              <w:ind w:left="200"/>
              <w:spacing w:after="0"/>
              <w:rPr>
                <w:sz w:val="20"/>
                <w:szCs w:val="20"/>
                <w:color w:val="auto"/>
              </w:rPr>
            </w:pPr>
            <w:r>
              <w:rPr>
                <w:rFonts w:ascii="Arial" w:cs="Arial" w:eastAsia="Arial" w:hAnsi="Arial"/>
                <w:sz w:val="16"/>
                <w:szCs w:val="16"/>
                <w:color w:val="3E3935"/>
              </w:rPr>
              <w:t>Diversity, Equity, and Inclusion</w:t>
            </w:r>
          </w:p>
        </w:tc>
      </w:tr>
      <w:tr>
        <w:trPr>
          <w:trHeight w:val="35"/>
        </w:trPr>
        <w:tc>
          <w:tcPr>
            <w:tcW w:w="1560" w:type="dxa"/>
            <w:vAlign w:val="bottom"/>
            <w:tcBorders>
              <w:bottom w:val="single" w:sz="8" w:color="3E3935"/>
            </w:tcBorders>
          </w:tcPr>
          <w:p>
            <w:pPr>
              <w:spacing w:after="0"/>
              <w:rPr>
                <w:sz w:val="3"/>
                <w:szCs w:val="3"/>
                <w:color w:val="auto"/>
              </w:rPr>
            </w:pPr>
          </w:p>
        </w:tc>
        <w:tc>
          <w:tcPr>
            <w:tcW w:w="3720" w:type="dxa"/>
            <w:vAlign w:val="bottom"/>
            <w:tcBorders>
              <w:bottom w:val="single" w:sz="8" w:color="3E3935"/>
            </w:tcBorders>
          </w:tcPr>
          <w:p>
            <w:pPr>
              <w:spacing w:after="0"/>
              <w:rPr>
                <w:sz w:val="3"/>
                <w:szCs w:val="3"/>
                <w:color w:val="auto"/>
              </w:rPr>
            </w:pPr>
          </w:p>
        </w:tc>
      </w:tr>
      <w:tr>
        <w:trPr>
          <w:trHeight w:val="236"/>
        </w:trPr>
        <w:tc>
          <w:tcPr>
            <w:tcW w:w="1560" w:type="dxa"/>
            <w:vAlign w:val="bottom"/>
          </w:tcPr>
          <w:p>
            <w:pPr>
              <w:ind w:left="80"/>
              <w:spacing w:after="0"/>
              <w:rPr>
                <w:sz w:val="20"/>
                <w:szCs w:val="20"/>
                <w:color w:val="auto"/>
              </w:rPr>
            </w:pPr>
            <w:r>
              <w:rPr>
                <w:rFonts w:ascii="Arial" w:cs="Arial" w:eastAsia="Arial" w:hAnsi="Arial"/>
                <w:sz w:val="16"/>
                <w:szCs w:val="16"/>
                <w:b w:val="1"/>
                <w:bCs w:val="1"/>
                <w:color w:val="3E3935"/>
              </w:rPr>
              <w:t>Director</w:t>
            </w:r>
          </w:p>
        </w:tc>
        <w:tc>
          <w:tcPr>
            <w:tcW w:w="3720" w:type="dxa"/>
            <w:vAlign w:val="bottom"/>
          </w:tcPr>
          <w:p>
            <w:pPr>
              <w:ind w:left="200"/>
              <w:spacing w:after="0"/>
              <w:rPr>
                <w:sz w:val="20"/>
                <w:szCs w:val="20"/>
                <w:color w:val="auto"/>
              </w:rPr>
            </w:pPr>
            <w:r>
              <w:rPr>
                <w:rFonts w:ascii="Arial" w:cs="Arial" w:eastAsia="Arial" w:hAnsi="Arial"/>
                <w:sz w:val="16"/>
                <w:szCs w:val="16"/>
                <w:color w:val="3E3935"/>
              </w:rPr>
              <w:t>General Motors Company Deferred</w:t>
            </w:r>
          </w:p>
        </w:tc>
      </w:tr>
      <w:tr>
        <w:trPr>
          <w:trHeight w:val="189"/>
        </w:trPr>
        <w:tc>
          <w:tcPr>
            <w:tcW w:w="1560" w:type="dxa"/>
            <w:vAlign w:val="bottom"/>
          </w:tcPr>
          <w:p>
            <w:pPr>
              <w:ind w:left="80"/>
              <w:spacing w:after="0"/>
              <w:rPr>
                <w:sz w:val="20"/>
                <w:szCs w:val="20"/>
                <w:color w:val="auto"/>
              </w:rPr>
            </w:pPr>
            <w:r>
              <w:rPr>
                <w:rFonts w:ascii="Arial" w:cs="Arial" w:eastAsia="Arial" w:hAnsi="Arial"/>
                <w:sz w:val="16"/>
                <w:szCs w:val="16"/>
                <w:b w:val="1"/>
                <w:bCs w:val="1"/>
                <w:color w:val="3E3935"/>
              </w:rPr>
              <w:t>Compensation</w:t>
            </w:r>
          </w:p>
        </w:tc>
        <w:tc>
          <w:tcPr>
            <w:tcW w:w="3720" w:type="dxa"/>
            <w:vAlign w:val="bottom"/>
          </w:tcPr>
          <w:p>
            <w:pPr>
              <w:ind w:left="200"/>
              <w:spacing w:after="0"/>
              <w:rPr>
                <w:sz w:val="20"/>
                <w:szCs w:val="20"/>
                <w:color w:val="auto"/>
              </w:rPr>
            </w:pPr>
            <w:r>
              <w:rPr>
                <w:rFonts w:ascii="Arial" w:cs="Arial" w:eastAsia="Arial" w:hAnsi="Arial"/>
                <w:sz w:val="16"/>
                <w:szCs w:val="16"/>
                <w:color w:val="3E3935"/>
              </w:rPr>
              <w:t>Compensation Plan for Non-Employee Directors</w:t>
            </w:r>
          </w:p>
        </w:tc>
      </w:tr>
      <w:tr>
        <w:trPr>
          <w:trHeight w:val="223"/>
        </w:trPr>
        <w:tc>
          <w:tcPr>
            <w:tcW w:w="1560" w:type="dxa"/>
            <w:vAlign w:val="bottom"/>
          </w:tcPr>
          <w:p>
            <w:pPr>
              <w:ind w:left="80"/>
              <w:spacing w:after="0"/>
              <w:rPr>
                <w:sz w:val="20"/>
                <w:szCs w:val="20"/>
                <w:color w:val="auto"/>
              </w:rPr>
            </w:pPr>
            <w:r>
              <w:rPr>
                <w:rFonts w:ascii="Arial" w:cs="Arial" w:eastAsia="Arial" w:hAnsi="Arial"/>
                <w:sz w:val="16"/>
                <w:szCs w:val="16"/>
                <w:b w:val="1"/>
                <w:bCs w:val="1"/>
                <w:color w:val="3E3935"/>
              </w:rPr>
              <w:t>Plan</w:t>
            </w:r>
          </w:p>
        </w:tc>
        <w:tc>
          <w:tcPr>
            <w:tcW w:w="3720" w:type="dxa"/>
            <w:vAlign w:val="bottom"/>
          </w:tcPr>
          <w:p>
            <w:pPr>
              <w:spacing w:after="0"/>
              <w:rPr>
                <w:sz w:val="19"/>
                <w:szCs w:val="19"/>
                <w:color w:val="auto"/>
              </w:rPr>
            </w:pPr>
          </w:p>
        </w:tc>
      </w:tr>
      <w:tr>
        <w:trPr>
          <w:trHeight w:val="34"/>
        </w:trPr>
        <w:tc>
          <w:tcPr>
            <w:tcW w:w="1560" w:type="dxa"/>
            <w:vAlign w:val="bottom"/>
            <w:tcBorders>
              <w:bottom w:val="single" w:sz="8" w:color="3E3935"/>
            </w:tcBorders>
          </w:tcPr>
          <w:p>
            <w:pPr>
              <w:spacing w:after="0"/>
              <w:rPr>
                <w:sz w:val="3"/>
                <w:szCs w:val="3"/>
                <w:color w:val="auto"/>
              </w:rPr>
            </w:pPr>
          </w:p>
        </w:tc>
        <w:tc>
          <w:tcPr>
            <w:tcW w:w="3720" w:type="dxa"/>
            <w:vAlign w:val="bottom"/>
            <w:tcBorders>
              <w:bottom w:val="single" w:sz="8" w:color="3E3935"/>
            </w:tcBorders>
          </w:tcPr>
          <w:p>
            <w:pPr>
              <w:spacing w:after="0"/>
              <w:rPr>
                <w:sz w:val="3"/>
                <w:szCs w:val="3"/>
                <w:color w:val="auto"/>
              </w:rPr>
            </w:pPr>
          </w:p>
        </w:tc>
      </w:tr>
      <w:tr>
        <w:trPr>
          <w:trHeight w:val="270"/>
        </w:trPr>
        <w:tc>
          <w:tcPr>
            <w:tcW w:w="1560" w:type="dxa"/>
            <w:vAlign w:val="bottom"/>
          </w:tcPr>
          <w:p>
            <w:pPr>
              <w:ind w:left="80"/>
              <w:spacing w:after="0"/>
              <w:rPr>
                <w:sz w:val="20"/>
                <w:szCs w:val="20"/>
                <w:color w:val="auto"/>
              </w:rPr>
            </w:pPr>
            <w:r>
              <w:rPr>
                <w:rFonts w:ascii="Arial" w:cs="Arial" w:eastAsia="Arial" w:hAnsi="Arial"/>
                <w:sz w:val="16"/>
                <w:szCs w:val="16"/>
                <w:b w:val="1"/>
                <w:bCs w:val="1"/>
                <w:color w:val="3E3935"/>
              </w:rPr>
              <w:t>DSU</w:t>
            </w:r>
          </w:p>
        </w:tc>
        <w:tc>
          <w:tcPr>
            <w:tcW w:w="3720" w:type="dxa"/>
            <w:vAlign w:val="bottom"/>
          </w:tcPr>
          <w:p>
            <w:pPr>
              <w:ind w:left="200"/>
              <w:spacing w:after="0"/>
              <w:rPr>
                <w:sz w:val="20"/>
                <w:szCs w:val="20"/>
                <w:color w:val="auto"/>
              </w:rPr>
            </w:pPr>
            <w:r>
              <w:rPr>
                <w:rFonts w:ascii="Arial" w:cs="Arial" w:eastAsia="Arial" w:hAnsi="Arial"/>
                <w:sz w:val="16"/>
                <w:szCs w:val="16"/>
                <w:color w:val="3E3935"/>
              </w:rPr>
              <w:t>Deferred Share Unit</w:t>
            </w:r>
          </w:p>
        </w:tc>
      </w:tr>
      <w:tr>
        <w:trPr>
          <w:trHeight w:val="34"/>
        </w:trPr>
        <w:tc>
          <w:tcPr>
            <w:tcW w:w="1560" w:type="dxa"/>
            <w:vAlign w:val="bottom"/>
            <w:tcBorders>
              <w:bottom w:val="single" w:sz="8" w:color="3E3935"/>
            </w:tcBorders>
          </w:tcPr>
          <w:p>
            <w:pPr>
              <w:spacing w:after="0"/>
              <w:rPr>
                <w:sz w:val="3"/>
                <w:szCs w:val="3"/>
                <w:color w:val="auto"/>
              </w:rPr>
            </w:pPr>
          </w:p>
        </w:tc>
        <w:tc>
          <w:tcPr>
            <w:tcW w:w="3720" w:type="dxa"/>
            <w:vAlign w:val="bottom"/>
            <w:tcBorders>
              <w:bottom w:val="single" w:sz="8" w:color="3E3935"/>
            </w:tcBorders>
          </w:tcPr>
          <w:p>
            <w:pPr>
              <w:spacing w:after="0"/>
              <w:rPr>
                <w:sz w:val="3"/>
                <w:szCs w:val="3"/>
                <w:color w:val="auto"/>
              </w:rPr>
            </w:pPr>
          </w:p>
        </w:tc>
      </w:tr>
      <w:tr>
        <w:trPr>
          <w:trHeight w:val="270"/>
        </w:trPr>
        <w:tc>
          <w:tcPr>
            <w:tcW w:w="1560" w:type="dxa"/>
            <w:vAlign w:val="bottom"/>
          </w:tcPr>
          <w:p>
            <w:pPr>
              <w:ind w:left="80"/>
              <w:spacing w:after="0"/>
              <w:rPr>
                <w:sz w:val="20"/>
                <w:szCs w:val="20"/>
                <w:color w:val="auto"/>
              </w:rPr>
            </w:pPr>
            <w:r>
              <w:rPr>
                <w:rFonts w:ascii="Arial" w:cs="Arial" w:eastAsia="Arial" w:hAnsi="Arial"/>
                <w:sz w:val="16"/>
                <w:szCs w:val="16"/>
                <w:b w:val="1"/>
                <w:bCs w:val="1"/>
                <w:color w:val="3E3935"/>
              </w:rPr>
              <w:t>EBIT</w:t>
            </w:r>
          </w:p>
        </w:tc>
        <w:tc>
          <w:tcPr>
            <w:tcW w:w="3720" w:type="dxa"/>
            <w:vAlign w:val="bottom"/>
          </w:tcPr>
          <w:p>
            <w:pPr>
              <w:ind w:left="200"/>
              <w:spacing w:after="0"/>
              <w:rPr>
                <w:sz w:val="20"/>
                <w:szCs w:val="20"/>
                <w:color w:val="auto"/>
              </w:rPr>
            </w:pPr>
            <w:r>
              <w:rPr>
                <w:rFonts w:ascii="Arial" w:cs="Arial" w:eastAsia="Arial" w:hAnsi="Arial"/>
                <w:sz w:val="16"/>
                <w:szCs w:val="16"/>
                <w:color w:val="3E3935"/>
              </w:rPr>
              <w:t>Earnings Before Interest and Taxes</w:t>
            </w:r>
          </w:p>
        </w:tc>
      </w:tr>
      <w:tr>
        <w:trPr>
          <w:trHeight w:val="34"/>
        </w:trPr>
        <w:tc>
          <w:tcPr>
            <w:tcW w:w="1560" w:type="dxa"/>
            <w:vAlign w:val="bottom"/>
            <w:tcBorders>
              <w:bottom w:val="single" w:sz="8" w:color="3E3935"/>
            </w:tcBorders>
          </w:tcPr>
          <w:p>
            <w:pPr>
              <w:spacing w:after="0"/>
              <w:rPr>
                <w:sz w:val="3"/>
                <w:szCs w:val="3"/>
                <w:color w:val="auto"/>
              </w:rPr>
            </w:pPr>
          </w:p>
        </w:tc>
        <w:tc>
          <w:tcPr>
            <w:tcW w:w="3720" w:type="dxa"/>
            <w:vAlign w:val="bottom"/>
            <w:tcBorders>
              <w:bottom w:val="single" w:sz="8" w:color="3E3935"/>
            </w:tcBorders>
          </w:tcPr>
          <w:p>
            <w:pPr>
              <w:spacing w:after="0"/>
              <w:rPr>
                <w:sz w:val="3"/>
                <w:szCs w:val="3"/>
                <w:color w:val="auto"/>
              </w:rPr>
            </w:pPr>
          </w:p>
        </w:tc>
      </w:tr>
      <w:tr>
        <w:trPr>
          <w:trHeight w:val="270"/>
        </w:trPr>
        <w:tc>
          <w:tcPr>
            <w:tcW w:w="1560" w:type="dxa"/>
            <w:vAlign w:val="bottom"/>
          </w:tcPr>
          <w:p>
            <w:pPr>
              <w:ind w:left="80"/>
              <w:spacing w:after="0"/>
              <w:rPr>
                <w:sz w:val="20"/>
                <w:szCs w:val="20"/>
                <w:color w:val="auto"/>
              </w:rPr>
            </w:pPr>
            <w:r>
              <w:rPr>
                <w:rFonts w:ascii="Arial" w:cs="Arial" w:eastAsia="Arial" w:hAnsi="Arial"/>
                <w:sz w:val="16"/>
                <w:szCs w:val="16"/>
                <w:b w:val="1"/>
                <w:bCs w:val="1"/>
                <w:color w:val="3E3935"/>
              </w:rPr>
              <w:t>EPS</w:t>
            </w:r>
          </w:p>
        </w:tc>
        <w:tc>
          <w:tcPr>
            <w:tcW w:w="3720" w:type="dxa"/>
            <w:vAlign w:val="bottom"/>
          </w:tcPr>
          <w:p>
            <w:pPr>
              <w:ind w:left="200"/>
              <w:spacing w:after="0"/>
              <w:rPr>
                <w:sz w:val="20"/>
                <w:szCs w:val="20"/>
                <w:color w:val="auto"/>
              </w:rPr>
            </w:pPr>
            <w:r>
              <w:rPr>
                <w:rFonts w:ascii="Arial" w:cs="Arial" w:eastAsia="Arial" w:hAnsi="Arial"/>
                <w:sz w:val="16"/>
                <w:szCs w:val="16"/>
                <w:color w:val="3E3935"/>
              </w:rPr>
              <w:t>Earnings Per Share</w:t>
            </w:r>
          </w:p>
        </w:tc>
      </w:tr>
      <w:tr>
        <w:trPr>
          <w:trHeight w:val="34"/>
        </w:trPr>
        <w:tc>
          <w:tcPr>
            <w:tcW w:w="1560" w:type="dxa"/>
            <w:vAlign w:val="bottom"/>
            <w:tcBorders>
              <w:bottom w:val="single" w:sz="8" w:color="3E3935"/>
            </w:tcBorders>
          </w:tcPr>
          <w:p>
            <w:pPr>
              <w:spacing w:after="0"/>
              <w:rPr>
                <w:sz w:val="3"/>
                <w:szCs w:val="3"/>
                <w:color w:val="auto"/>
              </w:rPr>
            </w:pPr>
          </w:p>
        </w:tc>
        <w:tc>
          <w:tcPr>
            <w:tcW w:w="3720" w:type="dxa"/>
            <w:vAlign w:val="bottom"/>
            <w:tcBorders>
              <w:bottom w:val="single" w:sz="8" w:color="3E3935"/>
            </w:tcBorders>
          </w:tcPr>
          <w:p>
            <w:pPr>
              <w:spacing w:after="0"/>
              <w:rPr>
                <w:sz w:val="3"/>
                <w:szCs w:val="3"/>
                <w:color w:val="auto"/>
              </w:rPr>
            </w:pPr>
          </w:p>
        </w:tc>
      </w:tr>
      <w:tr>
        <w:trPr>
          <w:trHeight w:val="270"/>
        </w:trPr>
        <w:tc>
          <w:tcPr>
            <w:tcW w:w="1560" w:type="dxa"/>
            <w:vAlign w:val="bottom"/>
          </w:tcPr>
          <w:p>
            <w:pPr>
              <w:ind w:left="80"/>
              <w:spacing w:after="0"/>
              <w:rPr>
                <w:sz w:val="20"/>
                <w:szCs w:val="20"/>
                <w:color w:val="auto"/>
              </w:rPr>
            </w:pPr>
            <w:r>
              <w:rPr>
                <w:rFonts w:ascii="Arial" w:cs="Arial" w:eastAsia="Arial" w:hAnsi="Arial"/>
                <w:sz w:val="16"/>
                <w:szCs w:val="16"/>
                <w:b w:val="1"/>
                <w:bCs w:val="1"/>
                <w:color w:val="3E3935"/>
              </w:rPr>
              <w:t>ESG</w:t>
            </w:r>
          </w:p>
        </w:tc>
        <w:tc>
          <w:tcPr>
            <w:tcW w:w="3720" w:type="dxa"/>
            <w:vAlign w:val="bottom"/>
          </w:tcPr>
          <w:p>
            <w:pPr>
              <w:ind w:left="200"/>
              <w:spacing w:after="0"/>
              <w:rPr>
                <w:sz w:val="20"/>
                <w:szCs w:val="20"/>
                <w:color w:val="auto"/>
              </w:rPr>
            </w:pPr>
            <w:r>
              <w:rPr>
                <w:rFonts w:ascii="Arial" w:cs="Arial" w:eastAsia="Arial" w:hAnsi="Arial"/>
                <w:sz w:val="16"/>
                <w:szCs w:val="16"/>
                <w:color w:val="3E3935"/>
              </w:rPr>
              <w:t>Environmental, Social, and Governance</w:t>
            </w:r>
          </w:p>
        </w:tc>
      </w:tr>
      <w:tr>
        <w:trPr>
          <w:trHeight w:val="34"/>
        </w:trPr>
        <w:tc>
          <w:tcPr>
            <w:tcW w:w="1560" w:type="dxa"/>
            <w:vAlign w:val="bottom"/>
            <w:tcBorders>
              <w:bottom w:val="single" w:sz="8" w:color="3E3935"/>
            </w:tcBorders>
          </w:tcPr>
          <w:p>
            <w:pPr>
              <w:spacing w:after="0"/>
              <w:rPr>
                <w:sz w:val="3"/>
                <w:szCs w:val="3"/>
                <w:color w:val="auto"/>
              </w:rPr>
            </w:pPr>
          </w:p>
        </w:tc>
        <w:tc>
          <w:tcPr>
            <w:tcW w:w="3720" w:type="dxa"/>
            <w:vAlign w:val="bottom"/>
            <w:tcBorders>
              <w:bottom w:val="single" w:sz="8" w:color="3E3935"/>
            </w:tcBorders>
          </w:tcPr>
          <w:p>
            <w:pPr>
              <w:spacing w:after="0"/>
              <w:rPr>
                <w:sz w:val="3"/>
                <w:szCs w:val="3"/>
                <w:color w:val="auto"/>
              </w:rPr>
            </w:pPr>
          </w:p>
        </w:tc>
      </w:tr>
      <w:tr>
        <w:trPr>
          <w:trHeight w:val="270"/>
        </w:trPr>
        <w:tc>
          <w:tcPr>
            <w:tcW w:w="1560" w:type="dxa"/>
            <w:vAlign w:val="bottom"/>
          </w:tcPr>
          <w:p>
            <w:pPr>
              <w:ind w:left="80"/>
              <w:spacing w:after="0"/>
              <w:rPr>
                <w:sz w:val="20"/>
                <w:szCs w:val="20"/>
                <w:color w:val="auto"/>
              </w:rPr>
            </w:pPr>
            <w:r>
              <w:rPr>
                <w:rFonts w:ascii="Arial" w:cs="Arial" w:eastAsia="Arial" w:hAnsi="Arial"/>
                <w:sz w:val="16"/>
                <w:szCs w:val="16"/>
                <w:b w:val="1"/>
                <w:bCs w:val="1"/>
                <w:color w:val="3E3935"/>
              </w:rPr>
              <w:t>EUV</w:t>
            </w:r>
          </w:p>
        </w:tc>
        <w:tc>
          <w:tcPr>
            <w:tcW w:w="3720" w:type="dxa"/>
            <w:vAlign w:val="bottom"/>
          </w:tcPr>
          <w:p>
            <w:pPr>
              <w:ind w:left="200"/>
              <w:spacing w:after="0"/>
              <w:rPr>
                <w:sz w:val="20"/>
                <w:szCs w:val="20"/>
                <w:color w:val="auto"/>
              </w:rPr>
            </w:pPr>
            <w:r>
              <w:rPr>
                <w:rFonts w:ascii="Arial" w:cs="Arial" w:eastAsia="Arial" w:hAnsi="Arial"/>
                <w:sz w:val="16"/>
                <w:szCs w:val="16"/>
                <w:color w:val="3E3935"/>
              </w:rPr>
              <w:t>Electric Utility Vehicle</w:t>
            </w:r>
          </w:p>
        </w:tc>
      </w:tr>
      <w:tr>
        <w:trPr>
          <w:trHeight w:val="34"/>
        </w:trPr>
        <w:tc>
          <w:tcPr>
            <w:tcW w:w="1560" w:type="dxa"/>
            <w:vAlign w:val="bottom"/>
            <w:tcBorders>
              <w:bottom w:val="single" w:sz="8" w:color="3E3935"/>
            </w:tcBorders>
          </w:tcPr>
          <w:p>
            <w:pPr>
              <w:spacing w:after="0"/>
              <w:rPr>
                <w:sz w:val="3"/>
                <w:szCs w:val="3"/>
                <w:color w:val="auto"/>
              </w:rPr>
            </w:pPr>
          </w:p>
        </w:tc>
        <w:tc>
          <w:tcPr>
            <w:tcW w:w="3720" w:type="dxa"/>
            <w:vAlign w:val="bottom"/>
            <w:tcBorders>
              <w:bottom w:val="single" w:sz="8" w:color="3E3935"/>
            </w:tcBorders>
          </w:tcPr>
          <w:p>
            <w:pPr>
              <w:spacing w:after="0"/>
              <w:rPr>
                <w:sz w:val="3"/>
                <w:szCs w:val="3"/>
                <w:color w:val="auto"/>
              </w:rPr>
            </w:pPr>
          </w:p>
        </w:tc>
      </w:tr>
      <w:tr>
        <w:trPr>
          <w:trHeight w:val="270"/>
        </w:trPr>
        <w:tc>
          <w:tcPr>
            <w:tcW w:w="1560" w:type="dxa"/>
            <w:vAlign w:val="bottom"/>
          </w:tcPr>
          <w:p>
            <w:pPr>
              <w:ind w:left="80"/>
              <w:spacing w:after="0"/>
              <w:rPr>
                <w:sz w:val="20"/>
                <w:szCs w:val="20"/>
                <w:color w:val="auto"/>
              </w:rPr>
            </w:pPr>
            <w:r>
              <w:rPr>
                <w:rFonts w:ascii="Arial" w:cs="Arial" w:eastAsia="Arial" w:hAnsi="Arial"/>
                <w:sz w:val="16"/>
                <w:szCs w:val="16"/>
                <w:b w:val="1"/>
                <w:bCs w:val="1"/>
                <w:color w:val="3E3935"/>
              </w:rPr>
              <w:t>EV</w:t>
            </w:r>
          </w:p>
        </w:tc>
        <w:tc>
          <w:tcPr>
            <w:tcW w:w="3720" w:type="dxa"/>
            <w:vAlign w:val="bottom"/>
          </w:tcPr>
          <w:p>
            <w:pPr>
              <w:ind w:left="200"/>
              <w:spacing w:after="0"/>
              <w:rPr>
                <w:sz w:val="20"/>
                <w:szCs w:val="20"/>
                <w:color w:val="auto"/>
              </w:rPr>
            </w:pPr>
            <w:r>
              <w:rPr>
                <w:rFonts w:ascii="Arial" w:cs="Arial" w:eastAsia="Arial" w:hAnsi="Arial"/>
                <w:sz w:val="16"/>
                <w:szCs w:val="16"/>
                <w:color w:val="3E3935"/>
              </w:rPr>
              <w:t>Electric Vehicle</w:t>
            </w:r>
          </w:p>
        </w:tc>
      </w:tr>
      <w:tr>
        <w:trPr>
          <w:trHeight w:val="34"/>
        </w:trPr>
        <w:tc>
          <w:tcPr>
            <w:tcW w:w="1560" w:type="dxa"/>
            <w:vAlign w:val="bottom"/>
            <w:tcBorders>
              <w:bottom w:val="single" w:sz="8" w:color="3E3935"/>
            </w:tcBorders>
          </w:tcPr>
          <w:p>
            <w:pPr>
              <w:spacing w:after="0"/>
              <w:rPr>
                <w:sz w:val="3"/>
                <w:szCs w:val="3"/>
                <w:color w:val="auto"/>
              </w:rPr>
            </w:pPr>
          </w:p>
        </w:tc>
        <w:tc>
          <w:tcPr>
            <w:tcW w:w="3720" w:type="dxa"/>
            <w:vAlign w:val="bottom"/>
            <w:tcBorders>
              <w:bottom w:val="single" w:sz="8" w:color="3E3935"/>
            </w:tcBorders>
          </w:tcPr>
          <w:p>
            <w:pPr>
              <w:spacing w:after="0"/>
              <w:rPr>
                <w:sz w:val="3"/>
                <w:szCs w:val="3"/>
                <w:color w:val="auto"/>
              </w:rPr>
            </w:pPr>
          </w:p>
        </w:tc>
      </w:tr>
      <w:tr>
        <w:trPr>
          <w:trHeight w:val="269"/>
        </w:trPr>
        <w:tc>
          <w:tcPr>
            <w:tcW w:w="1560" w:type="dxa"/>
            <w:vAlign w:val="bottom"/>
          </w:tcPr>
          <w:p>
            <w:pPr>
              <w:ind w:left="80"/>
              <w:spacing w:after="0"/>
              <w:rPr>
                <w:sz w:val="20"/>
                <w:szCs w:val="20"/>
                <w:color w:val="auto"/>
              </w:rPr>
            </w:pPr>
            <w:r>
              <w:rPr>
                <w:rFonts w:ascii="Arial" w:cs="Arial" w:eastAsia="Arial" w:hAnsi="Arial"/>
                <w:sz w:val="16"/>
                <w:szCs w:val="16"/>
                <w:b w:val="1"/>
                <w:bCs w:val="1"/>
                <w:color w:val="3E3935"/>
              </w:rPr>
              <w:t>EY</w:t>
            </w:r>
          </w:p>
        </w:tc>
        <w:tc>
          <w:tcPr>
            <w:tcW w:w="3720" w:type="dxa"/>
            <w:vAlign w:val="bottom"/>
          </w:tcPr>
          <w:p>
            <w:pPr>
              <w:ind w:left="200"/>
              <w:spacing w:after="0"/>
              <w:rPr>
                <w:sz w:val="20"/>
                <w:szCs w:val="20"/>
                <w:color w:val="auto"/>
              </w:rPr>
            </w:pPr>
            <w:r>
              <w:rPr>
                <w:rFonts w:ascii="Arial" w:cs="Arial" w:eastAsia="Arial" w:hAnsi="Arial"/>
                <w:sz w:val="16"/>
                <w:szCs w:val="16"/>
                <w:color w:val="3E3935"/>
              </w:rPr>
              <w:t>Ernst &amp; Young LLP</w:t>
            </w:r>
          </w:p>
        </w:tc>
      </w:tr>
      <w:tr>
        <w:trPr>
          <w:trHeight w:val="34"/>
        </w:trPr>
        <w:tc>
          <w:tcPr>
            <w:tcW w:w="1560" w:type="dxa"/>
            <w:vAlign w:val="bottom"/>
            <w:tcBorders>
              <w:bottom w:val="single" w:sz="8" w:color="3E3935"/>
            </w:tcBorders>
          </w:tcPr>
          <w:p>
            <w:pPr>
              <w:spacing w:after="0"/>
              <w:rPr>
                <w:sz w:val="3"/>
                <w:szCs w:val="3"/>
                <w:color w:val="auto"/>
              </w:rPr>
            </w:pPr>
          </w:p>
        </w:tc>
        <w:tc>
          <w:tcPr>
            <w:tcW w:w="3720" w:type="dxa"/>
            <w:vAlign w:val="bottom"/>
            <w:tcBorders>
              <w:bottom w:val="single" w:sz="8" w:color="3E3935"/>
            </w:tcBorders>
          </w:tcPr>
          <w:p>
            <w:pPr>
              <w:spacing w:after="0"/>
              <w:rPr>
                <w:sz w:val="3"/>
                <w:szCs w:val="3"/>
                <w:color w:val="auto"/>
              </w:rPr>
            </w:pPr>
          </w:p>
        </w:tc>
      </w:tr>
      <w:tr>
        <w:trPr>
          <w:trHeight w:val="269"/>
        </w:trPr>
        <w:tc>
          <w:tcPr>
            <w:tcW w:w="1560" w:type="dxa"/>
            <w:vAlign w:val="bottom"/>
          </w:tcPr>
          <w:p>
            <w:pPr>
              <w:ind w:left="80"/>
              <w:spacing w:after="0"/>
              <w:rPr>
                <w:sz w:val="20"/>
                <w:szCs w:val="20"/>
                <w:color w:val="auto"/>
              </w:rPr>
            </w:pPr>
            <w:r>
              <w:rPr>
                <w:rFonts w:ascii="Arial" w:cs="Arial" w:eastAsia="Arial" w:hAnsi="Arial"/>
                <w:sz w:val="16"/>
                <w:szCs w:val="16"/>
                <w:b w:val="1"/>
                <w:bCs w:val="1"/>
                <w:color w:val="3E3935"/>
              </w:rPr>
              <w:t>GAAP</w:t>
            </w:r>
          </w:p>
        </w:tc>
        <w:tc>
          <w:tcPr>
            <w:tcW w:w="3720" w:type="dxa"/>
            <w:vAlign w:val="bottom"/>
          </w:tcPr>
          <w:p>
            <w:pPr>
              <w:ind w:left="200"/>
              <w:spacing w:after="0"/>
              <w:rPr>
                <w:sz w:val="20"/>
                <w:szCs w:val="20"/>
                <w:color w:val="auto"/>
              </w:rPr>
            </w:pPr>
            <w:r>
              <w:rPr>
                <w:rFonts w:ascii="Arial" w:cs="Arial" w:eastAsia="Arial" w:hAnsi="Arial"/>
                <w:sz w:val="16"/>
                <w:szCs w:val="16"/>
                <w:color w:val="3E3935"/>
              </w:rPr>
              <w:t>Generally Accepted Accounting Principals</w:t>
            </w:r>
          </w:p>
        </w:tc>
      </w:tr>
      <w:tr>
        <w:trPr>
          <w:trHeight w:val="34"/>
        </w:trPr>
        <w:tc>
          <w:tcPr>
            <w:tcW w:w="1560" w:type="dxa"/>
            <w:vAlign w:val="bottom"/>
            <w:tcBorders>
              <w:bottom w:val="single" w:sz="8" w:color="3E3935"/>
            </w:tcBorders>
          </w:tcPr>
          <w:p>
            <w:pPr>
              <w:spacing w:after="0"/>
              <w:rPr>
                <w:sz w:val="3"/>
                <w:szCs w:val="3"/>
                <w:color w:val="auto"/>
              </w:rPr>
            </w:pPr>
          </w:p>
        </w:tc>
        <w:tc>
          <w:tcPr>
            <w:tcW w:w="3720" w:type="dxa"/>
            <w:vAlign w:val="bottom"/>
            <w:tcBorders>
              <w:bottom w:val="single" w:sz="8" w:color="3E3935"/>
            </w:tcBorders>
          </w:tcPr>
          <w:p>
            <w:pPr>
              <w:spacing w:after="0"/>
              <w:rPr>
                <w:sz w:val="3"/>
                <w:szCs w:val="3"/>
                <w:color w:val="auto"/>
              </w:rPr>
            </w:pPr>
          </w:p>
        </w:tc>
      </w:tr>
      <w:tr>
        <w:trPr>
          <w:trHeight w:val="269"/>
        </w:trPr>
        <w:tc>
          <w:tcPr>
            <w:tcW w:w="1560" w:type="dxa"/>
            <w:vAlign w:val="bottom"/>
          </w:tcPr>
          <w:p>
            <w:pPr>
              <w:ind w:left="80"/>
              <w:spacing w:after="0"/>
              <w:rPr>
                <w:sz w:val="20"/>
                <w:szCs w:val="20"/>
                <w:color w:val="auto"/>
              </w:rPr>
            </w:pPr>
            <w:r>
              <w:rPr>
                <w:rFonts w:ascii="Arial" w:cs="Arial" w:eastAsia="Arial" w:hAnsi="Arial"/>
                <w:sz w:val="16"/>
                <w:szCs w:val="16"/>
                <w:b w:val="1"/>
                <w:bCs w:val="1"/>
                <w:color w:val="3E3935"/>
              </w:rPr>
              <w:t>GHG</w:t>
            </w:r>
          </w:p>
        </w:tc>
        <w:tc>
          <w:tcPr>
            <w:tcW w:w="3720" w:type="dxa"/>
            <w:vAlign w:val="bottom"/>
          </w:tcPr>
          <w:p>
            <w:pPr>
              <w:ind w:left="200"/>
              <w:spacing w:after="0"/>
              <w:rPr>
                <w:sz w:val="20"/>
                <w:szCs w:val="20"/>
                <w:color w:val="auto"/>
              </w:rPr>
            </w:pPr>
            <w:r>
              <w:rPr>
                <w:rFonts w:ascii="Arial" w:cs="Arial" w:eastAsia="Arial" w:hAnsi="Arial"/>
                <w:sz w:val="16"/>
                <w:szCs w:val="16"/>
                <w:color w:val="3E3935"/>
              </w:rPr>
              <w:t>Greenhouse Gas</w:t>
            </w:r>
          </w:p>
        </w:tc>
      </w:tr>
      <w:tr>
        <w:trPr>
          <w:trHeight w:val="35"/>
        </w:trPr>
        <w:tc>
          <w:tcPr>
            <w:tcW w:w="1560" w:type="dxa"/>
            <w:vAlign w:val="bottom"/>
            <w:tcBorders>
              <w:bottom w:val="single" w:sz="8" w:color="3E3935"/>
            </w:tcBorders>
          </w:tcPr>
          <w:p>
            <w:pPr>
              <w:spacing w:after="0"/>
              <w:rPr>
                <w:sz w:val="3"/>
                <w:szCs w:val="3"/>
                <w:color w:val="auto"/>
              </w:rPr>
            </w:pPr>
          </w:p>
        </w:tc>
        <w:tc>
          <w:tcPr>
            <w:tcW w:w="3720" w:type="dxa"/>
            <w:vAlign w:val="bottom"/>
            <w:tcBorders>
              <w:bottom w:val="single" w:sz="8" w:color="3E3935"/>
            </w:tcBorders>
          </w:tcPr>
          <w:p>
            <w:pPr>
              <w:spacing w:after="0"/>
              <w:rPr>
                <w:sz w:val="3"/>
                <w:szCs w:val="3"/>
                <w:color w:val="auto"/>
              </w:rPr>
            </w:pPr>
          </w:p>
        </w:tc>
      </w:tr>
      <w:tr>
        <w:trPr>
          <w:trHeight w:val="269"/>
        </w:trPr>
        <w:tc>
          <w:tcPr>
            <w:tcW w:w="1560" w:type="dxa"/>
            <w:vAlign w:val="bottom"/>
          </w:tcPr>
          <w:p>
            <w:pPr>
              <w:ind w:left="80"/>
              <w:spacing w:after="0"/>
              <w:rPr>
                <w:sz w:val="20"/>
                <w:szCs w:val="20"/>
                <w:color w:val="auto"/>
              </w:rPr>
            </w:pPr>
            <w:r>
              <w:rPr>
                <w:rFonts w:ascii="Arial" w:cs="Arial" w:eastAsia="Arial" w:hAnsi="Arial"/>
                <w:sz w:val="16"/>
                <w:szCs w:val="16"/>
                <w:b w:val="1"/>
                <w:bCs w:val="1"/>
                <w:color w:val="3E3935"/>
              </w:rPr>
              <w:t>GICS</w:t>
            </w:r>
          </w:p>
        </w:tc>
        <w:tc>
          <w:tcPr>
            <w:tcW w:w="3720" w:type="dxa"/>
            <w:vAlign w:val="bottom"/>
          </w:tcPr>
          <w:p>
            <w:pPr>
              <w:ind w:left="200"/>
              <w:spacing w:after="0"/>
              <w:rPr>
                <w:sz w:val="20"/>
                <w:szCs w:val="20"/>
                <w:color w:val="auto"/>
              </w:rPr>
            </w:pPr>
            <w:r>
              <w:rPr>
                <w:rFonts w:ascii="Arial" w:cs="Arial" w:eastAsia="Arial" w:hAnsi="Arial"/>
                <w:sz w:val="16"/>
                <w:szCs w:val="16"/>
                <w:color w:val="3E3935"/>
              </w:rPr>
              <w:t>Global Industry Classification Standard</w:t>
            </w:r>
          </w:p>
        </w:tc>
      </w:tr>
      <w:tr>
        <w:trPr>
          <w:trHeight w:val="34"/>
        </w:trPr>
        <w:tc>
          <w:tcPr>
            <w:tcW w:w="1560" w:type="dxa"/>
            <w:vAlign w:val="bottom"/>
            <w:tcBorders>
              <w:bottom w:val="single" w:sz="8" w:color="3E3935"/>
            </w:tcBorders>
          </w:tcPr>
          <w:p>
            <w:pPr>
              <w:spacing w:after="0"/>
              <w:rPr>
                <w:sz w:val="3"/>
                <w:szCs w:val="3"/>
                <w:color w:val="auto"/>
              </w:rPr>
            </w:pPr>
          </w:p>
        </w:tc>
        <w:tc>
          <w:tcPr>
            <w:tcW w:w="3720" w:type="dxa"/>
            <w:vAlign w:val="bottom"/>
            <w:tcBorders>
              <w:bottom w:val="single" w:sz="8" w:color="3E3935"/>
            </w:tcBorders>
          </w:tcPr>
          <w:p>
            <w:pPr>
              <w:spacing w:after="0"/>
              <w:rPr>
                <w:sz w:val="3"/>
                <w:szCs w:val="3"/>
                <w:color w:val="auto"/>
              </w:rPr>
            </w:pPr>
          </w:p>
        </w:tc>
      </w:tr>
      <w:tr>
        <w:trPr>
          <w:trHeight w:val="236"/>
        </w:trPr>
        <w:tc>
          <w:tcPr>
            <w:tcW w:w="1560" w:type="dxa"/>
            <w:vAlign w:val="bottom"/>
          </w:tcPr>
          <w:p>
            <w:pPr>
              <w:ind w:left="80"/>
              <w:spacing w:after="0"/>
              <w:rPr>
                <w:sz w:val="20"/>
                <w:szCs w:val="20"/>
                <w:color w:val="auto"/>
              </w:rPr>
            </w:pPr>
            <w:r>
              <w:rPr>
                <w:rFonts w:ascii="Arial" w:cs="Arial" w:eastAsia="Arial" w:hAnsi="Arial"/>
                <w:sz w:val="16"/>
                <w:szCs w:val="16"/>
                <w:b w:val="1"/>
                <w:bCs w:val="1"/>
                <w:color w:val="3E3935"/>
              </w:rPr>
              <w:t>GM, General</w:t>
            </w:r>
          </w:p>
        </w:tc>
        <w:tc>
          <w:tcPr>
            <w:tcW w:w="3720" w:type="dxa"/>
            <w:vAlign w:val="bottom"/>
          </w:tcPr>
          <w:p>
            <w:pPr>
              <w:ind w:left="200"/>
              <w:spacing w:after="0"/>
              <w:rPr>
                <w:sz w:val="20"/>
                <w:szCs w:val="20"/>
                <w:color w:val="auto"/>
              </w:rPr>
            </w:pPr>
            <w:r>
              <w:rPr>
                <w:rFonts w:ascii="Arial" w:cs="Arial" w:eastAsia="Arial" w:hAnsi="Arial"/>
                <w:sz w:val="16"/>
                <w:szCs w:val="16"/>
                <w:color w:val="3E3935"/>
              </w:rPr>
              <w:t>General Motors Company</w:t>
            </w:r>
          </w:p>
        </w:tc>
      </w:tr>
      <w:tr>
        <w:trPr>
          <w:trHeight w:val="189"/>
        </w:trPr>
        <w:tc>
          <w:tcPr>
            <w:tcW w:w="1560" w:type="dxa"/>
            <w:vAlign w:val="bottom"/>
          </w:tcPr>
          <w:p>
            <w:pPr>
              <w:ind w:left="80"/>
              <w:spacing w:after="0"/>
              <w:rPr>
                <w:sz w:val="20"/>
                <w:szCs w:val="20"/>
                <w:color w:val="auto"/>
              </w:rPr>
            </w:pPr>
            <w:r>
              <w:rPr>
                <w:rFonts w:ascii="Arial" w:cs="Arial" w:eastAsia="Arial" w:hAnsi="Arial"/>
                <w:sz w:val="16"/>
                <w:szCs w:val="16"/>
                <w:b w:val="1"/>
                <w:bCs w:val="1"/>
                <w:color w:val="3E3935"/>
              </w:rPr>
              <w:t>Motors, or</w:t>
            </w:r>
          </w:p>
        </w:tc>
        <w:tc>
          <w:tcPr>
            <w:tcW w:w="3720" w:type="dxa"/>
            <w:vAlign w:val="bottom"/>
          </w:tcPr>
          <w:p>
            <w:pPr>
              <w:spacing w:after="0"/>
              <w:rPr>
                <w:sz w:val="16"/>
                <w:szCs w:val="16"/>
                <w:color w:val="auto"/>
              </w:rPr>
            </w:pPr>
          </w:p>
        </w:tc>
      </w:tr>
      <w:tr>
        <w:trPr>
          <w:trHeight w:val="223"/>
        </w:trPr>
        <w:tc>
          <w:tcPr>
            <w:tcW w:w="1560" w:type="dxa"/>
            <w:vAlign w:val="bottom"/>
          </w:tcPr>
          <w:p>
            <w:pPr>
              <w:ind w:left="80"/>
              <w:spacing w:after="0"/>
              <w:rPr>
                <w:sz w:val="20"/>
                <w:szCs w:val="20"/>
                <w:color w:val="auto"/>
              </w:rPr>
            </w:pPr>
            <w:r>
              <w:rPr>
                <w:rFonts w:ascii="Arial" w:cs="Arial" w:eastAsia="Arial" w:hAnsi="Arial"/>
                <w:sz w:val="16"/>
                <w:szCs w:val="16"/>
                <w:b w:val="1"/>
                <w:bCs w:val="1"/>
                <w:color w:val="3E3935"/>
              </w:rPr>
              <w:t>the Company</w:t>
            </w:r>
          </w:p>
        </w:tc>
        <w:tc>
          <w:tcPr>
            <w:tcW w:w="3720" w:type="dxa"/>
            <w:vAlign w:val="bottom"/>
          </w:tcPr>
          <w:p>
            <w:pPr>
              <w:spacing w:after="0"/>
              <w:rPr>
                <w:sz w:val="19"/>
                <w:szCs w:val="19"/>
                <w:color w:val="auto"/>
              </w:rPr>
            </w:pPr>
          </w:p>
        </w:tc>
      </w:tr>
      <w:tr>
        <w:trPr>
          <w:trHeight w:val="35"/>
        </w:trPr>
        <w:tc>
          <w:tcPr>
            <w:tcW w:w="1560" w:type="dxa"/>
            <w:vAlign w:val="bottom"/>
            <w:tcBorders>
              <w:bottom w:val="single" w:sz="8" w:color="3E3935"/>
            </w:tcBorders>
          </w:tcPr>
          <w:p>
            <w:pPr>
              <w:spacing w:after="0"/>
              <w:rPr>
                <w:sz w:val="3"/>
                <w:szCs w:val="3"/>
                <w:color w:val="auto"/>
              </w:rPr>
            </w:pPr>
          </w:p>
        </w:tc>
        <w:tc>
          <w:tcPr>
            <w:tcW w:w="3720" w:type="dxa"/>
            <w:vAlign w:val="bottom"/>
            <w:tcBorders>
              <w:bottom w:val="single" w:sz="8" w:color="3E3935"/>
            </w:tcBorders>
          </w:tcPr>
          <w:p>
            <w:pPr>
              <w:spacing w:after="0"/>
              <w:rPr>
                <w:sz w:val="3"/>
                <w:szCs w:val="3"/>
                <w:color w:val="auto"/>
              </w:rPr>
            </w:pPr>
          </w:p>
        </w:tc>
      </w:tr>
    </w:tbl>
    <w:p>
      <w:pPr>
        <w:spacing w:after="0" w:line="20" w:lineRule="exact"/>
        <w:rPr>
          <w:sz w:val="20"/>
          <w:szCs w:val="20"/>
          <w:color w:val="auto"/>
        </w:rPr>
      </w:pPr>
      <w:r>
        <w:rPr>
          <w:sz w:val="20"/>
          <w:szCs w:val="20"/>
          <w:color w:val="auto"/>
        </w:rPr>
        <w:br w:type="column"/>
      </w:r>
    </w:p>
    <w:p>
      <w:pPr>
        <w:spacing w:after="0" w:line="38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3"/>
        </w:trPr>
        <w:tc>
          <w:tcPr>
            <w:tcW w:w="1640" w:type="dxa"/>
            <w:vAlign w:val="bottom"/>
          </w:tcPr>
          <w:p>
            <w:pPr>
              <w:ind w:left="80"/>
              <w:spacing w:after="0"/>
              <w:rPr>
                <w:sz w:val="20"/>
                <w:szCs w:val="20"/>
                <w:color w:val="auto"/>
              </w:rPr>
            </w:pPr>
            <w:r>
              <w:rPr>
                <w:rFonts w:ascii="Arial" w:cs="Arial" w:eastAsia="Arial" w:hAnsi="Arial"/>
                <w:sz w:val="16"/>
                <w:szCs w:val="16"/>
                <w:b w:val="1"/>
                <w:bCs w:val="1"/>
                <w:color w:val="3E3935"/>
              </w:rPr>
              <w:t>GM Financial</w:t>
            </w:r>
          </w:p>
        </w:tc>
        <w:tc>
          <w:tcPr>
            <w:tcW w:w="3760" w:type="dxa"/>
            <w:vAlign w:val="bottom"/>
          </w:tcPr>
          <w:p>
            <w:pPr>
              <w:ind w:left="140"/>
              <w:spacing w:after="0"/>
              <w:rPr>
                <w:sz w:val="20"/>
                <w:szCs w:val="20"/>
                <w:color w:val="auto"/>
              </w:rPr>
            </w:pPr>
            <w:r>
              <w:rPr>
                <w:rFonts w:ascii="Arial" w:cs="Arial" w:eastAsia="Arial" w:hAnsi="Arial"/>
                <w:sz w:val="16"/>
                <w:szCs w:val="16"/>
                <w:color w:val="3E3935"/>
              </w:rPr>
              <w:t>General Motors Financial Company, Inc.</w:t>
            </w:r>
          </w:p>
        </w:tc>
      </w:tr>
      <w:tr>
        <w:trPr>
          <w:trHeight w:val="35"/>
        </w:trPr>
        <w:tc>
          <w:tcPr>
            <w:tcW w:w="1640" w:type="dxa"/>
            <w:vAlign w:val="bottom"/>
            <w:tcBorders>
              <w:bottom w:val="single" w:sz="8" w:color="3E3935"/>
            </w:tcBorders>
          </w:tcPr>
          <w:p>
            <w:pPr>
              <w:spacing w:after="0"/>
              <w:rPr>
                <w:sz w:val="3"/>
                <w:szCs w:val="3"/>
                <w:color w:val="auto"/>
              </w:rPr>
            </w:pPr>
          </w:p>
        </w:tc>
        <w:tc>
          <w:tcPr>
            <w:tcW w:w="3760" w:type="dxa"/>
            <w:vAlign w:val="bottom"/>
            <w:tcBorders>
              <w:bottom w:val="single" w:sz="8" w:color="3E3935"/>
            </w:tcBorders>
          </w:tcPr>
          <w:p>
            <w:pPr>
              <w:spacing w:after="0"/>
              <w:rPr>
                <w:sz w:val="3"/>
                <w:szCs w:val="3"/>
                <w:color w:val="auto"/>
              </w:rPr>
            </w:pPr>
          </w:p>
        </w:tc>
      </w:tr>
      <w:tr>
        <w:trPr>
          <w:trHeight w:val="269"/>
        </w:trPr>
        <w:tc>
          <w:tcPr>
            <w:tcW w:w="1640" w:type="dxa"/>
            <w:vAlign w:val="bottom"/>
          </w:tcPr>
          <w:p>
            <w:pPr>
              <w:ind w:left="80"/>
              <w:spacing w:after="0"/>
              <w:rPr>
                <w:sz w:val="20"/>
                <w:szCs w:val="20"/>
                <w:color w:val="auto"/>
              </w:rPr>
            </w:pPr>
            <w:r>
              <w:rPr>
                <w:rFonts w:ascii="Arial" w:cs="Arial" w:eastAsia="Arial" w:hAnsi="Arial"/>
                <w:sz w:val="16"/>
                <w:szCs w:val="16"/>
                <w:b w:val="1"/>
                <w:bCs w:val="1"/>
                <w:color w:val="3E3935"/>
              </w:rPr>
              <w:t>GMI</w:t>
            </w:r>
          </w:p>
        </w:tc>
        <w:tc>
          <w:tcPr>
            <w:tcW w:w="3760" w:type="dxa"/>
            <w:vAlign w:val="bottom"/>
          </w:tcPr>
          <w:p>
            <w:pPr>
              <w:ind w:left="140"/>
              <w:spacing w:after="0"/>
              <w:rPr>
                <w:sz w:val="20"/>
                <w:szCs w:val="20"/>
                <w:color w:val="auto"/>
              </w:rPr>
            </w:pPr>
            <w:r>
              <w:rPr>
                <w:rFonts w:ascii="Arial" w:cs="Arial" w:eastAsia="Arial" w:hAnsi="Arial"/>
                <w:sz w:val="16"/>
                <w:szCs w:val="16"/>
                <w:color w:val="3E3935"/>
              </w:rPr>
              <w:t>GM International</w:t>
            </w:r>
          </w:p>
        </w:tc>
      </w:tr>
      <w:tr>
        <w:trPr>
          <w:trHeight w:val="35"/>
        </w:trPr>
        <w:tc>
          <w:tcPr>
            <w:tcW w:w="1640" w:type="dxa"/>
            <w:vAlign w:val="bottom"/>
            <w:tcBorders>
              <w:bottom w:val="single" w:sz="8" w:color="3E3935"/>
            </w:tcBorders>
          </w:tcPr>
          <w:p>
            <w:pPr>
              <w:spacing w:after="0"/>
              <w:rPr>
                <w:sz w:val="3"/>
                <w:szCs w:val="3"/>
                <w:color w:val="auto"/>
              </w:rPr>
            </w:pPr>
          </w:p>
        </w:tc>
        <w:tc>
          <w:tcPr>
            <w:tcW w:w="3760" w:type="dxa"/>
            <w:vAlign w:val="bottom"/>
            <w:tcBorders>
              <w:bottom w:val="single" w:sz="8" w:color="3E3935"/>
            </w:tcBorders>
          </w:tcPr>
          <w:p>
            <w:pPr>
              <w:spacing w:after="0"/>
              <w:rPr>
                <w:sz w:val="3"/>
                <w:szCs w:val="3"/>
                <w:color w:val="auto"/>
              </w:rPr>
            </w:pPr>
          </w:p>
        </w:tc>
      </w:tr>
      <w:tr>
        <w:trPr>
          <w:trHeight w:val="270"/>
        </w:trPr>
        <w:tc>
          <w:tcPr>
            <w:tcW w:w="1640" w:type="dxa"/>
            <w:vAlign w:val="bottom"/>
          </w:tcPr>
          <w:p>
            <w:pPr>
              <w:ind w:left="80"/>
              <w:spacing w:after="0"/>
              <w:rPr>
                <w:sz w:val="20"/>
                <w:szCs w:val="20"/>
                <w:color w:val="auto"/>
              </w:rPr>
            </w:pPr>
            <w:r>
              <w:rPr>
                <w:rFonts w:ascii="Arial" w:cs="Arial" w:eastAsia="Arial" w:hAnsi="Arial"/>
                <w:sz w:val="16"/>
                <w:szCs w:val="16"/>
                <w:b w:val="1"/>
                <w:bCs w:val="1"/>
                <w:color w:val="3E3935"/>
              </w:rPr>
              <w:t>GMNA</w:t>
            </w:r>
          </w:p>
        </w:tc>
        <w:tc>
          <w:tcPr>
            <w:tcW w:w="3760" w:type="dxa"/>
            <w:vAlign w:val="bottom"/>
          </w:tcPr>
          <w:p>
            <w:pPr>
              <w:ind w:left="140"/>
              <w:spacing w:after="0"/>
              <w:rPr>
                <w:sz w:val="20"/>
                <w:szCs w:val="20"/>
                <w:color w:val="auto"/>
              </w:rPr>
            </w:pPr>
            <w:r>
              <w:rPr>
                <w:rFonts w:ascii="Arial" w:cs="Arial" w:eastAsia="Arial" w:hAnsi="Arial"/>
                <w:sz w:val="16"/>
                <w:szCs w:val="16"/>
                <w:color w:val="3E3935"/>
              </w:rPr>
              <w:t>GM North America</w:t>
            </w:r>
          </w:p>
        </w:tc>
      </w:tr>
      <w:tr>
        <w:trPr>
          <w:trHeight w:val="35"/>
        </w:trPr>
        <w:tc>
          <w:tcPr>
            <w:tcW w:w="1640" w:type="dxa"/>
            <w:vAlign w:val="bottom"/>
            <w:tcBorders>
              <w:bottom w:val="single" w:sz="8" w:color="3E3935"/>
            </w:tcBorders>
          </w:tcPr>
          <w:p>
            <w:pPr>
              <w:spacing w:after="0"/>
              <w:rPr>
                <w:sz w:val="3"/>
                <w:szCs w:val="3"/>
                <w:color w:val="auto"/>
              </w:rPr>
            </w:pPr>
          </w:p>
        </w:tc>
        <w:tc>
          <w:tcPr>
            <w:tcW w:w="3760" w:type="dxa"/>
            <w:vAlign w:val="bottom"/>
            <w:tcBorders>
              <w:bottom w:val="single" w:sz="8" w:color="3E3935"/>
            </w:tcBorders>
          </w:tcPr>
          <w:p>
            <w:pPr>
              <w:spacing w:after="0"/>
              <w:rPr>
                <w:sz w:val="3"/>
                <w:szCs w:val="3"/>
                <w:color w:val="auto"/>
              </w:rPr>
            </w:pPr>
          </w:p>
        </w:tc>
      </w:tr>
      <w:tr>
        <w:trPr>
          <w:trHeight w:val="236"/>
        </w:trPr>
        <w:tc>
          <w:tcPr>
            <w:tcW w:w="1640" w:type="dxa"/>
            <w:vAlign w:val="bottom"/>
          </w:tcPr>
          <w:p>
            <w:pPr>
              <w:ind w:left="80"/>
              <w:spacing w:after="0"/>
              <w:rPr>
                <w:sz w:val="20"/>
                <w:szCs w:val="20"/>
                <w:color w:val="auto"/>
              </w:rPr>
            </w:pPr>
            <w:r>
              <w:rPr>
                <w:rFonts w:ascii="Arial" w:cs="Arial" w:eastAsia="Arial" w:hAnsi="Arial"/>
                <w:sz w:val="16"/>
                <w:szCs w:val="16"/>
                <w:b w:val="1"/>
                <w:bCs w:val="1"/>
                <w:color w:val="3E3935"/>
              </w:rPr>
              <w:t>Governance</w:t>
            </w:r>
          </w:p>
        </w:tc>
        <w:tc>
          <w:tcPr>
            <w:tcW w:w="3760" w:type="dxa"/>
            <w:vAlign w:val="bottom"/>
          </w:tcPr>
          <w:p>
            <w:pPr>
              <w:ind w:left="140"/>
              <w:spacing w:after="0"/>
              <w:rPr>
                <w:sz w:val="20"/>
                <w:szCs w:val="20"/>
                <w:color w:val="auto"/>
              </w:rPr>
            </w:pPr>
            <w:r>
              <w:rPr>
                <w:rFonts w:ascii="Arial" w:cs="Arial" w:eastAsia="Arial" w:hAnsi="Arial"/>
                <w:sz w:val="16"/>
                <w:szCs w:val="16"/>
                <w:color w:val="3E3935"/>
              </w:rPr>
              <w:t>Governance and Corporate Responsibility</w:t>
            </w:r>
          </w:p>
        </w:tc>
      </w:tr>
      <w:tr>
        <w:trPr>
          <w:trHeight w:val="223"/>
        </w:trPr>
        <w:tc>
          <w:tcPr>
            <w:tcW w:w="1640" w:type="dxa"/>
            <w:vAlign w:val="bottom"/>
          </w:tcPr>
          <w:p>
            <w:pPr>
              <w:ind w:left="80"/>
              <w:spacing w:after="0"/>
              <w:rPr>
                <w:sz w:val="20"/>
                <w:szCs w:val="20"/>
                <w:color w:val="auto"/>
              </w:rPr>
            </w:pPr>
            <w:r>
              <w:rPr>
                <w:rFonts w:ascii="Arial" w:cs="Arial" w:eastAsia="Arial" w:hAnsi="Arial"/>
                <w:sz w:val="16"/>
                <w:szCs w:val="16"/>
                <w:b w:val="1"/>
                <w:bCs w:val="1"/>
                <w:color w:val="3E3935"/>
              </w:rPr>
              <w:t>Committee</w:t>
            </w:r>
          </w:p>
        </w:tc>
        <w:tc>
          <w:tcPr>
            <w:tcW w:w="3760" w:type="dxa"/>
            <w:vAlign w:val="bottom"/>
          </w:tcPr>
          <w:p>
            <w:pPr>
              <w:ind w:left="140"/>
              <w:spacing w:after="0"/>
              <w:rPr>
                <w:sz w:val="20"/>
                <w:szCs w:val="20"/>
                <w:color w:val="auto"/>
              </w:rPr>
            </w:pPr>
            <w:r>
              <w:rPr>
                <w:rFonts w:ascii="Arial" w:cs="Arial" w:eastAsia="Arial" w:hAnsi="Arial"/>
                <w:sz w:val="16"/>
                <w:szCs w:val="16"/>
                <w:color w:val="3E3935"/>
              </w:rPr>
              <w:t>Committee</w:t>
            </w:r>
          </w:p>
        </w:tc>
      </w:tr>
      <w:tr>
        <w:trPr>
          <w:trHeight w:val="35"/>
        </w:trPr>
        <w:tc>
          <w:tcPr>
            <w:tcW w:w="1640" w:type="dxa"/>
            <w:vAlign w:val="bottom"/>
            <w:tcBorders>
              <w:bottom w:val="single" w:sz="8" w:color="3E3935"/>
            </w:tcBorders>
          </w:tcPr>
          <w:p>
            <w:pPr>
              <w:spacing w:after="0"/>
              <w:rPr>
                <w:sz w:val="3"/>
                <w:szCs w:val="3"/>
                <w:color w:val="auto"/>
              </w:rPr>
            </w:pPr>
          </w:p>
        </w:tc>
        <w:tc>
          <w:tcPr>
            <w:tcW w:w="3760" w:type="dxa"/>
            <w:vAlign w:val="bottom"/>
            <w:tcBorders>
              <w:bottom w:val="single" w:sz="8" w:color="3E3935"/>
            </w:tcBorders>
          </w:tcPr>
          <w:p>
            <w:pPr>
              <w:spacing w:after="0"/>
              <w:rPr>
                <w:sz w:val="3"/>
                <w:szCs w:val="3"/>
                <w:color w:val="auto"/>
              </w:rPr>
            </w:pPr>
          </w:p>
        </w:tc>
      </w:tr>
      <w:tr>
        <w:trPr>
          <w:trHeight w:val="270"/>
        </w:trPr>
        <w:tc>
          <w:tcPr>
            <w:tcW w:w="1640" w:type="dxa"/>
            <w:vAlign w:val="bottom"/>
          </w:tcPr>
          <w:p>
            <w:pPr>
              <w:ind w:left="80"/>
              <w:spacing w:after="0"/>
              <w:rPr>
                <w:sz w:val="20"/>
                <w:szCs w:val="20"/>
                <w:color w:val="auto"/>
              </w:rPr>
            </w:pPr>
            <w:r>
              <w:rPr>
                <w:rFonts w:ascii="Arial" w:cs="Arial" w:eastAsia="Arial" w:hAnsi="Arial"/>
                <w:sz w:val="16"/>
                <w:szCs w:val="16"/>
                <w:b w:val="1"/>
                <w:bCs w:val="1"/>
                <w:color w:val="3E3935"/>
              </w:rPr>
              <w:t>ICE</w:t>
            </w:r>
          </w:p>
        </w:tc>
        <w:tc>
          <w:tcPr>
            <w:tcW w:w="3760" w:type="dxa"/>
            <w:vAlign w:val="bottom"/>
          </w:tcPr>
          <w:p>
            <w:pPr>
              <w:ind w:left="140"/>
              <w:spacing w:after="0"/>
              <w:rPr>
                <w:sz w:val="20"/>
                <w:szCs w:val="20"/>
                <w:color w:val="auto"/>
              </w:rPr>
            </w:pPr>
            <w:r>
              <w:rPr>
                <w:rFonts w:ascii="Arial" w:cs="Arial" w:eastAsia="Arial" w:hAnsi="Arial"/>
                <w:sz w:val="16"/>
                <w:szCs w:val="16"/>
                <w:color w:val="3E3935"/>
              </w:rPr>
              <w:t>Internal Combustion Engine</w:t>
            </w:r>
          </w:p>
        </w:tc>
      </w:tr>
      <w:tr>
        <w:trPr>
          <w:trHeight w:val="34"/>
        </w:trPr>
        <w:tc>
          <w:tcPr>
            <w:tcW w:w="1640" w:type="dxa"/>
            <w:vAlign w:val="bottom"/>
            <w:tcBorders>
              <w:bottom w:val="single" w:sz="8" w:color="3E3935"/>
            </w:tcBorders>
          </w:tcPr>
          <w:p>
            <w:pPr>
              <w:spacing w:after="0"/>
              <w:rPr>
                <w:sz w:val="3"/>
                <w:szCs w:val="3"/>
                <w:color w:val="auto"/>
              </w:rPr>
            </w:pPr>
          </w:p>
        </w:tc>
        <w:tc>
          <w:tcPr>
            <w:tcW w:w="3760" w:type="dxa"/>
            <w:vAlign w:val="bottom"/>
            <w:tcBorders>
              <w:bottom w:val="single" w:sz="8" w:color="3E3935"/>
            </w:tcBorders>
          </w:tcPr>
          <w:p>
            <w:pPr>
              <w:spacing w:after="0"/>
              <w:rPr>
                <w:sz w:val="3"/>
                <w:szCs w:val="3"/>
                <w:color w:val="auto"/>
              </w:rPr>
            </w:pPr>
          </w:p>
        </w:tc>
      </w:tr>
      <w:tr>
        <w:trPr>
          <w:trHeight w:val="270"/>
        </w:trPr>
        <w:tc>
          <w:tcPr>
            <w:tcW w:w="1640" w:type="dxa"/>
            <w:vAlign w:val="bottom"/>
          </w:tcPr>
          <w:p>
            <w:pPr>
              <w:ind w:left="80"/>
              <w:spacing w:after="0"/>
              <w:rPr>
                <w:sz w:val="20"/>
                <w:szCs w:val="20"/>
                <w:color w:val="auto"/>
              </w:rPr>
            </w:pPr>
            <w:r>
              <w:rPr>
                <w:rFonts w:ascii="Arial" w:cs="Arial" w:eastAsia="Arial" w:hAnsi="Arial"/>
                <w:sz w:val="16"/>
                <w:szCs w:val="16"/>
                <w:b w:val="1"/>
                <w:bCs w:val="1"/>
                <w:color w:val="3E3935"/>
              </w:rPr>
              <w:t>IRC</w:t>
            </w:r>
          </w:p>
        </w:tc>
        <w:tc>
          <w:tcPr>
            <w:tcW w:w="3760" w:type="dxa"/>
            <w:vAlign w:val="bottom"/>
          </w:tcPr>
          <w:p>
            <w:pPr>
              <w:ind w:left="140"/>
              <w:spacing w:after="0"/>
              <w:rPr>
                <w:sz w:val="20"/>
                <w:szCs w:val="20"/>
                <w:color w:val="auto"/>
              </w:rPr>
            </w:pPr>
            <w:r>
              <w:rPr>
                <w:rFonts w:ascii="Arial" w:cs="Arial" w:eastAsia="Arial" w:hAnsi="Arial"/>
                <w:sz w:val="16"/>
                <w:szCs w:val="16"/>
                <w:color w:val="3E3935"/>
              </w:rPr>
              <w:t>Internal Revenue Code</w:t>
            </w:r>
          </w:p>
        </w:tc>
      </w:tr>
      <w:tr>
        <w:trPr>
          <w:trHeight w:val="35"/>
        </w:trPr>
        <w:tc>
          <w:tcPr>
            <w:tcW w:w="1640" w:type="dxa"/>
            <w:vAlign w:val="bottom"/>
            <w:tcBorders>
              <w:bottom w:val="single" w:sz="8" w:color="3E3935"/>
            </w:tcBorders>
          </w:tcPr>
          <w:p>
            <w:pPr>
              <w:spacing w:after="0"/>
              <w:rPr>
                <w:sz w:val="3"/>
                <w:szCs w:val="3"/>
                <w:color w:val="auto"/>
              </w:rPr>
            </w:pPr>
          </w:p>
        </w:tc>
        <w:tc>
          <w:tcPr>
            <w:tcW w:w="3760" w:type="dxa"/>
            <w:vAlign w:val="bottom"/>
            <w:tcBorders>
              <w:bottom w:val="single" w:sz="8" w:color="3E3935"/>
            </w:tcBorders>
          </w:tcPr>
          <w:p>
            <w:pPr>
              <w:spacing w:after="0"/>
              <w:rPr>
                <w:sz w:val="3"/>
                <w:szCs w:val="3"/>
                <w:color w:val="auto"/>
              </w:rPr>
            </w:pPr>
          </w:p>
        </w:tc>
      </w:tr>
      <w:tr>
        <w:trPr>
          <w:trHeight w:val="270"/>
        </w:trPr>
        <w:tc>
          <w:tcPr>
            <w:tcW w:w="1640" w:type="dxa"/>
            <w:vAlign w:val="bottom"/>
          </w:tcPr>
          <w:p>
            <w:pPr>
              <w:ind w:left="80"/>
              <w:spacing w:after="0"/>
              <w:rPr>
                <w:sz w:val="20"/>
                <w:szCs w:val="20"/>
                <w:color w:val="auto"/>
              </w:rPr>
            </w:pPr>
            <w:r>
              <w:rPr>
                <w:rFonts w:ascii="Arial" w:cs="Arial" w:eastAsia="Arial" w:hAnsi="Arial"/>
                <w:sz w:val="16"/>
                <w:szCs w:val="16"/>
                <w:b w:val="1"/>
                <w:bCs w:val="1"/>
                <w:color w:val="3E3935"/>
              </w:rPr>
              <w:t>LTIP</w:t>
            </w:r>
          </w:p>
        </w:tc>
        <w:tc>
          <w:tcPr>
            <w:tcW w:w="3760" w:type="dxa"/>
            <w:vAlign w:val="bottom"/>
          </w:tcPr>
          <w:p>
            <w:pPr>
              <w:ind w:left="140"/>
              <w:spacing w:after="0"/>
              <w:rPr>
                <w:sz w:val="20"/>
                <w:szCs w:val="20"/>
                <w:color w:val="auto"/>
              </w:rPr>
            </w:pPr>
            <w:r>
              <w:rPr>
                <w:rFonts w:ascii="Arial" w:cs="Arial" w:eastAsia="Arial" w:hAnsi="Arial"/>
                <w:sz w:val="16"/>
                <w:szCs w:val="16"/>
                <w:color w:val="3E3935"/>
              </w:rPr>
              <w:t>Long-Term Incentive Plan</w:t>
            </w:r>
          </w:p>
        </w:tc>
      </w:tr>
      <w:tr>
        <w:trPr>
          <w:trHeight w:val="34"/>
        </w:trPr>
        <w:tc>
          <w:tcPr>
            <w:tcW w:w="1640" w:type="dxa"/>
            <w:vAlign w:val="bottom"/>
            <w:tcBorders>
              <w:bottom w:val="single" w:sz="8" w:color="3E3935"/>
            </w:tcBorders>
          </w:tcPr>
          <w:p>
            <w:pPr>
              <w:spacing w:after="0"/>
              <w:rPr>
                <w:sz w:val="3"/>
                <w:szCs w:val="3"/>
                <w:color w:val="auto"/>
              </w:rPr>
            </w:pPr>
          </w:p>
        </w:tc>
        <w:tc>
          <w:tcPr>
            <w:tcW w:w="3760" w:type="dxa"/>
            <w:vAlign w:val="bottom"/>
            <w:tcBorders>
              <w:bottom w:val="single" w:sz="8" w:color="3E3935"/>
            </w:tcBorders>
          </w:tcPr>
          <w:p>
            <w:pPr>
              <w:spacing w:after="0"/>
              <w:rPr>
                <w:sz w:val="3"/>
                <w:szCs w:val="3"/>
                <w:color w:val="auto"/>
              </w:rPr>
            </w:pPr>
          </w:p>
        </w:tc>
      </w:tr>
      <w:tr>
        <w:trPr>
          <w:trHeight w:val="270"/>
        </w:trPr>
        <w:tc>
          <w:tcPr>
            <w:tcW w:w="1640" w:type="dxa"/>
            <w:vAlign w:val="bottom"/>
          </w:tcPr>
          <w:p>
            <w:pPr>
              <w:ind w:left="80"/>
              <w:spacing w:after="0"/>
              <w:rPr>
                <w:sz w:val="20"/>
                <w:szCs w:val="20"/>
                <w:color w:val="auto"/>
              </w:rPr>
            </w:pPr>
            <w:r>
              <w:rPr>
                <w:rFonts w:ascii="Arial" w:cs="Arial" w:eastAsia="Arial" w:hAnsi="Arial"/>
                <w:sz w:val="16"/>
                <w:szCs w:val="16"/>
                <w:b w:val="1"/>
                <w:bCs w:val="1"/>
                <w:color w:val="3E3935"/>
              </w:rPr>
              <w:t>M&amp;A</w:t>
            </w:r>
          </w:p>
        </w:tc>
        <w:tc>
          <w:tcPr>
            <w:tcW w:w="3760" w:type="dxa"/>
            <w:vAlign w:val="bottom"/>
          </w:tcPr>
          <w:p>
            <w:pPr>
              <w:ind w:left="140"/>
              <w:spacing w:after="0"/>
              <w:rPr>
                <w:sz w:val="20"/>
                <w:szCs w:val="20"/>
                <w:color w:val="auto"/>
              </w:rPr>
            </w:pPr>
            <w:r>
              <w:rPr>
                <w:rFonts w:ascii="Arial" w:cs="Arial" w:eastAsia="Arial" w:hAnsi="Arial"/>
                <w:sz w:val="16"/>
                <w:szCs w:val="16"/>
                <w:color w:val="3E3935"/>
              </w:rPr>
              <w:t>Mergers and Acquisitions</w:t>
            </w:r>
          </w:p>
        </w:tc>
      </w:tr>
      <w:tr>
        <w:trPr>
          <w:trHeight w:val="35"/>
        </w:trPr>
        <w:tc>
          <w:tcPr>
            <w:tcW w:w="1640" w:type="dxa"/>
            <w:vAlign w:val="bottom"/>
            <w:tcBorders>
              <w:bottom w:val="single" w:sz="8" w:color="3E3935"/>
            </w:tcBorders>
          </w:tcPr>
          <w:p>
            <w:pPr>
              <w:spacing w:after="0"/>
              <w:rPr>
                <w:sz w:val="3"/>
                <w:szCs w:val="3"/>
                <w:color w:val="auto"/>
              </w:rPr>
            </w:pPr>
          </w:p>
        </w:tc>
        <w:tc>
          <w:tcPr>
            <w:tcW w:w="3760" w:type="dxa"/>
            <w:vAlign w:val="bottom"/>
            <w:tcBorders>
              <w:bottom w:val="single" w:sz="8" w:color="3E3935"/>
            </w:tcBorders>
          </w:tcPr>
          <w:p>
            <w:pPr>
              <w:spacing w:after="0"/>
              <w:rPr>
                <w:sz w:val="3"/>
                <w:szCs w:val="3"/>
                <w:color w:val="auto"/>
              </w:rPr>
            </w:pPr>
          </w:p>
        </w:tc>
      </w:tr>
      <w:tr>
        <w:trPr>
          <w:trHeight w:val="270"/>
        </w:trPr>
        <w:tc>
          <w:tcPr>
            <w:tcW w:w="1640" w:type="dxa"/>
            <w:vAlign w:val="bottom"/>
          </w:tcPr>
          <w:p>
            <w:pPr>
              <w:ind w:left="80"/>
              <w:spacing w:after="0"/>
              <w:rPr>
                <w:sz w:val="20"/>
                <w:szCs w:val="20"/>
                <w:color w:val="auto"/>
              </w:rPr>
            </w:pPr>
            <w:r>
              <w:rPr>
                <w:rFonts w:ascii="Arial" w:cs="Arial" w:eastAsia="Arial" w:hAnsi="Arial"/>
                <w:sz w:val="16"/>
                <w:szCs w:val="16"/>
                <w:b w:val="1"/>
                <w:bCs w:val="1"/>
                <w:color w:val="3E3935"/>
              </w:rPr>
              <w:t>NEO</w:t>
            </w:r>
          </w:p>
        </w:tc>
        <w:tc>
          <w:tcPr>
            <w:tcW w:w="3760" w:type="dxa"/>
            <w:vAlign w:val="bottom"/>
          </w:tcPr>
          <w:p>
            <w:pPr>
              <w:ind w:left="140"/>
              <w:spacing w:after="0"/>
              <w:rPr>
                <w:sz w:val="20"/>
                <w:szCs w:val="20"/>
                <w:color w:val="auto"/>
              </w:rPr>
            </w:pPr>
            <w:r>
              <w:rPr>
                <w:rFonts w:ascii="Arial" w:cs="Arial" w:eastAsia="Arial" w:hAnsi="Arial"/>
                <w:sz w:val="16"/>
                <w:szCs w:val="16"/>
                <w:color w:val="3E3935"/>
              </w:rPr>
              <w:t>Named Executive Officer</w:t>
            </w:r>
          </w:p>
        </w:tc>
      </w:tr>
      <w:tr>
        <w:trPr>
          <w:trHeight w:val="34"/>
        </w:trPr>
        <w:tc>
          <w:tcPr>
            <w:tcW w:w="1640" w:type="dxa"/>
            <w:vAlign w:val="bottom"/>
            <w:tcBorders>
              <w:bottom w:val="single" w:sz="8" w:color="3E3935"/>
            </w:tcBorders>
          </w:tcPr>
          <w:p>
            <w:pPr>
              <w:spacing w:after="0"/>
              <w:rPr>
                <w:sz w:val="3"/>
                <w:szCs w:val="3"/>
                <w:color w:val="auto"/>
              </w:rPr>
            </w:pPr>
          </w:p>
        </w:tc>
        <w:tc>
          <w:tcPr>
            <w:tcW w:w="3760" w:type="dxa"/>
            <w:vAlign w:val="bottom"/>
            <w:tcBorders>
              <w:bottom w:val="single" w:sz="8" w:color="3E3935"/>
            </w:tcBorders>
          </w:tcPr>
          <w:p>
            <w:pPr>
              <w:spacing w:after="0"/>
              <w:rPr>
                <w:sz w:val="3"/>
                <w:szCs w:val="3"/>
                <w:color w:val="auto"/>
              </w:rPr>
            </w:pPr>
          </w:p>
        </w:tc>
      </w:tr>
      <w:tr>
        <w:trPr>
          <w:trHeight w:val="236"/>
        </w:trPr>
        <w:tc>
          <w:tcPr>
            <w:tcW w:w="1640" w:type="dxa"/>
            <w:vAlign w:val="bottom"/>
          </w:tcPr>
          <w:p>
            <w:pPr>
              <w:ind w:left="80"/>
              <w:spacing w:after="0"/>
              <w:rPr>
                <w:sz w:val="20"/>
                <w:szCs w:val="20"/>
                <w:color w:val="auto"/>
              </w:rPr>
            </w:pPr>
            <w:r>
              <w:rPr>
                <w:rFonts w:ascii="Arial" w:cs="Arial" w:eastAsia="Arial" w:hAnsi="Arial"/>
                <w:sz w:val="16"/>
                <w:szCs w:val="16"/>
                <w:b w:val="1"/>
                <w:bCs w:val="1"/>
                <w:color w:val="3E3935"/>
              </w:rPr>
              <w:t>Notice</w:t>
            </w:r>
          </w:p>
        </w:tc>
        <w:tc>
          <w:tcPr>
            <w:tcW w:w="3760" w:type="dxa"/>
            <w:vAlign w:val="bottom"/>
          </w:tcPr>
          <w:p>
            <w:pPr>
              <w:ind w:left="140"/>
              <w:spacing w:after="0"/>
              <w:rPr>
                <w:sz w:val="20"/>
                <w:szCs w:val="20"/>
                <w:color w:val="auto"/>
              </w:rPr>
            </w:pPr>
            <w:r>
              <w:rPr>
                <w:rFonts w:ascii="Arial" w:cs="Arial" w:eastAsia="Arial" w:hAnsi="Arial"/>
                <w:sz w:val="16"/>
                <w:szCs w:val="16"/>
                <w:color w:val="3E3935"/>
              </w:rPr>
              <w:t>Notice Regarding the Availability of Proxy</w:t>
            </w:r>
          </w:p>
        </w:tc>
      </w:tr>
      <w:tr>
        <w:trPr>
          <w:trHeight w:val="215"/>
        </w:trPr>
        <w:tc>
          <w:tcPr>
            <w:tcW w:w="1640" w:type="dxa"/>
            <w:vAlign w:val="bottom"/>
          </w:tcPr>
          <w:p>
            <w:pPr>
              <w:spacing w:after="0"/>
              <w:rPr>
                <w:sz w:val="18"/>
                <w:szCs w:val="18"/>
                <w:color w:val="auto"/>
              </w:rPr>
            </w:pPr>
          </w:p>
        </w:tc>
        <w:tc>
          <w:tcPr>
            <w:tcW w:w="3760" w:type="dxa"/>
            <w:vAlign w:val="bottom"/>
          </w:tcPr>
          <w:p>
            <w:pPr>
              <w:ind w:left="140"/>
              <w:spacing w:after="0"/>
              <w:rPr>
                <w:sz w:val="20"/>
                <w:szCs w:val="20"/>
                <w:color w:val="auto"/>
              </w:rPr>
            </w:pPr>
            <w:r>
              <w:rPr>
                <w:rFonts w:ascii="Arial" w:cs="Arial" w:eastAsia="Arial" w:hAnsi="Arial"/>
                <w:sz w:val="16"/>
                <w:szCs w:val="16"/>
                <w:color w:val="3E3935"/>
              </w:rPr>
              <w:t>Materials</w:t>
            </w:r>
          </w:p>
        </w:tc>
      </w:tr>
      <w:tr>
        <w:trPr>
          <w:trHeight w:val="43"/>
        </w:trPr>
        <w:tc>
          <w:tcPr>
            <w:tcW w:w="1640" w:type="dxa"/>
            <w:vAlign w:val="bottom"/>
            <w:tcBorders>
              <w:bottom w:val="single" w:sz="8" w:color="3E3935"/>
            </w:tcBorders>
          </w:tcPr>
          <w:p>
            <w:pPr>
              <w:spacing w:after="0"/>
              <w:rPr>
                <w:sz w:val="3"/>
                <w:szCs w:val="3"/>
                <w:color w:val="auto"/>
              </w:rPr>
            </w:pPr>
          </w:p>
        </w:tc>
        <w:tc>
          <w:tcPr>
            <w:tcW w:w="3760" w:type="dxa"/>
            <w:vAlign w:val="bottom"/>
            <w:tcBorders>
              <w:bottom w:val="single" w:sz="8" w:color="3E3935"/>
            </w:tcBorders>
          </w:tcPr>
          <w:p>
            <w:pPr>
              <w:spacing w:after="0"/>
              <w:rPr>
                <w:sz w:val="3"/>
                <w:szCs w:val="3"/>
                <w:color w:val="auto"/>
              </w:rPr>
            </w:pPr>
          </w:p>
        </w:tc>
      </w:tr>
      <w:tr>
        <w:trPr>
          <w:trHeight w:val="269"/>
        </w:trPr>
        <w:tc>
          <w:tcPr>
            <w:tcW w:w="1640" w:type="dxa"/>
            <w:vAlign w:val="bottom"/>
          </w:tcPr>
          <w:p>
            <w:pPr>
              <w:ind w:left="80"/>
              <w:spacing w:after="0"/>
              <w:rPr>
                <w:sz w:val="20"/>
                <w:szCs w:val="20"/>
                <w:color w:val="auto"/>
              </w:rPr>
            </w:pPr>
            <w:r>
              <w:rPr>
                <w:rFonts w:ascii="Arial" w:cs="Arial" w:eastAsia="Arial" w:hAnsi="Arial"/>
                <w:sz w:val="16"/>
                <w:szCs w:val="16"/>
                <w:b w:val="1"/>
                <w:bCs w:val="1"/>
                <w:color w:val="3E3935"/>
              </w:rPr>
              <w:t>NQ</w:t>
            </w:r>
          </w:p>
        </w:tc>
        <w:tc>
          <w:tcPr>
            <w:tcW w:w="3760" w:type="dxa"/>
            <w:vAlign w:val="bottom"/>
          </w:tcPr>
          <w:p>
            <w:pPr>
              <w:ind w:left="140"/>
              <w:spacing w:after="0"/>
              <w:rPr>
                <w:sz w:val="20"/>
                <w:szCs w:val="20"/>
                <w:color w:val="auto"/>
              </w:rPr>
            </w:pPr>
            <w:r>
              <w:rPr>
                <w:rFonts w:ascii="Arial" w:cs="Arial" w:eastAsia="Arial" w:hAnsi="Arial"/>
                <w:sz w:val="16"/>
                <w:szCs w:val="16"/>
                <w:color w:val="3E3935"/>
              </w:rPr>
              <w:t>Nonqualified</w:t>
            </w:r>
          </w:p>
        </w:tc>
      </w:tr>
      <w:tr>
        <w:trPr>
          <w:trHeight w:val="35"/>
        </w:trPr>
        <w:tc>
          <w:tcPr>
            <w:tcW w:w="1640" w:type="dxa"/>
            <w:vAlign w:val="bottom"/>
            <w:tcBorders>
              <w:bottom w:val="single" w:sz="8" w:color="3E3935"/>
            </w:tcBorders>
          </w:tcPr>
          <w:p>
            <w:pPr>
              <w:spacing w:after="0"/>
              <w:rPr>
                <w:sz w:val="3"/>
                <w:szCs w:val="3"/>
                <w:color w:val="auto"/>
              </w:rPr>
            </w:pPr>
          </w:p>
        </w:tc>
        <w:tc>
          <w:tcPr>
            <w:tcW w:w="3760" w:type="dxa"/>
            <w:vAlign w:val="bottom"/>
            <w:tcBorders>
              <w:bottom w:val="single" w:sz="8" w:color="3E3935"/>
            </w:tcBorders>
          </w:tcPr>
          <w:p>
            <w:pPr>
              <w:spacing w:after="0"/>
              <w:rPr>
                <w:sz w:val="3"/>
                <w:szCs w:val="3"/>
                <w:color w:val="auto"/>
              </w:rPr>
            </w:pPr>
          </w:p>
        </w:tc>
      </w:tr>
      <w:tr>
        <w:trPr>
          <w:trHeight w:val="270"/>
        </w:trPr>
        <w:tc>
          <w:tcPr>
            <w:tcW w:w="1640" w:type="dxa"/>
            <w:vAlign w:val="bottom"/>
          </w:tcPr>
          <w:p>
            <w:pPr>
              <w:ind w:left="80"/>
              <w:spacing w:after="0"/>
              <w:rPr>
                <w:sz w:val="20"/>
                <w:szCs w:val="20"/>
                <w:color w:val="auto"/>
              </w:rPr>
            </w:pPr>
            <w:r>
              <w:rPr>
                <w:rFonts w:ascii="Arial" w:cs="Arial" w:eastAsia="Arial" w:hAnsi="Arial"/>
                <w:sz w:val="16"/>
                <w:szCs w:val="16"/>
                <w:b w:val="1"/>
                <w:bCs w:val="1"/>
                <w:color w:val="3E3935"/>
              </w:rPr>
              <w:t>NYSE</w:t>
            </w:r>
          </w:p>
        </w:tc>
        <w:tc>
          <w:tcPr>
            <w:tcW w:w="3760" w:type="dxa"/>
            <w:vAlign w:val="bottom"/>
          </w:tcPr>
          <w:p>
            <w:pPr>
              <w:ind w:left="140"/>
              <w:spacing w:after="0"/>
              <w:rPr>
                <w:sz w:val="20"/>
                <w:szCs w:val="20"/>
                <w:color w:val="auto"/>
              </w:rPr>
            </w:pPr>
            <w:r>
              <w:rPr>
                <w:rFonts w:ascii="Arial" w:cs="Arial" w:eastAsia="Arial" w:hAnsi="Arial"/>
                <w:sz w:val="16"/>
                <w:szCs w:val="16"/>
                <w:color w:val="3E3935"/>
              </w:rPr>
              <w:t>New York Stock Exchange</w:t>
            </w:r>
          </w:p>
        </w:tc>
      </w:tr>
      <w:tr>
        <w:trPr>
          <w:trHeight w:val="35"/>
        </w:trPr>
        <w:tc>
          <w:tcPr>
            <w:tcW w:w="1640" w:type="dxa"/>
            <w:vAlign w:val="bottom"/>
            <w:tcBorders>
              <w:bottom w:val="single" w:sz="8" w:color="3E3935"/>
            </w:tcBorders>
          </w:tcPr>
          <w:p>
            <w:pPr>
              <w:spacing w:after="0"/>
              <w:rPr>
                <w:sz w:val="3"/>
                <w:szCs w:val="3"/>
                <w:color w:val="auto"/>
              </w:rPr>
            </w:pPr>
          </w:p>
        </w:tc>
        <w:tc>
          <w:tcPr>
            <w:tcW w:w="3760" w:type="dxa"/>
            <w:vAlign w:val="bottom"/>
            <w:tcBorders>
              <w:bottom w:val="single" w:sz="8" w:color="3E3935"/>
            </w:tcBorders>
          </w:tcPr>
          <w:p>
            <w:pPr>
              <w:spacing w:after="0"/>
              <w:rPr>
                <w:sz w:val="3"/>
                <w:szCs w:val="3"/>
                <w:color w:val="auto"/>
              </w:rPr>
            </w:pPr>
          </w:p>
        </w:tc>
      </w:tr>
      <w:tr>
        <w:trPr>
          <w:trHeight w:val="269"/>
        </w:trPr>
        <w:tc>
          <w:tcPr>
            <w:tcW w:w="1640" w:type="dxa"/>
            <w:vAlign w:val="bottom"/>
          </w:tcPr>
          <w:p>
            <w:pPr>
              <w:ind w:left="80"/>
              <w:spacing w:after="0"/>
              <w:rPr>
                <w:sz w:val="20"/>
                <w:szCs w:val="20"/>
                <w:color w:val="auto"/>
              </w:rPr>
            </w:pPr>
            <w:r>
              <w:rPr>
                <w:rFonts w:ascii="Arial" w:cs="Arial" w:eastAsia="Arial" w:hAnsi="Arial"/>
                <w:sz w:val="16"/>
                <w:szCs w:val="16"/>
                <w:b w:val="1"/>
                <w:bCs w:val="1"/>
                <w:color w:val="3E3935"/>
              </w:rPr>
              <w:t>OEM</w:t>
            </w:r>
          </w:p>
        </w:tc>
        <w:tc>
          <w:tcPr>
            <w:tcW w:w="3760" w:type="dxa"/>
            <w:vAlign w:val="bottom"/>
          </w:tcPr>
          <w:p>
            <w:pPr>
              <w:ind w:left="140"/>
              <w:spacing w:after="0"/>
              <w:rPr>
                <w:sz w:val="20"/>
                <w:szCs w:val="20"/>
                <w:color w:val="auto"/>
              </w:rPr>
            </w:pPr>
            <w:r>
              <w:rPr>
                <w:rFonts w:ascii="Arial" w:cs="Arial" w:eastAsia="Arial" w:hAnsi="Arial"/>
                <w:sz w:val="16"/>
                <w:szCs w:val="16"/>
                <w:color w:val="3E3935"/>
              </w:rPr>
              <w:t>Original Equipment Manufacturer</w:t>
            </w:r>
          </w:p>
        </w:tc>
      </w:tr>
      <w:tr>
        <w:trPr>
          <w:trHeight w:val="35"/>
        </w:trPr>
        <w:tc>
          <w:tcPr>
            <w:tcW w:w="1640" w:type="dxa"/>
            <w:vAlign w:val="bottom"/>
            <w:tcBorders>
              <w:bottom w:val="single" w:sz="8" w:color="3E3935"/>
            </w:tcBorders>
          </w:tcPr>
          <w:p>
            <w:pPr>
              <w:spacing w:after="0"/>
              <w:rPr>
                <w:sz w:val="3"/>
                <w:szCs w:val="3"/>
                <w:color w:val="auto"/>
              </w:rPr>
            </w:pPr>
          </w:p>
        </w:tc>
        <w:tc>
          <w:tcPr>
            <w:tcW w:w="3760" w:type="dxa"/>
            <w:vAlign w:val="bottom"/>
            <w:tcBorders>
              <w:bottom w:val="single" w:sz="8" w:color="3E3935"/>
            </w:tcBorders>
          </w:tcPr>
          <w:p>
            <w:pPr>
              <w:spacing w:after="0"/>
              <w:rPr>
                <w:sz w:val="3"/>
                <w:szCs w:val="3"/>
                <w:color w:val="auto"/>
              </w:rPr>
            </w:pPr>
          </w:p>
        </w:tc>
      </w:tr>
      <w:tr>
        <w:trPr>
          <w:trHeight w:val="270"/>
        </w:trPr>
        <w:tc>
          <w:tcPr>
            <w:tcW w:w="1640" w:type="dxa"/>
            <w:vAlign w:val="bottom"/>
          </w:tcPr>
          <w:p>
            <w:pPr>
              <w:ind w:left="80"/>
              <w:spacing w:after="0"/>
              <w:rPr>
                <w:sz w:val="20"/>
                <w:szCs w:val="20"/>
                <w:color w:val="auto"/>
              </w:rPr>
            </w:pPr>
            <w:r>
              <w:rPr>
                <w:rFonts w:ascii="Arial" w:cs="Arial" w:eastAsia="Arial" w:hAnsi="Arial"/>
                <w:sz w:val="16"/>
                <w:szCs w:val="16"/>
                <w:b w:val="1"/>
                <w:bCs w:val="1"/>
                <w:color w:val="3E3935"/>
              </w:rPr>
              <w:t>PAC</w:t>
            </w:r>
          </w:p>
        </w:tc>
        <w:tc>
          <w:tcPr>
            <w:tcW w:w="3760" w:type="dxa"/>
            <w:vAlign w:val="bottom"/>
          </w:tcPr>
          <w:p>
            <w:pPr>
              <w:ind w:left="140"/>
              <w:spacing w:after="0"/>
              <w:rPr>
                <w:sz w:val="20"/>
                <w:szCs w:val="20"/>
                <w:color w:val="auto"/>
              </w:rPr>
            </w:pPr>
            <w:r>
              <w:rPr>
                <w:rFonts w:ascii="Arial" w:cs="Arial" w:eastAsia="Arial" w:hAnsi="Arial"/>
                <w:sz w:val="16"/>
                <w:szCs w:val="16"/>
                <w:color w:val="3E3935"/>
              </w:rPr>
              <w:t>Political Action Committee</w:t>
            </w:r>
          </w:p>
        </w:tc>
      </w:tr>
      <w:tr>
        <w:trPr>
          <w:trHeight w:val="35"/>
        </w:trPr>
        <w:tc>
          <w:tcPr>
            <w:tcW w:w="1640" w:type="dxa"/>
            <w:vAlign w:val="bottom"/>
            <w:tcBorders>
              <w:bottom w:val="single" w:sz="8" w:color="3E3935"/>
            </w:tcBorders>
          </w:tcPr>
          <w:p>
            <w:pPr>
              <w:spacing w:after="0"/>
              <w:rPr>
                <w:sz w:val="3"/>
                <w:szCs w:val="3"/>
                <w:color w:val="auto"/>
              </w:rPr>
            </w:pPr>
          </w:p>
        </w:tc>
        <w:tc>
          <w:tcPr>
            <w:tcW w:w="3760" w:type="dxa"/>
            <w:vAlign w:val="bottom"/>
            <w:tcBorders>
              <w:bottom w:val="single" w:sz="8" w:color="3E3935"/>
            </w:tcBorders>
          </w:tcPr>
          <w:p>
            <w:pPr>
              <w:spacing w:after="0"/>
              <w:rPr>
                <w:sz w:val="3"/>
                <w:szCs w:val="3"/>
                <w:color w:val="auto"/>
              </w:rPr>
            </w:pPr>
          </w:p>
        </w:tc>
      </w:tr>
      <w:tr>
        <w:trPr>
          <w:trHeight w:val="269"/>
        </w:trPr>
        <w:tc>
          <w:tcPr>
            <w:tcW w:w="1640" w:type="dxa"/>
            <w:vAlign w:val="bottom"/>
          </w:tcPr>
          <w:p>
            <w:pPr>
              <w:ind w:left="80"/>
              <w:spacing w:after="0"/>
              <w:rPr>
                <w:sz w:val="20"/>
                <w:szCs w:val="20"/>
                <w:color w:val="auto"/>
              </w:rPr>
            </w:pPr>
            <w:r>
              <w:rPr>
                <w:rFonts w:ascii="Arial" w:cs="Arial" w:eastAsia="Arial" w:hAnsi="Arial"/>
                <w:sz w:val="16"/>
                <w:szCs w:val="16"/>
                <w:b w:val="1"/>
                <w:bCs w:val="1"/>
                <w:color w:val="3E3935"/>
              </w:rPr>
              <w:t>Proxies</w:t>
            </w:r>
          </w:p>
        </w:tc>
        <w:tc>
          <w:tcPr>
            <w:tcW w:w="3760" w:type="dxa"/>
            <w:vAlign w:val="bottom"/>
          </w:tcPr>
          <w:p>
            <w:pPr>
              <w:ind w:left="140"/>
              <w:spacing w:after="0"/>
              <w:rPr>
                <w:sz w:val="20"/>
                <w:szCs w:val="20"/>
                <w:color w:val="auto"/>
              </w:rPr>
            </w:pPr>
            <w:r>
              <w:rPr>
                <w:rFonts w:ascii="Arial" w:cs="Arial" w:eastAsia="Arial" w:hAnsi="Arial"/>
                <w:sz w:val="16"/>
                <w:szCs w:val="16"/>
                <w:color w:val="3E3935"/>
              </w:rPr>
              <w:t>Mary T. Barra, Craig B. Glidden, and John S. Kim</w:t>
            </w:r>
          </w:p>
        </w:tc>
      </w:tr>
      <w:tr>
        <w:trPr>
          <w:trHeight w:val="48"/>
        </w:trPr>
        <w:tc>
          <w:tcPr>
            <w:tcW w:w="1640" w:type="dxa"/>
            <w:vAlign w:val="bottom"/>
            <w:tcBorders>
              <w:bottom w:val="single" w:sz="8" w:color="3E3935"/>
            </w:tcBorders>
          </w:tcPr>
          <w:p>
            <w:pPr>
              <w:spacing w:after="0"/>
              <w:rPr>
                <w:sz w:val="4"/>
                <w:szCs w:val="4"/>
                <w:color w:val="auto"/>
              </w:rPr>
            </w:pPr>
          </w:p>
        </w:tc>
        <w:tc>
          <w:tcPr>
            <w:tcW w:w="3760" w:type="dxa"/>
            <w:vAlign w:val="bottom"/>
            <w:tcBorders>
              <w:bottom w:val="single" w:sz="8" w:color="3E3935"/>
            </w:tcBorders>
          </w:tcPr>
          <w:p>
            <w:pPr>
              <w:spacing w:after="0"/>
              <w:rPr>
                <w:sz w:val="4"/>
                <w:szCs w:val="4"/>
                <w:color w:val="auto"/>
              </w:rPr>
            </w:pPr>
          </w:p>
        </w:tc>
      </w:tr>
      <w:tr>
        <w:trPr>
          <w:trHeight w:val="269"/>
        </w:trPr>
        <w:tc>
          <w:tcPr>
            <w:tcW w:w="1640" w:type="dxa"/>
            <w:vAlign w:val="bottom"/>
          </w:tcPr>
          <w:p>
            <w:pPr>
              <w:ind w:left="80"/>
              <w:spacing w:after="0"/>
              <w:rPr>
                <w:sz w:val="20"/>
                <w:szCs w:val="20"/>
                <w:color w:val="auto"/>
              </w:rPr>
            </w:pPr>
            <w:r>
              <w:rPr>
                <w:rFonts w:ascii="Arial" w:cs="Arial" w:eastAsia="Arial" w:hAnsi="Arial"/>
                <w:sz w:val="16"/>
                <w:szCs w:val="16"/>
                <w:b w:val="1"/>
                <w:bCs w:val="1"/>
                <w:color w:val="3E3935"/>
              </w:rPr>
              <w:t>PSU</w:t>
            </w:r>
          </w:p>
        </w:tc>
        <w:tc>
          <w:tcPr>
            <w:tcW w:w="3760" w:type="dxa"/>
            <w:vAlign w:val="bottom"/>
          </w:tcPr>
          <w:p>
            <w:pPr>
              <w:ind w:left="140"/>
              <w:spacing w:after="0"/>
              <w:rPr>
                <w:sz w:val="20"/>
                <w:szCs w:val="20"/>
                <w:color w:val="auto"/>
              </w:rPr>
            </w:pPr>
            <w:r>
              <w:rPr>
                <w:rFonts w:ascii="Arial" w:cs="Arial" w:eastAsia="Arial" w:hAnsi="Arial"/>
                <w:sz w:val="16"/>
                <w:szCs w:val="16"/>
                <w:color w:val="3E3935"/>
              </w:rPr>
              <w:t>Performance Share Unit</w:t>
            </w:r>
          </w:p>
        </w:tc>
      </w:tr>
      <w:tr>
        <w:trPr>
          <w:trHeight w:val="34"/>
        </w:trPr>
        <w:tc>
          <w:tcPr>
            <w:tcW w:w="1640" w:type="dxa"/>
            <w:vAlign w:val="bottom"/>
            <w:tcBorders>
              <w:bottom w:val="single" w:sz="8" w:color="3E3935"/>
            </w:tcBorders>
          </w:tcPr>
          <w:p>
            <w:pPr>
              <w:spacing w:after="0"/>
              <w:rPr>
                <w:sz w:val="3"/>
                <w:szCs w:val="3"/>
                <w:color w:val="auto"/>
              </w:rPr>
            </w:pPr>
          </w:p>
        </w:tc>
        <w:tc>
          <w:tcPr>
            <w:tcW w:w="3760" w:type="dxa"/>
            <w:vAlign w:val="bottom"/>
            <w:tcBorders>
              <w:bottom w:val="single" w:sz="8" w:color="3E3935"/>
            </w:tcBorders>
          </w:tcPr>
          <w:p>
            <w:pPr>
              <w:spacing w:after="0"/>
              <w:rPr>
                <w:sz w:val="3"/>
                <w:szCs w:val="3"/>
                <w:color w:val="auto"/>
              </w:rPr>
            </w:pPr>
          </w:p>
        </w:tc>
      </w:tr>
      <w:tr>
        <w:trPr>
          <w:trHeight w:val="270"/>
        </w:trPr>
        <w:tc>
          <w:tcPr>
            <w:tcW w:w="1640" w:type="dxa"/>
            <w:vAlign w:val="bottom"/>
          </w:tcPr>
          <w:p>
            <w:pPr>
              <w:ind w:left="80"/>
              <w:spacing w:after="0"/>
              <w:rPr>
                <w:sz w:val="20"/>
                <w:szCs w:val="20"/>
                <w:color w:val="auto"/>
              </w:rPr>
            </w:pPr>
            <w:r>
              <w:rPr>
                <w:rFonts w:ascii="Arial" w:cs="Arial" w:eastAsia="Arial" w:hAnsi="Arial"/>
                <w:sz w:val="16"/>
                <w:szCs w:val="16"/>
                <w:b w:val="1"/>
                <w:bCs w:val="1"/>
                <w:color w:val="3E3935"/>
              </w:rPr>
              <w:t>R&amp;D</w:t>
            </w:r>
          </w:p>
        </w:tc>
        <w:tc>
          <w:tcPr>
            <w:tcW w:w="3760" w:type="dxa"/>
            <w:vAlign w:val="bottom"/>
          </w:tcPr>
          <w:p>
            <w:pPr>
              <w:ind w:left="140"/>
              <w:spacing w:after="0"/>
              <w:rPr>
                <w:sz w:val="20"/>
                <w:szCs w:val="20"/>
                <w:color w:val="auto"/>
              </w:rPr>
            </w:pPr>
            <w:r>
              <w:rPr>
                <w:rFonts w:ascii="Arial" w:cs="Arial" w:eastAsia="Arial" w:hAnsi="Arial"/>
                <w:sz w:val="16"/>
                <w:szCs w:val="16"/>
                <w:color w:val="3E3935"/>
              </w:rPr>
              <w:t>Research and Development</w:t>
            </w:r>
          </w:p>
        </w:tc>
      </w:tr>
      <w:tr>
        <w:trPr>
          <w:trHeight w:val="35"/>
        </w:trPr>
        <w:tc>
          <w:tcPr>
            <w:tcW w:w="1640" w:type="dxa"/>
            <w:vAlign w:val="bottom"/>
            <w:tcBorders>
              <w:bottom w:val="single" w:sz="8" w:color="3E3935"/>
            </w:tcBorders>
          </w:tcPr>
          <w:p>
            <w:pPr>
              <w:spacing w:after="0"/>
              <w:rPr>
                <w:sz w:val="3"/>
                <w:szCs w:val="3"/>
                <w:color w:val="auto"/>
              </w:rPr>
            </w:pPr>
          </w:p>
        </w:tc>
        <w:tc>
          <w:tcPr>
            <w:tcW w:w="3760" w:type="dxa"/>
            <w:vAlign w:val="bottom"/>
            <w:tcBorders>
              <w:bottom w:val="single" w:sz="8" w:color="3E3935"/>
            </w:tcBorders>
          </w:tcPr>
          <w:p>
            <w:pPr>
              <w:spacing w:after="0"/>
              <w:rPr>
                <w:sz w:val="3"/>
                <w:szCs w:val="3"/>
                <w:color w:val="auto"/>
              </w:rPr>
            </w:pPr>
          </w:p>
        </w:tc>
      </w:tr>
      <w:tr>
        <w:trPr>
          <w:trHeight w:val="269"/>
        </w:trPr>
        <w:tc>
          <w:tcPr>
            <w:tcW w:w="1640" w:type="dxa"/>
            <w:vAlign w:val="bottom"/>
          </w:tcPr>
          <w:p>
            <w:pPr>
              <w:ind w:left="80"/>
              <w:spacing w:after="0"/>
              <w:rPr>
                <w:sz w:val="20"/>
                <w:szCs w:val="20"/>
                <w:color w:val="auto"/>
              </w:rPr>
            </w:pPr>
            <w:r>
              <w:rPr>
                <w:rFonts w:ascii="Arial" w:cs="Arial" w:eastAsia="Arial" w:hAnsi="Arial"/>
                <w:sz w:val="16"/>
                <w:szCs w:val="16"/>
                <w:b w:val="1"/>
                <w:bCs w:val="1"/>
                <w:color w:val="3E3935"/>
              </w:rPr>
              <w:t>ROIC</w:t>
            </w:r>
          </w:p>
        </w:tc>
        <w:tc>
          <w:tcPr>
            <w:tcW w:w="3760" w:type="dxa"/>
            <w:vAlign w:val="bottom"/>
          </w:tcPr>
          <w:p>
            <w:pPr>
              <w:ind w:left="140"/>
              <w:spacing w:after="0"/>
              <w:rPr>
                <w:sz w:val="20"/>
                <w:szCs w:val="20"/>
                <w:color w:val="auto"/>
              </w:rPr>
            </w:pPr>
            <w:r>
              <w:rPr>
                <w:rFonts w:ascii="Arial" w:cs="Arial" w:eastAsia="Arial" w:hAnsi="Arial"/>
                <w:sz w:val="16"/>
                <w:szCs w:val="16"/>
                <w:color w:val="3E3935"/>
              </w:rPr>
              <w:t>Return on Invested Capital</w:t>
            </w:r>
          </w:p>
        </w:tc>
      </w:tr>
      <w:tr>
        <w:trPr>
          <w:trHeight w:val="35"/>
        </w:trPr>
        <w:tc>
          <w:tcPr>
            <w:tcW w:w="1640" w:type="dxa"/>
            <w:vAlign w:val="bottom"/>
            <w:tcBorders>
              <w:bottom w:val="single" w:sz="8" w:color="3E3935"/>
            </w:tcBorders>
          </w:tcPr>
          <w:p>
            <w:pPr>
              <w:spacing w:after="0"/>
              <w:rPr>
                <w:sz w:val="3"/>
                <w:szCs w:val="3"/>
                <w:color w:val="auto"/>
              </w:rPr>
            </w:pPr>
          </w:p>
        </w:tc>
        <w:tc>
          <w:tcPr>
            <w:tcW w:w="3760" w:type="dxa"/>
            <w:vAlign w:val="bottom"/>
            <w:tcBorders>
              <w:bottom w:val="single" w:sz="8" w:color="3E3935"/>
            </w:tcBorders>
          </w:tcPr>
          <w:p>
            <w:pPr>
              <w:spacing w:after="0"/>
              <w:rPr>
                <w:sz w:val="3"/>
                <w:szCs w:val="3"/>
                <w:color w:val="auto"/>
              </w:rPr>
            </w:pPr>
          </w:p>
        </w:tc>
      </w:tr>
      <w:tr>
        <w:trPr>
          <w:trHeight w:val="269"/>
        </w:trPr>
        <w:tc>
          <w:tcPr>
            <w:tcW w:w="1640" w:type="dxa"/>
            <w:vAlign w:val="bottom"/>
          </w:tcPr>
          <w:p>
            <w:pPr>
              <w:ind w:left="80"/>
              <w:spacing w:after="0"/>
              <w:rPr>
                <w:sz w:val="20"/>
                <w:szCs w:val="20"/>
                <w:color w:val="auto"/>
              </w:rPr>
            </w:pPr>
            <w:r>
              <w:rPr>
                <w:rFonts w:ascii="Arial" w:cs="Arial" w:eastAsia="Arial" w:hAnsi="Arial"/>
                <w:sz w:val="16"/>
                <w:szCs w:val="16"/>
                <w:b w:val="1"/>
                <w:bCs w:val="1"/>
                <w:color w:val="3E3935"/>
              </w:rPr>
              <w:t>RSU</w:t>
            </w:r>
          </w:p>
        </w:tc>
        <w:tc>
          <w:tcPr>
            <w:tcW w:w="3760" w:type="dxa"/>
            <w:vAlign w:val="bottom"/>
          </w:tcPr>
          <w:p>
            <w:pPr>
              <w:ind w:left="140"/>
              <w:spacing w:after="0"/>
              <w:rPr>
                <w:sz w:val="20"/>
                <w:szCs w:val="20"/>
                <w:color w:val="auto"/>
              </w:rPr>
            </w:pPr>
            <w:r>
              <w:rPr>
                <w:rFonts w:ascii="Arial" w:cs="Arial" w:eastAsia="Arial" w:hAnsi="Arial"/>
                <w:sz w:val="16"/>
                <w:szCs w:val="16"/>
                <w:color w:val="3E3935"/>
              </w:rPr>
              <w:t>Restricted Stock Unit</w:t>
            </w:r>
          </w:p>
        </w:tc>
      </w:tr>
      <w:tr>
        <w:trPr>
          <w:trHeight w:val="35"/>
        </w:trPr>
        <w:tc>
          <w:tcPr>
            <w:tcW w:w="1640" w:type="dxa"/>
            <w:vAlign w:val="bottom"/>
            <w:tcBorders>
              <w:bottom w:val="single" w:sz="8" w:color="3E3935"/>
            </w:tcBorders>
          </w:tcPr>
          <w:p>
            <w:pPr>
              <w:spacing w:after="0"/>
              <w:rPr>
                <w:sz w:val="3"/>
                <w:szCs w:val="3"/>
                <w:color w:val="auto"/>
              </w:rPr>
            </w:pPr>
          </w:p>
        </w:tc>
        <w:tc>
          <w:tcPr>
            <w:tcW w:w="3760" w:type="dxa"/>
            <w:vAlign w:val="bottom"/>
            <w:tcBorders>
              <w:bottom w:val="single" w:sz="8" w:color="3E3935"/>
            </w:tcBorders>
          </w:tcPr>
          <w:p>
            <w:pPr>
              <w:spacing w:after="0"/>
              <w:rPr>
                <w:sz w:val="3"/>
                <w:szCs w:val="3"/>
                <w:color w:val="auto"/>
              </w:rPr>
            </w:pPr>
          </w:p>
        </w:tc>
      </w:tr>
      <w:tr>
        <w:trPr>
          <w:trHeight w:val="269"/>
        </w:trPr>
        <w:tc>
          <w:tcPr>
            <w:tcW w:w="1640" w:type="dxa"/>
            <w:vAlign w:val="bottom"/>
          </w:tcPr>
          <w:p>
            <w:pPr>
              <w:ind w:left="80"/>
              <w:spacing w:after="0"/>
              <w:rPr>
                <w:sz w:val="20"/>
                <w:szCs w:val="20"/>
                <w:color w:val="auto"/>
              </w:rPr>
            </w:pPr>
            <w:r>
              <w:rPr>
                <w:rFonts w:ascii="Arial" w:cs="Arial" w:eastAsia="Arial" w:hAnsi="Arial"/>
                <w:sz w:val="16"/>
                <w:szCs w:val="16"/>
                <w:b w:val="1"/>
                <w:bCs w:val="1"/>
                <w:color w:val="3E3935"/>
              </w:rPr>
              <w:t>SAR</w:t>
            </w:r>
          </w:p>
        </w:tc>
        <w:tc>
          <w:tcPr>
            <w:tcW w:w="3760" w:type="dxa"/>
            <w:vAlign w:val="bottom"/>
          </w:tcPr>
          <w:p>
            <w:pPr>
              <w:ind w:left="140"/>
              <w:spacing w:after="0"/>
              <w:rPr>
                <w:sz w:val="20"/>
                <w:szCs w:val="20"/>
                <w:color w:val="auto"/>
              </w:rPr>
            </w:pPr>
            <w:r>
              <w:rPr>
                <w:rFonts w:ascii="Arial" w:cs="Arial" w:eastAsia="Arial" w:hAnsi="Arial"/>
                <w:sz w:val="16"/>
                <w:szCs w:val="16"/>
                <w:color w:val="3E3935"/>
              </w:rPr>
              <w:t>Stock Appreciation Right</w:t>
            </w:r>
          </w:p>
        </w:tc>
      </w:tr>
      <w:tr>
        <w:trPr>
          <w:trHeight w:val="35"/>
        </w:trPr>
        <w:tc>
          <w:tcPr>
            <w:tcW w:w="1640" w:type="dxa"/>
            <w:vAlign w:val="bottom"/>
            <w:tcBorders>
              <w:bottom w:val="single" w:sz="8" w:color="3E3935"/>
            </w:tcBorders>
          </w:tcPr>
          <w:p>
            <w:pPr>
              <w:spacing w:after="0"/>
              <w:rPr>
                <w:sz w:val="3"/>
                <w:szCs w:val="3"/>
                <w:color w:val="auto"/>
              </w:rPr>
            </w:pPr>
          </w:p>
        </w:tc>
        <w:tc>
          <w:tcPr>
            <w:tcW w:w="3760" w:type="dxa"/>
            <w:vAlign w:val="bottom"/>
            <w:tcBorders>
              <w:bottom w:val="single" w:sz="8" w:color="3E3935"/>
            </w:tcBorders>
          </w:tcPr>
          <w:p>
            <w:pPr>
              <w:spacing w:after="0"/>
              <w:rPr>
                <w:sz w:val="3"/>
                <w:szCs w:val="3"/>
                <w:color w:val="auto"/>
              </w:rPr>
            </w:pPr>
          </w:p>
        </w:tc>
      </w:tr>
      <w:tr>
        <w:trPr>
          <w:trHeight w:val="269"/>
        </w:trPr>
        <w:tc>
          <w:tcPr>
            <w:tcW w:w="1640" w:type="dxa"/>
            <w:vAlign w:val="bottom"/>
          </w:tcPr>
          <w:p>
            <w:pPr>
              <w:ind w:left="80"/>
              <w:spacing w:after="0"/>
              <w:rPr>
                <w:sz w:val="20"/>
                <w:szCs w:val="20"/>
                <w:color w:val="auto"/>
              </w:rPr>
            </w:pPr>
            <w:r>
              <w:rPr>
                <w:rFonts w:ascii="Arial" w:cs="Arial" w:eastAsia="Arial" w:hAnsi="Arial"/>
                <w:sz w:val="16"/>
                <w:szCs w:val="16"/>
                <w:b w:val="1"/>
                <w:bCs w:val="1"/>
                <w:color w:val="3E3935"/>
              </w:rPr>
              <w:t>SCT</w:t>
            </w:r>
          </w:p>
        </w:tc>
        <w:tc>
          <w:tcPr>
            <w:tcW w:w="3760" w:type="dxa"/>
            <w:vAlign w:val="bottom"/>
          </w:tcPr>
          <w:p>
            <w:pPr>
              <w:ind w:left="140"/>
              <w:spacing w:after="0"/>
              <w:rPr>
                <w:sz w:val="20"/>
                <w:szCs w:val="20"/>
                <w:color w:val="auto"/>
              </w:rPr>
            </w:pPr>
            <w:r>
              <w:rPr>
                <w:rFonts w:ascii="Arial" w:cs="Arial" w:eastAsia="Arial" w:hAnsi="Arial"/>
                <w:sz w:val="16"/>
                <w:szCs w:val="16"/>
                <w:color w:val="3E3935"/>
              </w:rPr>
              <w:t>Summary Compensation Table</w:t>
            </w:r>
          </w:p>
        </w:tc>
      </w:tr>
      <w:tr>
        <w:trPr>
          <w:trHeight w:val="35"/>
        </w:trPr>
        <w:tc>
          <w:tcPr>
            <w:tcW w:w="1640" w:type="dxa"/>
            <w:vAlign w:val="bottom"/>
            <w:tcBorders>
              <w:bottom w:val="single" w:sz="8" w:color="3E3935"/>
            </w:tcBorders>
          </w:tcPr>
          <w:p>
            <w:pPr>
              <w:spacing w:after="0"/>
              <w:rPr>
                <w:sz w:val="3"/>
                <w:szCs w:val="3"/>
                <w:color w:val="auto"/>
              </w:rPr>
            </w:pPr>
          </w:p>
        </w:tc>
        <w:tc>
          <w:tcPr>
            <w:tcW w:w="3760" w:type="dxa"/>
            <w:vAlign w:val="bottom"/>
            <w:tcBorders>
              <w:bottom w:val="single" w:sz="8" w:color="3E3935"/>
            </w:tcBorders>
          </w:tcPr>
          <w:p>
            <w:pPr>
              <w:spacing w:after="0"/>
              <w:rPr>
                <w:sz w:val="3"/>
                <w:szCs w:val="3"/>
                <w:color w:val="auto"/>
              </w:rPr>
            </w:pPr>
          </w:p>
        </w:tc>
      </w:tr>
      <w:tr>
        <w:trPr>
          <w:trHeight w:val="269"/>
        </w:trPr>
        <w:tc>
          <w:tcPr>
            <w:tcW w:w="1640" w:type="dxa"/>
            <w:vAlign w:val="bottom"/>
          </w:tcPr>
          <w:p>
            <w:pPr>
              <w:ind w:left="80"/>
              <w:spacing w:after="0"/>
              <w:rPr>
                <w:sz w:val="20"/>
                <w:szCs w:val="20"/>
                <w:color w:val="auto"/>
              </w:rPr>
            </w:pPr>
            <w:r>
              <w:rPr>
                <w:rFonts w:ascii="Arial" w:cs="Arial" w:eastAsia="Arial" w:hAnsi="Arial"/>
                <w:sz w:val="16"/>
                <w:szCs w:val="16"/>
                <w:b w:val="1"/>
                <w:bCs w:val="1"/>
                <w:color w:val="3E3935"/>
              </w:rPr>
              <w:t>SEC</w:t>
            </w:r>
          </w:p>
        </w:tc>
        <w:tc>
          <w:tcPr>
            <w:tcW w:w="3760" w:type="dxa"/>
            <w:vAlign w:val="bottom"/>
          </w:tcPr>
          <w:p>
            <w:pPr>
              <w:ind w:left="140"/>
              <w:spacing w:after="0"/>
              <w:rPr>
                <w:sz w:val="20"/>
                <w:szCs w:val="20"/>
                <w:color w:val="auto"/>
              </w:rPr>
            </w:pPr>
            <w:r>
              <w:rPr>
                <w:rFonts w:ascii="Arial" w:cs="Arial" w:eastAsia="Arial" w:hAnsi="Arial"/>
                <w:sz w:val="16"/>
                <w:szCs w:val="16"/>
                <w:color w:val="3E3935"/>
              </w:rPr>
              <w:t>U.S. Securities and Exchange Commission</w:t>
            </w:r>
          </w:p>
        </w:tc>
      </w:tr>
      <w:tr>
        <w:trPr>
          <w:trHeight w:val="35"/>
        </w:trPr>
        <w:tc>
          <w:tcPr>
            <w:tcW w:w="1640" w:type="dxa"/>
            <w:vAlign w:val="bottom"/>
            <w:tcBorders>
              <w:bottom w:val="single" w:sz="8" w:color="3E3935"/>
            </w:tcBorders>
          </w:tcPr>
          <w:p>
            <w:pPr>
              <w:spacing w:after="0"/>
              <w:rPr>
                <w:sz w:val="3"/>
                <w:szCs w:val="3"/>
                <w:color w:val="auto"/>
              </w:rPr>
            </w:pPr>
          </w:p>
        </w:tc>
        <w:tc>
          <w:tcPr>
            <w:tcW w:w="3760" w:type="dxa"/>
            <w:vAlign w:val="bottom"/>
            <w:tcBorders>
              <w:bottom w:val="single" w:sz="8" w:color="3E3935"/>
            </w:tcBorders>
          </w:tcPr>
          <w:p>
            <w:pPr>
              <w:spacing w:after="0"/>
              <w:rPr>
                <w:sz w:val="3"/>
                <w:szCs w:val="3"/>
                <w:color w:val="auto"/>
              </w:rPr>
            </w:pPr>
          </w:p>
        </w:tc>
      </w:tr>
      <w:tr>
        <w:trPr>
          <w:trHeight w:val="236"/>
        </w:trPr>
        <w:tc>
          <w:tcPr>
            <w:tcW w:w="1640" w:type="dxa"/>
            <w:vAlign w:val="bottom"/>
          </w:tcPr>
          <w:p>
            <w:pPr>
              <w:ind w:left="80"/>
              <w:spacing w:after="0"/>
              <w:rPr>
                <w:sz w:val="20"/>
                <w:szCs w:val="20"/>
                <w:color w:val="auto"/>
              </w:rPr>
            </w:pPr>
            <w:r>
              <w:rPr>
                <w:rFonts w:ascii="Arial" w:cs="Arial" w:eastAsia="Arial" w:hAnsi="Arial"/>
                <w:sz w:val="16"/>
                <w:szCs w:val="16"/>
                <w:b w:val="1"/>
                <w:bCs w:val="1"/>
                <w:color w:val="3E3935"/>
              </w:rPr>
              <w:t>Senior Leadership</w:t>
            </w:r>
          </w:p>
        </w:tc>
        <w:tc>
          <w:tcPr>
            <w:tcW w:w="3760" w:type="dxa"/>
            <w:vAlign w:val="bottom"/>
          </w:tcPr>
          <w:p>
            <w:pPr>
              <w:ind w:left="140"/>
              <w:spacing w:after="0"/>
              <w:rPr>
                <w:sz w:val="20"/>
                <w:szCs w:val="20"/>
                <w:color w:val="auto"/>
              </w:rPr>
            </w:pPr>
            <w:r>
              <w:rPr>
                <w:rFonts w:ascii="Arial" w:cs="Arial" w:eastAsia="Arial" w:hAnsi="Arial"/>
                <w:sz w:val="16"/>
                <w:szCs w:val="16"/>
                <w:color w:val="3E3935"/>
              </w:rPr>
              <w:t>Certain members of management who report</w:t>
            </w:r>
          </w:p>
        </w:tc>
      </w:tr>
      <w:tr>
        <w:trPr>
          <w:trHeight w:val="223"/>
        </w:trPr>
        <w:tc>
          <w:tcPr>
            <w:tcW w:w="1640" w:type="dxa"/>
            <w:vAlign w:val="bottom"/>
          </w:tcPr>
          <w:p>
            <w:pPr>
              <w:ind w:left="80"/>
              <w:spacing w:after="0"/>
              <w:rPr>
                <w:sz w:val="20"/>
                <w:szCs w:val="20"/>
                <w:color w:val="auto"/>
              </w:rPr>
            </w:pPr>
            <w:r>
              <w:rPr>
                <w:rFonts w:ascii="Arial" w:cs="Arial" w:eastAsia="Arial" w:hAnsi="Arial"/>
                <w:sz w:val="16"/>
                <w:szCs w:val="16"/>
                <w:b w:val="1"/>
                <w:bCs w:val="1"/>
                <w:color w:val="3E3935"/>
              </w:rPr>
              <w:t>Team</w:t>
            </w:r>
          </w:p>
        </w:tc>
        <w:tc>
          <w:tcPr>
            <w:tcW w:w="3760" w:type="dxa"/>
            <w:vAlign w:val="bottom"/>
          </w:tcPr>
          <w:p>
            <w:pPr>
              <w:ind w:left="140"/>
              <w:spacing w:after="0"/>
              <w:rPr>
                <w:sz w:val="20"/>
                <w:szCs w:val="20"/>
                <w:color w:val="auto"/>
              </w:rPr>
            </w:pPr>
            <w:r>
              <w:rPr>
                <w:rFonts w:ascii="Arial" w:cs="Arial" w:eastAsia="Arial" w:hAnsi="Arial"/>
                <w:sz w:val="16"/>
                <w:szCs w:val="16"/>
                <w:color w:val="3E3935"/>
              </w:rPr>
              <w:t>directly to the CEO or the President</w:t>
            </w:r>
          </w:p>
        </w:tc>
      </w:tr>
      <w:tr>
        <w:trPr>
          <w:trHeight w:val="34"/>
        </w:trPr>
        <w:tc>
          <w:tcPr>
            <w:tcW w:w="1640" w:type="dxa"/>
            <w:vAlign w:val="bottom"/>
            <w:tcBorders>
              <w:bottom w:val="single" w:sz="8" w:color="3E3935"/>
            </w:tcBorders>
          </w:tcPr>
          <w:p>
            <w:pPr>
              <w:spacing w:after="0"/>
              <w:rPr>
                <w:sz w:val="3"/>
                <w:szCs w:val="3"/>
                <w:color w:val="auto"/>
              </w:rPr>
            </w:pPr>
          </w:p>
        </w:tc>
        <w:tc>
          <w:tcPr>
            <w:tcW w:w="3760" w:type="dxa"/>
            <w:vAlign w:val="bottom"/>
            <w:tcBorders>
              <w:bottom w:val="single" w:sz="8" w:color="3E3935"/>
            </w:tcBorders>
          </w:tcPr>
          <w:p>
            <w:pPr>
              <w:spacing w:after="0"/>
              <w:rPr>
                <w:sz w:val="3"/>
                <w:szCs w:val="3"/>
                <w:color w:val="auto"/>
              </w:rPr>
            </w:pPr>
          </w:p>
        </w:tc>
      </w:tr>
      <w:tr>
        <w:trPr>
          <w:trHeight w:val="236"/>
        </w:trPr>
        <w:tc>
          <w:tcPr>
            <w:tcW w:w="1640" w:type="dxa"/>
            <w:vAlign w:val="bottom"/>
          </w:tcPr>
          <w:p>
            <w:pPr>
              <w:ind w:left="80"/>
              <w:spacing w:after="0"/>
              <w:rPr>
                <w:sz w:val="20"/>
                <w:szCs w:val="20"/>
                <w:color w:val="auto"/>
              </w:rPr>
            </w:pPr>
            <w:r>
              <w:rPr>
                <w:rFonts w:ascii="Arial" w:cs="Arial" w:eastAsia="Arial" w:hAnsi="Arial"/>
                <w:sz w:val="16"/>
                <w:szCs w:val="16"/>
                <w:b w:val="1"/>
                <w:bCs w:val="1"/>
                <w:color w:val="3E3935"/>
              </w:rPr>
              <w:t>shares</w:t>
            </w:r>
          </w:p>
        </w:tc>
        <w:tc>
          <w:tcPr>
            <w:tcW w:w="3760" w:type="dxa"/>
            <w:vAlign w:val="bottom"/>
          </w:tcPr>
          <w:p>
            <w:pPr>
              <w:ind w:left="140"/>
              <w:spacing w:after="0"/>
              <w:rPr>
                <w:sz w:val="20"/>
                <w:szCs w:val="20"/>
                <w:color w:val="auto"/>
              </w:rPr>
            </w:pPr>
            <w:r>
              <w:rPr>
                <w:rFonts w:ascii="Arial" w:cs="Arial" w:eastAsia="Arial" w:hAnsi="Arial"/>
                <w:sz w:val="16"/>
                <w:szCs w:val="16"/>
                <w:color w:val="3E3935"/>
              </w:rPr>
              <w:t>Unless otherwise indicated, GM’s Common Stock,</w:t>
            </w:r>
          </w:p>
        </w:tc>
      </w:tr>
      <w:tr>
        <w:trPr>
          <w:trHeight w:val="215"/>
        </w:trPr>
        <w:tc>
          <w:tcPr>
            <w:tcW w:w="1640" w:type="dxa"/>
            <w:vAlign w:val="bottom"/>
          </w:tcPr>
          <w:p>
            <w:pPr>
              <w:spacing w:after="0"/>
              <w:rPr>
                <w:sz w:val="18"/>
                <w:szCs w:val="18"/>
                <w:color w:val="auto"/>
              </w:rPr>
            </w:pPr>
          </w:p>
        </w:tc>
        <w:tc>
          <w:tcPr>
            <w:tcW w:w="3760" w:type="dxa"/>
            <w:vAlign w:val="bottom"/>
          </w:tcPr>
          <w:p>
            <w:pPr>
              <w:ind w:left="140"/>
              <w:spacing w:after="0"/>
              <w:rPr>
                <w:sz w:val="20"/>
                <w:szCs w:val="20"/>
                <w:color w:val="auto"/>
              </w:rPr>
            </w:pPr>
            <w:r>
              <w:rPr>
                <w:rFonts w:ascii="Arial" w:cs="Arial" w:eastAsia="Arial" w:hAnsi="Arial"/>
                <w:sz w:val="16"/>
                <w:szCs w:val="16"/>
                <w:color w:val="3E3935"/>
              </w:rPr>
              <w:t>$0.01 par value per share</w:t>
            </w:r>
          </w:p>
        </w:tc>
      </w:tr>
      <w:tr>
        <w:trPr>
          <w:trHeight w:val="43"/>
        </w:trPr>
        <w:tc>
          <w:tcPr>
            <w:tcW w:w="1640" w:type="dxa"/>
            <w:vAlign w:val="bottom"/>
            <w:tcBorders>
              <w:bottom w:val="single" w:sz="8" w:color="3E3935"/>
            </w:tcBorders>
          </w:tcPr>
          <w:p>
            <w:pPr>
              <w:spacing w:after="0"/>
              <w:rPr>
                <w:sz w:val="3"/>
                <w:szCs w:val="3"/>
                <w:color w:val="auto"/>
              </w:rPr>
            </w:pPr>
          </w:p>
        </w:tc>
        <w:tc>
          <w:tcPr>
            <w:tcW w:w="3760" w:type="dxa"/>
            <w:vAlign w:val="bottom"/>
            <w:tcBorders>
              <w:bottom w:val="single" w:sz="8" w:color="3E3935"/>
            </w:tcBorders>
          </w:tcPr>
          <w:p>
            <w:pPr>
              <w:spacing w:after="0"/>
              <w:rPr>
                <w:sz w:val="3"/>
                <w:szCs w:val="3"/>
                <w:color w:val="auto"/>
              </w:rPr>
            </w:pPr>
          </w:p>
        </w:tc>
      </w:tr>
      <w:tr>
        <w:trPr>
          <w:trHeight w:val="269"/>
        </w:trPr>
        <w:tc>
          <w:tcPr>
            <w:tcW w:w="1640" w:type="dxa"/>
            <w:vAlign w:val="bottom"/>
          </w:tcPr>
          <w:p>
            <w:pPr>
              <w:ind w:left="80"/>
              <w:spacing w:after="0"/>
              <w:rPr>
                <w:sz w:val="20"/>
                <w:szCs w:val="20"/>
                <w:color w:val="auto"/>
              </w:rPr>
            </w:pPr>
            <w:r>
              <w:rPr>
                <w:rFonts w:ascii="Arial" w:cs="Arial" w:eastAsia="Arial" w:hAnsi="Arial"/>
                <w:sz w:val="16"/>
                <w:szCs w:val="16"/>
                <w:b w:val="1"/>
                <w:bCs w:val="1"/>
                <w:color w:val="3E3935"/>
              </w:rPr>
              <w:t>STIP</w:t>
            </w:r>
          </w:p>
        </w:tc>
        <w:tc>
          <w:tcPr>
            <w:tcW w:w="3760" w:type="dxa"/>
            <w:vAlign w:val="bottom"/>
          </w:tcPr>
          <w:p>
            <w:pPr>
              <w:ind w:left="140"/>
              <w:spacing w:after="0"/>
              <w:rPr>
                <w:sz w:val="20"/>
                <w:szCs w:val="20"/>
                <w:color w:val="auto"/>
              </w:rPr>
            </w:pPr>
            <w:r>
              <w:rPr>
                <w:rFonts w:ascii="Arial" w:cs="Arial" w:eastAsia="Arial" w:hAnsi="Arial"/>
                <w:sz w:val="16"/>
                <w:szCs w:val="16"/>
                <w:color w:val="3E3935"/>
              </w:rPr>
              <w:t>Short-Term Incentive Plan</w:t>
            </w:r>
          </w:p>
        </w:tc>
      </w:tr>
      <w:tr>
        <w:trPr>
          <w:trHeight w:val="34"/>
        </w:trPr>
        <w:tc>
          <w:tcPr>
            <w:tcW w:w="1640" w:type="dxa"/>
            <w:vAlign w:val="bottom"/>
            <w:tcBorders>
              <w:bottom w:val="single" w:sz="8" w:color="3E3935"/>
            </w:tcBorders>
          </w:tcPr>
          <w:p>
            <w:pPr>
              <w:spacing w:after="0"/>
              <w:rPr>
                <w:sz w:val="3"/>
                <w:szCs w:val="3"/>
                <w:color w:val="auto"/>
              </w:rPr>
            </w:pPr>
          </w:p>
        </w:tc>
        <w:tc>
          <w:tcPr>
            <w:tcW w:w="3760" w:type="dxa"/>
            <w:vAlign w:val="bottom"/>
            <w:tcBorders>
              <w:bottom w:val="single" w:sz="8" w:color="3E3935"/>
            </w:tcBorders>
          </w:tcPr>
          <w:p>
            <w:pPr>
              <w:spacing w:after="0"/>
              <w:rPr>
                <w:sz w:val="3"/>
                <w:szCs w:val="3"/>
                <w:color w:val="auto"/>
              </w:rPr>
            </w:pPr>
          </w:p>
        </w:tc>
      </w:tr>
      <w:tr>
        <w:trPr>
          <w:trHeight w:val="269"/>
        </w:trPr>
        <w:tc>
          <w:tcPr>
            <w:tcW w:w="1640" w:type="dxa"/>
            <w:vAlign w:val="bottom"/>
          </w:tcPr>
          <w:p>
            <w:pPr>
              <w:ind w:left="80"/>
              <w:spacing w:after="0"/>
              <w:rPr>
                <w:sz w:val="20"/>
                <w:szCs w:val="20"/>
                <w:color w:val="auto"/>
              </w:rPr>
            </w:pPr>
            <w:r>
              <w:rPr>
                <w:rFonts w:ascii="Arial" w:cs="Arial" w:eastAsia="Arial" w:hAnsi="Arial"/>
                <w:sz w:val="16"/>
                <w:szCs w:val="16"/>
                <w:b w:val="1"/>
                <w:bCs w:val="1"/>
                <w:color w:val="3E3935"/>
              </w:rPr>
              <w:t>TSR</w:t>
            </w:r>
          </w:p>
        </w:tc>
        <w:tc>
          <w:tcPr>
            <w:tcW w:w="3760" w:type="dxa"/>
            <w:vAlign w:val="bottom"/>
          </w:tcPr>
          <w:p>
            <w:pPr>
              <w:ind w:left="140"/>
              <w:spacing w:after="0"/>
              <w:rPr>
                <w:sz w:val="20"/>
                <w:szCs w:val="20"/>
                <w:color w:val="auto"/>
              </w:rPr>
            </w:pPr>
            <w:r>
              <w:rPr>
                <w:rFonts w:ascii="Arial" w:cs="Arial" w:eastAsia="Arial" w:hAnsi="Arial"/>
                <w:sz w:val="16"/>
                <w:szCs w:val="16"/>
                <w:color w:val="3E3935"/>
              </w:rPr>
              <w:t>Total Shareholder Return</w:t>
            </w:r>
          </w:p>
        </w:tc>
      </w:tr>
      <w:tr>
        <w:trPr>
          <w:trHeight w:val="34"/>
        </w:trPr>
        <w:tc>
          <w:tcPr>
            <w:tcW w:w="1640" w:type="dxa"/>
            <w:vAlign w:val="bottom"/>
            <w:tcBorders>
              <w:bottom w:val="single" w:sz="8" w:color="3E3935"/>
            </w:tcBorders>
          </w:tcPr>
          <w:p>
            <w:pPr>
              <w:spacing w:after="0"/>
              <w:rPr>
                <w:sz w:val="3"/>
                <w:szCs w:val="3"/>
                <w:color w:val="auto"/>
              </w:rPr>
            </w:pPr>
          </w:p>
        </w:tc>
        <w:tc>
          <w:tcPr>
            <w:tcW w:w="3760" w:type="dxa"/>
            <w:vAlign w:val="bottom"/>
            <w:tcBorders>
              <w:bottom w:val="single" w:sz="8" w:color="3E3935"/>
            </w:tcBorders>
          </w:tcPr>
          <w:p>
            <w:pPr>
              <w:spacing w:after="0"/>
              <w:rPr>
                <w:sz w:val="3"/>
                <w:szCs w:val="3"/>
                <w:color w:val="auto"/>
              </w:rPr>
            </w:pPr>
          </w:p>
        </w:tc>
      </w:tr>
      <w:tr>
        <w:trPr>
          <w:trHeight w:val="269"/>
        </w:trPr>
        <w:tc>
          <w:tcPr>
            <w:tcW w:w="1640" w:type="dxa"/>
            <w:vAlign w:val="bottom"/>
          </w:tcPr>
          <w:p>
            <w:pPr>
              <w:ind w:left="80"/>
              <w:spacing w:after="0"/>
              <w:rPr>
                <w:sz w:val="20"/>
                <w:szCs w:val="20"/>
                <w:color w:val="auto"/>
              </w:rPr>
            </w:pPr>
            <w:r>
              <w:rPr>
                <w:rFonts w:ascii="Arial" w:cs="Arial" w:eastAsia="Arial" w:hAnsi="Arial"/>
                <w:sz w:val="16"/>
                <w:szCs w:val="16"/>
                <w:b w:val="1"/>
                <w:bCs w:val="1"/>
                <w:color w:val="3E3935"/>
              </w:rPr>
              <w:t>WACC</w:t>
            </w:r>
          </w:p>
        </w:tc>
        <w:tc>
          <w:tcPr>
            <w:tcW w:w="3760" w:type="dxa"/>
            <w:vAlign w:val="bottom"/>
          </w:tcPr>
          <w:p>
            <w:pPr>
              <w:ind w:left="140"/>
              <w:spacing w:after="0"/>
              <w:rPr>
                <w:sz w:val="20"/>
                <w:szCs w:val="20"/>
                <w:color w:val="auto"/>
              </w:rPr>
            </w:pPr>
            <w:r>
              <w:rPr>
                <w:rFonts w:ascii="Arial" w:cs="Arial" w:eastAsia="Arial" w:hAnsi="Arial"/>
                <w:sz w:val="16"/>
                <w:szCs w:val="16"/>
                <w:color w:val="3E3935"/>
              </w:rPr>
              <w:t>Weighted Average Cost of Capital</w:t>
            </w:r>
          </w:p>
        </w:tc>
      </w:tr>
      <w:tr>
        <w:trPr>
          <w:trHeight w:val="34"/>
        </w:trPr>
        <w:tc>
          <w:tcPr>
            <w:tcW w:w="1640" w:type="dxa"/>
            <w:vAlign w:val="bottom"/>
            <w:tcBorders>
              <w:bottom w:val="single" w:sz="8" w:color="3E3935"/>
            </w:tcBorders>
          </w:tcPr>
          <w:p>
            <w:pPr>
              <w:spacing w:after="0"/>
              <w:rPr>
                <w:sz w:val="3"/>
                <w:szCs w:val="3"/>
                <w:color w:val="auto"/>
              </w:rPr>
            </w:pPr>
          </w:p>
        </w:tc>
        <w:tc>
          <w:tcPr>
            <w:tcW w:w="3760" w:type="dxa"/>
            <w:vAlign w:val="bottom"/>
            <w:tcBorders>
              <w:bottom w:val="single" w:sz="8" w:color="3E3935"/>
            </w:tcBorders>
          </w:tcPr>
          <w:p>
            <w:pPr>
              <w:spacing w:after="0"/>
              <w:rPr>
                <w:sz w:val="3"/>
                <w:szCs w:val="3"/>
                <w:color w:val="auto"/>
              </w:rPr>
            </w:pPr>
          </w:p>
        </w:tc>
      </w:tr>
    </w:tbl>
    <w:p>
      <w:pPr>
        <w:sectPr>
          <w:pgSz w:w="11900" w:h="16838" w:orient="portrait"/>
          <w:cols w:equalWidth="0" w:num="2">
            <w:col w:w="5400" w:space="340"/>
            <w:col w:w="5400"/>
          </w:cols>
          <w:pgMar w:left="320" w:top="482" w:right="439" w:bottom="0" w:gutter="0" w:footer="0" w:header="0"/>
          <w:type w:val="continuous"/>
        </w:sectPr>
      </w:pPr>
    </w:p>
    <w:bookmarkStart w:id="118" w:name="page119"/>
    <w:bookmarkEnd w:id="118"/>
    <w:p>
      <w:pPr>
        <w:ind w:left="9480"/>
        <w:spacing w:after="0"/>
        <w:rPr>
          <w:sz w:val="20"/>
          <w:szCs w:val="20"/>
          <w:color w:val="auto"/>
        </w:rPr>
      </w:pPr>
      <w:r>
        <w:rPr>
          <w:rFonts w:ascii="Arial" w:cs="Arial" w:eastAsia="Arial" w:hAnsi="Arial"/>
          <w:sz w:val="13"/>
          <w:szCs w:val="13"/>
          <w:color w:val="0071CE"/>
        </w:rPr>
        <w:t>111</w:t>
      </w:r>
    </w:p>
    <w:p>
      <w:pPr>
        <w:sectPr>
          <w:pgSz w:w="11900" w:h="16838" w:orient="portrait"/>
          <w:cols w:equalWidth="0" w:num="1">
            <w:col w:w="9700"/>
          </w:cols>
          <w:pgMar w:left="1440" w:top="279" w:right="759"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298" w:lineRule="exact"/>
        <w:rPr>
          <w:sz w:val="20"/>
          <w:szCs w:val="20"/>
          <w:color w:val="auto"/>
        </w:rPr>
      </w:pPr>
    </w:p>
    <w:p>
      <w:pPr>
        <w:ind w:left="120"/>
        <w:spacing w:after="0"/>
        <w:rPr>
          <w:sz w:val="20"/>
          <w:szCs w:val="20"/>
          <w:color w:val="auto"/>
        </w:rPr>
      </w:pPr>
      <w:r>
        <w:rPr>
          <w:rFonts w:ascii="Arial" w:cs="Arial" w:eastAsia="Arial" w:hAnsi="Arial"/>
          <w:sz w:val="32"/>
          <w:szCs w:val="32"/>
          <w:b w:val="1"/>
          <w:bCs w:val="1"/>
          <w:color w:val="00C1DE"/>
        </w:rPr>
        <w:t>APPENDIX A:</w:t>
      </w:r>
    </w:p>
    <w:p>
      <w:pPr>
        <w:spacing w:after="0" w:line="44" w:lineRule="exact"/>
        <w:rPr>
          <w:sz w:val="20"/>
          <w:szCs w:val="20"/>
          <w:color w:val="auto"/>
        </w:rPr>
      </w:pPr>
    </w:p>
    <w:p>
      <w:pPr>
        <w:ind w:left="120"/>
        <w:spacing w:after="0"/>
        <w:rPr>
          <w:sz w:val="20"/>
          <w:szCs w:val="20"/>
          <w:color w:val="auto"/>
        </w:rPr>
      </w:pPr>
      <w:r>
        <w:rPr>
          <w:rFonts w:ascii="Arial" w:cs="Arial" w:eastAsia="Arial" w:hAnsi="Arial"/>
          <w:sz w:val="32"/>
          <w:szCs w:val="32"/>
          <w:b w:val="1"/>
          <w:bCs w:val="1"/>
          <w:color w:val="0071CE"/>
        </w:rPr>
        <w:t>NON-GAAP FINANCIAL MEASURES</w:t>
      </w:r>
    </w:p>
    <w:p>
      <w:pPr>
        <w:spacing w:after="0" w:line="271" w:lineRule="exact"/>
        <w:rPr>
          <w:sz w:val="20"/>
          <w:szCs w:val="20"/>
          <w:color w:val="auto"/>
        </w:rPr>
      </w:pPr>
    </w:p>
    <w:p>
      <w:pPr>
        <w:ind w:left="120"/>
        <w:spacing w:after="0"/>
        <w:rPr>
          <w:sz w:val="20"/>
          <w:szCs w:val="20"/>
          <w:color w:val="auto"/>
        </w:rPr>
      </w:pPr>
      <w:r>
        <w:rPr>
          <w:rFonts w:ascii="Arial" w:cs="Arial" w:eastAsia="Arial" w:hAnsi="Arial"/>
          <w:sz w:val="29"/>
          <w:szCs w:val="29"/>
          <w:color w:val="3E3935"/>
        </w:rPr>
        <w:t>Non-GAAP Reconciliations</w:t>
      </w:r>
    </w:p>
    <w:p>
      <w:pPr>
        <w:sectPr>
          <w:pgSz w:w="11900" w:h="16838" w:orient="portrait"/>
          <w:cols w:equalWidth="0" w:num="1">
            <w:col w:w="11140"/>
          </w:cols>
          <w:pgMar w:left="320" w:top="482" w:right="439" w:bottom="1440" w:gutter="0" w:footer="0" w:header="0"/>
        </w:sectPr>
      </w:pPr>
    </w:p>
    <w:p>
      <w:pPr>
        <w:spacing w:after="0" w:line="200" w:lineRule="exact"/>
        <w:rPr>
          <w:sz w:val="20"/>
          <w:szCs w:val="20"/>
          <w:color w:val="auto"/>
        </w:rPr>
      </w:pPr>
    </w:p>
    <w:p>
      <w:pPr>
        <w:spacing w:after="0" w:line="206" w:lineRule="exact"/>
        <w:rPr>
          <w:sz w:val="20"/>
          <w:szCs w:val="20"/>
          <w:color w:val="auto"/>
        </w:rPr>
      </w:pPr>
    </w:p>
    <w:p>
      <w:pPr>
        <w:jc w:val="both"/>
        <w:ind w:left="120"/>
        <w:spacing w:after="0" w:line="237" w:lineRule="auto"/>
        <w:rPr>
          <w:sz w:val="20"/>
          <w:szCs w:val="20"/>
          <w:color w:val="auto"/>
        </w:rPr>
      </w:pPr>
      <w:r>
        <w:rPr>
          <w:rFonts w:ascii="Arial" w:cs="Arial" w:eastAsia="Arial" w:hAnsi="Arial"/>
          <w:sz w:val="20"/>
          <w:szCs w:val="20"/>
          <w:color w:val="3E3935"/>
        </w:rPr>
        <w:t>Our Company reports its financial results in accordance with GAAP. However, management believes that certain non-GAAP financial measures provide users with additional meaningful financial information.</w:t>
      </w:r>
    </w:p>
    <w:p>
      <w:pPr>
        <w:spacing w:after="0" w:line="91" w:lineRule="exact"/>
        <w:rPr>
          <w:sz w:val="20"/>
          <w:szCs w:val="20"/>
          <w:color w:val="auto"/>
        </w:rPr>
      </w:pPr>
    </w:p>
    <w:p>
      <w:pPr>
        <w:jc w:val="both"/>
        <w:ind w:left="120"/>
        <w:spacing w:after="0" w:line="233" w:lineRule="auto"/>
        <w:rPr>
          <w:sz w:val="20"/>
          <w:szCs w:val="20"/>
          <w:color w:val="auto"/>
        </w:rPr>
      </w:pPr>
      <w:r>
        <w:rPr>
          <w:rFonts w:ascii="Arial" w:cs="Arial" w:eastAsia="Arial" w:hAnsi="Arial"/>
          <w:sz w:val="20"/>
          <w:szCs w:val="20"/>
          <w:color w:val="3E3935"/>
        </w:rPr>
        <w:t>Our non-GAAP measures presented in this Proxy Statement include: (i) EBIT-adjusted, presented net of noncontrolling interests, (ii) EPS-diluted-adjusted, and (iii) ROIC-adjusted. Our calculation of these non-GAAP measures may not be comparable with similarly titled measures of other companies</w:t>
      </w:r>
    </w:p>
    <w:p>
      <w:pPr>
        <w:spacing w:after="0" w:line="20" w:lineRule="exact"/>
        <w:rPr>
          <w:sz w:val="20"/>
          <w:szCs w:val="20"/>
          <w:color w:val="auto"/>
        </w:rPr>
      </w:pPr>
      <w:r>
        <w:rPr>
          <w:sz w:val="20"/>
          <w:szCs w:val="20"/>
          <w:color w:val="auto"/>
        </w:rPr>
        <w:br w:type="column"/>
      </w:r>
    </w:p>
    <w:p>
      <w:pPr>
        <w:spacing w:after="0" w:line="386" w:lineRule="exact"/>
        <w:rPr>
          <w:sz w:val="20"/>
          <w:szCs w:val="20"/>
          <w:color w:val="auto"/>
        </w:rPr>
      </w:pPr>
    </w:p>
    <w:p>
      <w:pPr>
        <w:jc w:val="both"/>
        <w:spacing w:after="0" w:line="243" w:lineRule="auto"/>
        <w:rPr>
          <w:sz w:val="20"/>
          <w:szCs w:val="20"/>
          <w:color w:val="auto"/>
        </w:rPr>
      </w:pPr>
      <w:r>
        <w:rPr>
          <w:rFonts w:ascii="Arial" w:cs="Arial" w:eastAsia="Arial" w:hAnsi="Arial"/>
          <w:sz w:val="19"/>
          <w:szCs w:val="19"/>
          <w:color w:val="3E3935"/>
        </w:rPr>
        <w:t>due to potential differences between companies in the method of calculation. As a result, the use of these non-GAAP measures has limitations and should not be considered superior to, in isolation from, or as a substitute for related GAAP measures. See our 2022 Form 10-K and our subsequent filings with the SEC for additional information about the non-GAAP measures presented herein, including a description of the use of such measures. The numbers in the tables below may not sum due to rounding.</w:t>
      </w:r>
    </w:p>
    <w:p>
      <w:pPr>
        <w:spacing w:after="0" w:line="547" w:lineRule="exact"/>
        <w:rPr>
          <w:sz w:val="20"/>
          <w:szCs w:val="20"/>
          <w:color w:val="auto"/>
        </w:rPr>
      </w:pPr>
    </w:p>
    <w:p>
      <w:pPr>
        <w:sectPr>
          <w:pgSz w:w="11900" w:h="16838" w:orient="portrait"/>
          <w:cols w:equalWidth="0" w:num="2">
            <w:col w:w="5400" w:space="340"/>
            <w:col w:w="5400"/>
          </w:cols>
          <w:pgMar w:left="320" w:top="482" w:right="439" w:bottom="1440" w:gutter="0" w:footer="0" w:header="0"/>
          <w:type w:val="continuous"/>
        </w:sectPr>
      </w:pPr>
    </w:p>
    <w:p>
      <w:pPr>
        <w:spacing w:after="0" w:line="242" w:lineRule="exact"/>
        <w:rPr>
          <w:sz w:val="20"/>
          <w:szCs w:val="20"/>
          <w:color w:val="auto"/>
        </w:rPr>
      </w:pPr>
    </w:p>
    <w:p>
      <w:pPr>
        <w:ind w:left="120"/>
        <w:spacing w:after="0"/>
        <w:rPr>
          <w:sz w:val="20"/>
          <w:szCs w:val="20"/>
          <w:color w:val="auto"/>
        </w:rPr>
      </w:pPr>
      <w:r>
        <w:rPr>
          <w:rFonts w:ascii="Arial" w:cs="Arial" w:eastAsia="Arial" w:hAnsi="Arial"/>
          <w:sz w:val="20"/>
          <w:szCs w:val="20"/>
          <w:color w:val="3E3935"/>
        </w:rPr>
        <w:t>The following table reconciles Net Income Attributable to Stockholders under GAAP to EBIT-adjusted: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159385</wp:posOffset>
            </wp:positionV>
            <wp:extent cx="6995160" cy="825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88" w:lineRule="exact"/>
        <w:rPr>
          <w:sz w:val="20"/>
          <w:szCs w:val="20"/>
          <w:color w:val="auto"/>
        </w:rPr>
      </w:pPr>
    </w:p>
    <w:tbl>
      <w:tblPr>
        <w:tblLayout w:type="fixed"/>
        <w:tblInd w:w="120" w:type="dxa"/>
        <w:tblCellMar>
          <w:top w:w="0" w:type="dxa"/>
          <w:left w:w="0" w:type="dxa"/>
          <w:bottom w:w="0" w:type="dxa"/>
          <w:right w:w="0" w:type="dxa"/>
        </w:tblCellMar>
      </w:tblPr>
      <w:tr>
        <w:trPr>
          <w:trHeight w:val="273"/>
        </w:trPr>
        <w:tc>
          <w:tcPr>
            <w:tcW w:w="6780" w:type="dxa"/>
            <w:vAlign w:val="bottom"/>
          </w:tcPr>
          <w:p>
            <w:pPr>
              <w:spacing w:after="0"/>
              <w:rPr>
                <w:sz w:val="20"/>
                <w:szCs w:val="20"/>
                <w:color w:val="auto"/>
              </w:rPr>
            </w:pPr>
            <w:r>
              <w:rPr>
                <w:rFonts w:ascii="Arial" w:cs="Arial" w:eastAsia="Arial" w:hAnsi="Arial"/>
                <w:sz w:val="20"/>
                <w:szCs w:val="20"/>
                <w:b w:val="1"/>
                <w:bCs w:val="1"/>
                <w:color w:val="00C1DE"/>
              </w:rPr>
              <w:t>($B)</w:t>
            </w:r>
          </w:p>
        </w:tc>
        <w:tc>
          <w:tcPr>
            <w:tcW w:w="4240" w:type="dxa"/>
            <w:vAlign w:val="bottom"/>
            <w:gridSpan w:val="2"/>
          </w:tcPr>
          <w:p>
            <w:pPr>
              <w:jc w:val="right"/>
              <w:ind w:right="21"/>
              <w:spacing w:after="0"/>
              <w:rPr>
                <w:sz w:val="20"/>
                <w:szCs w:val="20"/>
                <w:color w:val="auto"/>
              </w:rPr>
            </w:pPr>
            <w:r>
              <w:rPr>
                <w:rFonts w:ascii="Arial" w:cs="Arial" w:eastAsia="Arial" w:hAnsi="Arial"/>
                <w:sz w:val="20"/>
                <w:szCs w:val="20"/>
                <w:b w:val="1"/>
                <w:bCs w:val="1"/>
                <w:color w:val="00C1DE"/>
              </w:rPr>
              <w:t>2022</w:t>
            </w:r>
          </w:p>
        </w:tc>
      </w:tr>
      <w:tr>
        <w:trPr>
          <w:trHeight w:val="20"/>
        </w:trPr>
        <w:tc>
          <w:tcPr>
            <w:tcW w:w="6780" w:type="dxa"/>
            <w:vAlign w:val="bottom"/>
            <w:tcBorders>
              <w:bottom w:val="single" w:sz="8" w:color="00C1DE"/>
            </w:tcBorders>
          </w:tcPr>
          <w:p>
            <w:pPr>
              <w:spacing w:after="0" w:line="20" w:lineRule="exact"/>
              <w:rPr>
                <w:sz w:val="1"/>
                <w:szCs w:val="1"/>
                <w:color w:val="auto"/>
              </w:rPr>
            </w:pPr>
          </w:p>
        </w:tc>
        <w:tc>
          <w:tcPr>
            <w:tcW w:w="3720" w:type="dxa"/>
            <w:vAlign w:val="bottom"/>
            <w:tcBorders>
              <w:bottom w:val="single" w:sz="8" w:color="00C1DE"/>
            </w:tcBorders>
          </w:tcPr>
          <w:p>
            <w:pPr>
              <w:spacing w:after="0" w:line="20" w:lineRule="exact"/>
              <w:rPr>
                <w:sz w:val="1"/>
                <w:szCs w:val="1"/>
                <w:color w:val="auto"/>
              </w:rPr>
            </w:pPr>
          </w:p>
        </w:tc>
        <w:tc>
          <w:tcPr>
            <w:tcW w:w="520" w:type="dxa"/>
            <w:vAlign w:val="bottom"/>
            <w:tcBorders>
              <w:bottom w:val="single" w:sz="8" w:color="00C1DE"/>
            </w:tcBorders>
          </w:tcPr>
          <w:p>
            <w:pPr>
              <w:spacing w:after="0" w:line="20" w:lineRule="exact"/>
              <w:rPr>
                <w:sz w:val="1"/>
                <w:szCs w:val="1"/>
                <w:color w:val="auto"/>
              </w:rPr>
            </w:pPr>
          </w:p>
        </w:tc>
      </w:tr>
      <w:tr>
        <w:trPr>
          <w:trHeight w:val="310"/>
        </w:trPr>
        <w:tc>
          <w:tcPr>
            <w:tcW w:w="6780" w:type="dxa"/>
            <w:vAlign w:val="bottom"/>
          </w:tcPr>
          <w:p>
            <w:pPr>
              <w:ind w:left="60"/>
              <w:spacing w:after="0"/>
              <w:rPr>
                <w:sz w:val="20"/>
                <w:szCs w:val="20"/>
                <w:color w:val="auto"/>
              </w:rPr>
            </w:pPr>
            <w:r>
              <w:rPr>
                <w:rFonts w:ascii="Arial" w:cs="Arial" w:eastAsia="Arial" w:hAnsi="Arial"/>
                <w:sz w:val="20"/>
                <w:szCs w:val="20"/>
                <w:b w:val="1"/>
                <w:bCs w:val="1"/>
                <w:color w:val="3E3935"/>
              </w:rPr>
              <w:t>Net Income Attributable to Stockholders</w:t>
            </w:r>
          </w:p>
        </w:tc>
        <w:tc>
          <w:tcPr>
            <w:tcW w:w="3720" w:type="dxa"/>
            <w:vAlign w:val="bottom"/>
          </w:tcPr>
          <w:p>
            <w:pPr>
              <w:jc w:val="right"/>
              <w:spacing w:after="0"/>
              <w:rPr>
                <w:sz w:val="20"/>
                <w:szCs w:val="20"/>
                <w:color w:val="auto"/>
              </w:rPr>
            </w:pPr>
            <w:r>
              <w:rPr>
                <w:rFonts w:ascii="Arial" w:cs="Arial" w:eastAsia="Arial" w:hAnsi="Arial"/>
                <w:sz w:val="20"/>
                <w:szCs w:val="20"/>
                <w:b w:val="1"/>
                <w:bCs w:val="1"/>
                <w:color w:val="3E3935"/>
              </w:rPr>
              <w:t>$</w:t>
            </w:r>
          </w:p>
        </w:tc>
        <w:tc>
          <w:tcPr>
            <w:tcW w:w="520" w:type="dxa"/>
            <w:vAlign w:val="bottom"/>
          </w:tcPr>
          <w:p>
            <w:pPr>
              <w:jc w:val="right"/>
              <w:ind w:right="21"/>
              <w:spacing w:after="0"/>
              <w:rPr>
                <w:sz w:val="20"/>
                <w:szCs w:val="20"/>
                <w:color w:val="auto"/>
              </w:rPr>
            </w:pPr>
            <w:r>
              <w:rPr>
                <w:rFonts w:ascii="Arial" w:cs="Arial" w:eastAsia="Arial" w:hAnsi="Arial"/>
                <w:sz w:val="20"/>
                <w:szCs w:val="20"/>
                <w:b w:val="1"/>
                <w:bCs w:val="1"/>
                <w:color w:val="3E3935"/>
              </w:rPr>
              <w:t>9.9</w:t>
            </w:r>
          </w:p>
        </w:tc>
      </w:tr>
      <w:tr>
        <w:trPr>
          <w:trHeight w:val="20"/>
        </w:trPr>
        <w:tc>
          <w:tcPr>
            <w:tcW w:w="6780" w:type="dxa"/>
            <w:vAlign w:val="bottom"/>
            <w:tcBorders>
              <w:bottom w:val="single" w:sz="8" w:color="3E3935"/>
            </w:tcBorders>
          </w:tcPr>
          <w:p>
            <w:pPr>
              <w:spacing w:after="0" w:line="20" w:lineRule="exact"/>
              <w:rPr>
                <w:sz w:val="1"/>
                <w:szCs w:val="1"/>
                <w:color w:val="auto"/>
              </w:rPr>
            </w:pPr>
          </w:p>
        </w:tc>
        <w:tc>
          <w:tcPr>
            <w:tcW w:w="3720" w:type="dxa"/>
            <w:vAlign w:val="bottom"/>
            <w:tcBorders>
              <w:bottom w:val="single" w:sz="8" w:color="3E3935"/>
            </w:tcBorders>
          </w:tcPr>
          <w:p>
            <w:pPr>
              <w:spacing w:after="0" w:line="20" w:lineRule="exact"/>
              <w:rPr>
                <w:sz w:val="1"/>
                <w:szCs w:val="1"/>
                <w:color w:val="auto"/>
              </w:rPr>
            </w:pPr>
          </w:p>
        </w:tc>
        <w:tc>
          <w:tcPr>
            <w:tcW w:w="520" w:type="dxa"/>
            <w:vAlign w:val="bottom"/>
            <w:tcBorders>
              <w:bottom w:val="single" w:sz="8" w:color="3E3935"/>
            </w:tcBorders>
          </w:tcPr>
          <w:p>
            <w:pPr>
              <w:spacing w:after="0" w:line="20" w:lineRule="exact"/>
              <w:rPr>
                <w:sz w:val="1"/>
                <w:szCs w:val="1"/>
                <w:color w:val="auto"/>
              </w:rPr>
            </w:pPr>
          </w:p>
        </w:tc>
      </w:tr>
      <w:tr>
        <w:trPr>
          <w:trHeight w:val="301"/>
        </w:trPr>
        <w:tc>
          <w:tcPr>
            <w:tcW w:w="6780" w:type="dxa"/>
            <w:vAlign w:val="bottom"/>
          </w:tcPr>
          <w:p>
            <w:pPr>
              <w:ind w:left="60"/>
              <w:spacing w:after="0"/>
              <w:rPr>
                <w:sz w:val="20"/>
                <w:szCs w:val="20"/>
                <w:color w:val="auto"/>
              </w:rPr>
            </w:pPr>
            <w:r>
              <w:rPr>
                <w:rFonts w:ascii="Arial" w:cs="Arial" w:eastAsia="Arial" w:hAnsi="Arial"/>
                <w:sz w:val="20"/>
                <w:szCs w:val="20"/>
                <w:color w:val="3E3935"/>
              </w:rPr>
              <w:t>Income Tax Expense</w:t>
            </w:r>
          </w:p>
        </w:tc>
        <w:tc>
          <w:tcPr>
            <w:tcW w:w="3720" w:type="dxa"/>
            <w:vAlign w:val="bottom"/>
          </w:tcPr>
          <w:p>
            <w:pPr>
              <w:spacing w:after="0"/>
              <w:rPr>
                <w:sz w:val="24"/>
                <w:szCs w:val="24"/>
                <w:color w:val="auto"/>
              </w:rPr>
            </w:pPr>
          </w:p>
        </w:tc>
        <w:tc>
          <w:tcPr>
            <w:tcW w:w="520" w:type="dxa"/>
            <w:vAlign w:val="bottom"/>
          </w:tcPr>
          <w:p>
            <w:pPr>
              <w:jc w:val="right"/>
              <w:ind w:right="21"/>
              <w:spacing w:after="0"/>
              <w:rPr>
                <w:sz w:val="20"/>
                <w:szCs w:val="20"/>
                <w:color w:val="auto"/>
              </w:rPr>
            </w:pPr>
            <w:r>
              <w:rPr>
                <w:rFonts w:ascii="Arial" w:cs="Arial" w:eastAsia="Arial" w:hAnsi="Arial"/>
                <w:sz w:val="20"/>
                <w:szCs w:val="20"/>
                <w:color w:val="3E3935"/>
              </w:rPr>
              <w:t>1.9</w:t>
            </w:r>
          </w:p>
        </w:tc>
      </w:tr>
      <w:tr>
        <w:trPr>
          <w:trHeight w:val="30"/>
        </w:trPr>
        <w:tc>
          <w:tcPr>
            <w:tcW w:w="6780" w:type="dxa"/>
            <w:vAlign w:val="bottom"/>
            <w:tcBorders>
              <w:bottom w:val="single" w:sz="8" w:color="3E3935"/>
            </w:tcBorders>
          </w:tcPr>
          <w:p>
            <w:pPr>
              <w:spacing w:after="0"/>
              <w:rPr>
                <w:sz w:val="2"/>
                <w:szCs w:val="2"/>
                <w:color w:val="auto"/>
              </w:rPr>
            </w:pPr>
          </w:p>
        </w:tc>
        <w:tc>
          <w:tcPr>
            <w:tcW w:w="3720" w:type="dxa"/>
            <w:vAlign w:val="bottom"/>
            <w:tcBorders>
              <w:bottom w:val="single" w:sz="8" w:color="3E3935"/>
            </w:tcBorders>
          </w:tcPr>
          <w:p>
            <w:pPr>
              <w:spacing w:after="0"/>
              <w:rPr>
                <w:sz w:val="2"/>
                <w:szCs w:val="2"/>
                <w:color w:val="auto"/>
              </w:rPr>
            </w:pPr>
          </w:p>
        </w:tc>
        <w:tc>
          <w:tcPr>
            <w:tcW w:w="520" w:type="dxa"/>
            <w:vAlign w:val="bottom"/>
            <w:tcBorders>
              <w:bottom w:val="single" w:sz="8" w:color="3E3935"/>
            </w:tcBorders>
          </w:tcPr>
          <w:p>
            <w:pPr>
              <w:spacing w:after="0"/>
              <w:rPr>
                <w:sz w:val="2"/>
                <w:szCs w:val="2"/>
                <w:color w:val="auto"/>
              </w:rPr>
            </w:pPr>
          </w:p>
        </w:tc>
      </w:tr>
      <w:tr>
        <w:trPr>
          <w:trHeight w:val="301"/>
        </w:trPr>
        <w:tc>
          <w:tcPr>
            <w:tcW w:w="6780" w:type="dxa"/>
            <w:vAlign w:val="bottom"/>
          </w:tcPr>
          <w:p>
            <w:pPr>
              <w:ind w:left="60"/>
              <w:spacing w:after="0"/>
              <w:rPr>
                <w:sz w:val="20"/>
                <w:szCs w:val="20"/>
                <w:color w:val="auto"/>
              </w:rPr>
            </w:pPr>
            <w:r>
              <w:rPr>
                <w:rFonts w:ascii="Arial" w:cs="Arial" w:eastAsia="Arial" w:hAnsi="Arial"/>
                <w:sz w:val="20"/>
                <w:szCs w:val="20"/>
                <w:color w:val="3E3935"/>
              </w:rPr>
              <w:t>Automotive Interest Expense</w:t>
            </w:r>
          </w:p>
        </w:tc>
        <w:tc>
          <w:tcPr>
            <w:tcW w:w="3720" w:type="dxa"/>
            <w:vAlign w:val="bottom"/>
          </w:tcPr>
          <w:p>
            <w:pPr>
              <w:spacing w:after="0"/>
              <w:rPr>
                <w:sz w:val="24"/>
                <w:szCs w:val="24"/>
                <w:color w:val="auto"/>
              </w:rPr>
            </w:pPr>
          </w:p>
        </w:tc>
        <w:tc>
          <w:tcPr>
            <w:tcW w:w="520" w:type="dxa"/>
            <w:vAlign w:val="bottom"/>
          </w:tcPr>
          <w:p>
            <w:pPr>
              <w:jc w:val="right"/>
              <w:ind w:right="21"/>
              <w:spacing w:after="0"/>
              <w:rPr>
                <w:sz w:val="20"/>
                <w:szCs w:val="20"/>
                <w:color w:val="auto"/>
              </w:rPr>
            </w:pPr>
            <w:r>
              <w:rPr>
                <w:rFonts w:ascii="Arial" w:cs="Arial" w:eastAsia="Arial" w:hAnsi="Arial"/>
                <w:sz w:val="20"/>
                <w:szCs w:val="20"/>
                <w:color w:val="3E3935"/>
              </w:rPr>
              <w:t>1.0</w:t>
            </w:r>
          </w:p>
        </w:tc>
      </w:tr>
      <w:tr>
        <w:trPr>
          <w:trHeight w:val="30"/>
        </w:trPr>
        <w:tc>
          <w:tcPr>
            <w:tcW w:w="6780" w:type="dxa"/>
            <w:vAlign w:val="bottom"/>
            <w:tcBorders>
              <w:bottom w:val="single" w:sz="8" w:color="3E3935"/>
            </w:tcBorders>
          </w:tcPr>
          <w:p>
            <w:pPr>
              <w:spacing w:after="0"/>
              <w:rPr>
                <w:sz w:val="2"/>
                <w:szCs w:val="2"/>
                <w:color w:val="auto"/>
              </w:rPr>
            </w:pPr>
          </w:p>
        </w:tc>
        <w:tc>
          <w:tcPr>
            <w:tcW w:w="3720" w:type="dxa"/>
            <w:vAlign w:val="bottom"/>
            <w:tcBorders>
              <w:bottom w:val="single" w:sz="8" w:color="3E3935"/>
            </w:tcBorders>
          </w:tcPr>
          <w:p>
            <w:pPr>
              <w:spacing w:after="0"/>
              <w:rPr>
                <w:sz w:val="2"/>
                <w:szCs w:val="2"/>
                <w:color w:val="auto"/>
              </w:rPr>
            </w:pPr>
          </w:p>
        </w:tc>
        <w:tc>
          <w:tcPr>
            <w:tcW w:w="520" w:type="dxa"/>
            <w:vAlign w:val="bottom"/>
            <w:tcBorders>
              <w:bottom w:val="single" w:sz="8" w:color="3E3935"/>
            </w:tcBorders>
          </w:tcPr>
          <w:p>
            <w:pPr>
              <w:spacing w:after="0"/>
              <w:rPr>
                <w:sz w:val="2"/>
                <w:szCs w:val="2"/>
                <w:color w:val="auto"/>
              </w:rPr>
            </w:pPr>
          </w:p>
        </w:tc>
      </w:tr>
      <w:tr>
        <w:trPr>
          <w:trHeight w:val="300"/>
        </w:trPr>
        <w:tc>
          <w:tcPr>
            <w:tcW w:w="6780" w:type="dxa"/>
            <w:vAlign w:val="bottom"/>
          </w:tcPr>
          <w:p>
            <w:pPr>
              <w:ind w:left="60"/>
              <w:spacing w:after="0"/>
              <w:rPr>
                <w:sz w:val="20"/>
                <w:szCs w:val="20"/>
                <w:color w:val="auto"/>
              </w:rPr>
            </w:pPr>
            <w:r>
              <w:rPr>
                <w:rFonts w:ascii="Arial" w:cs="Arial" w:eastAsia="Arial" w:hAnsi="Arial"/>
                <w:sz w:val="20"/>
                <w:szCs w:val="20"/>
                <w:color w:val="3E3935"/>
              </w:rPr>
              <w:t>Automotive Interest Income</w:t>
            </w:r>
          </w:p>
        </w:tc>
        <w:tc>
          <w:tcPr>
            <w:tcW w:w="372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20"/>
                <w:szCs w:val="20"/>
                <w:color w:val="3E3935"/>
              </w:rPr>
              <w:t>(0.5)</w:t>
            </w:r>
          </w:p>
        </w:tc>
      </w:tr>
      <w:tr>
        <w:trPr>
          <w:trHeight w:val="30"/>
        </w:trPr>
        <w:tc>
          <w:tcPr>
            <w:tcW w:w="6780" w:type="dxa"/>
            <w:vAlign w:val="bottom"/>
            <w:tcBorders>
              <w:bottom w:val="single" w:sz="8" w:color="3E3935"/>
            </w:tcBorders>
          </w:tcPr>
          <w:p>
            <w:pPr>
              <w:spacing w:after="0"/>
              <w:rPr>
                <w:sz w:val="2"/>
                <w:szCs w:val="2"/>
                <w:color w:val="auto"/>
              </w:rPr>
            </w:pPr>
          </w:p>
        </w:tc>
        <w:tc>
          <w:tcPr>
            <w:tcW w:w="3720" w:type="dxa"/>
            <w:vAlign w:val="bottom"/>
            <w:tcBorders>
              <w:bottom w:val="single" w:sz="8" w:color="3E3935"/>
            </w:tcBorders>
          </w:tcPr>
          <w:p>
            <w:pPr>
              <w:spacing w:after="0"/>
              <w:rPr>
                <w:sz w:val="2"/>
                <w:szCs w:val="2"/>
                <w:color w:val="auto"/>
              </w:rPr>
            </w:pPr>
          </w:p>
        </w:tc>
        <w:tc>
          <w:tcPr>
            <w:tcW w:w="520" w:type="dxa"/>
            <w:vAlign w:val="bottom"/>
            <w:tcBorders>
              <w:bottom w:val="single" w:sz="8" w:color="3E3935"/>
            </w:tcBorders>
          </w:tcPr>
          <w:p>
            <w:pPr>
              <w:spacing w:after="0"/>
              <w:rPr>
                <w:sz w:val="2"/>
                <w:szCs w:val="2"/>
                <w:color w:val="auto"/>
              </w:rPr>
            </w:pPr>
          </w:p>
        </w:tc>
      </w:tr>
      <w:tr>
        <w:trPr>
          <w:trHeight w:val="301"/>
        </w:trPr>
        <w:tc>
          <w:tcPr>
            <w:tcW w:w="6780" w:type="dxa"/>
            <w:vAlign w:val="bottom"/>
          </w:tcPr>
          <w:p>
            <w:pPr>
              <w:ind w:left="60"/>
              <w:spacing w:after="0"/>
              <w:rPr>
                <w:sz w:val="20"/>
                <w:szCs w:val="20"/>
                <w:color w:val="auto"/>
              </w:rPr>
            </w:pPr>
            <w:r>
              <w:rPr>
                <w:rFonts w:ascii="Arial" w:cs="Arial" w:eastAsia="Arial" w:hAnsi="Arial"/>
                <w:sz w:val="20"/>
                <w:szCs w:val="20"/>
                <w:color w:val="3E3935"/>
              </w:rPr>
              <w:t>Adjustments:</w:t>
            </w:r>
          </w:p>
        </w:tc>
        <w:tc>
          <w:tcPr>
            <w:tcW w:w="372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30"/>
        </w:trPr>
        <w:tc>
          <w:tcPr>
            <w:tcW w:w="6780" w:type="dxa"/>
            <w:vAlign w:val="bottom"/>
            <w:tcBorders>
              <w:bottom w:val="single" w:sz="8" w:color="3E3935"/>
            </w:tcBorders>
          </w:tcPr>
          <w:p>
            <w:pPr>
              <w:spacing w:after="0"/>
              <w:rPr>
                <w:sz w:val="2"/>
                <w:szCs w:val="2"/>
                <w:color w:val="auto"/>
              </w:rPr>
            </w:pPr>
          </w:p>
        </w:tc>
        <w:tc>
          <w:tcPr>
            <w:tcW w:w="3720" w:type="dxa"/>
            <w:vAlign w:val="bottom"/>
            <w:tcBorders>
              <w:bottom w:val="single" w:sz="8" w:color="3E3935"/>
            </w:tcBorders>
          </w:tcPr>
          <w:p>
            <w:pPr>
              <w:spacing w:after="0"/>
              <w:rPr>
                <w:sz w:val="2"/>
                <w:szCs w:val="2"/>
                <w:color w:val="auto"/>
              </w:rPr>
            </w:pPr>
          </w:p>
        </w:tc>
        <w:tc>
          <w:tcPr>
            <w:tcW w:w="520" w:type="dxa"/>
            <w:vAlign w:val="bottom"/>
            <w:tcBorders>
              <w:bottom w:val="single" w:sz="8" w:color="3E3935"/>
            </w:tcBorders>
          </w:tcPr>
          <w:p>
            <w:pPr>
              <w:spacing w:after="0"/>
              <w:rPr>
                <w:sz w:val="2"/>
                <w:szCs w:val="2"/>
                <w:color w:val="auto"/>
              </w:rPr>
            </w:pPr>
          </w:p>
        </w:tc>
      </w:tr>
      <w:tr>
        <w:trPr>
          <w:trHeight w:val="331"/>
        </w:trPr>
        <w:tc>
          <w:tcPr>
            <w:tcW w:w="6780" w:type="dxa"/>
            <w:vAlign w:val="bottom"/>
            <w:tcBorders>
              <w:bottom w:val="single" w:sz="8" w:color="3E3935"/>
            </w:tcBorders>
          </w:tcPr>
          <w:p>
            <w:pPr>
              <w:ind w:left="400"/>
              <w:spacing w:after="0" w:line="331" w:lineRule="exact"/>
              <w:rPr>
                <w:sz w:val="20"/>
                <w:szCs w:val="20"/>
                <w:color w:val="auto"/>
              </w:rPr>
            </w:pPr>
            <w:r>
              <w:rPr>
                <w:rFonts w:ascii="Arial" w:cs="Arial" w:eastAsia="Arial" w:hAnsi="Arial"/>
                <w:sz w:val="20"/>
                <w:szCs w:val="20"/>
                <w:color w:val="3E3935"/>
              </w:rPr>
              <w:t>Cruise compensation modifications</w:t>
            </w:r>
            <w:r>
              <w:rPr>
                <w:rFonts w:ascii="Arial" w:cs="Arial" w:eastAsia="Arial" w:hAnsi="Arial"/>
                <w:sz w:val="29"/>
                <w:szCs w:val="29"/>
                <w:color w:val="3E3935"/>
                <w:vertAlign w:val="superscript"/>
              </w:rPr>
              <w:t>(1)</w:t>
            </w:r>
          </w:p>
        </w:tc>
        <w:tc>
          <w:tcPr>
            <w:tcW w:w="3720" w:type="dxa"/>
            <w:vAlign w:val="bottom"/>
            <w:tcBorders>
              <w:bottom w:val="single" w:sz="8" w:color="3E3935"/>
            </w:tcBorders>
          </w:tcPr>
          <w:p>
            <w:pPr>
              <w:jc w:val="right"/>
              <w:ind w:right="361"/>
              <w:spacing w:after="0"/>
              <w:rPr>
                <w:sz w:val="20"/>
                <w:szCs w:val="20"/>
                <w:color w:val="auto"/>
              </w:rPr>
            </w:pPr>
            <w:r>
              <w:rPr>
                <w:rFonts w:ascii="Arial" w:cs="Arial" w:eastAsia="Arial" w:hAnsi="Arial"/>
                <w:sz w:val="20"/>
                <w:szCs w:val="20"/>
                <w:color w:val="3E3935"/>
              </w:rPr>
              <w:t>1.1</w:t>
            </w:r>
          </w:p>
        </w:tc>
        <w:tc>
          <w:tcPr>
            <w:tcW w:w="520" w:type="dxa"/>
            <w:vAlign w:val="bottom"/>
            <w:tcBorders>
              <w:bottom w:val="single" w:sz="8" w:color="3E3935"/>
            </w:tcBorders>
          </w:tcPr>
          <w:p>
            <w:pPr>
              <w:spacing w:after="0"/>
              <w:rPr>
                <w:sz w:val="24"/>
                <w:szCs w:val="24"/>
                <w:color w:val="auto"/>
              </w:rPr>
            </w:pPr>
          </w:p>
        </w:tc>
      </w:tr>
      <w:tr>
        <w:trPr>
          <w:trHeight w:val="331"/>
        </w:trPr>
        <w:tc>
          <w:tcPr>
            <w:tcW w:w="6780" w:type="dxa"/>
            <w:vAlign w:val="bottom"/>
            <w:tcBorders>
              <w:bottom w:val="single" w:sz="8" w:color="3E3935"/>
            </w:tcBorders>
          </w:tcPr>
          <w:p>
            <w:pPr>
              <w:ind w:left="400"/>
              <w:spacing w:after="0" w:line="331" w:lineRule="exact"/>
              <w:rPr>
                <w:sz w:val="20"/>
                <w:szCs w:val="20"/>
                <w:color w:val="auto"/>
              </w:rPr>
            </w:pPr>
            <w:r>
              <w:rPr>
                <w:rFonts w:ascii="Arial" w:cs="Arial" w:eastAsia="Arial" w:hAnsi="Arial"/>
                <w:sz w:val="20"/>
                <w:szCs w:val="20"/>
                <w:color w:val="3E3935"/>
              </w:rPr>
              <w:t>Russia exit</w:t>
            </w:r>
            <w:r>
              <w:rPr>
                <w:rFonts w:ascii="Arial" w:cs="Arial" w:eastAsia="Arial" w:hAnsi="Arial"/>
                <w:sz w:val="29"/>
                <w:szCs w:val="29"/>
                <w:color w:val="3E3935"/>
                <w:vertAlign w:val="superscript"/>
              </w:rPr>
              <w:t>(2)</w:t>
            </w:r>
          </w:p>
        </w:tc>
        <w:tc>
          <w:tcPr>
            <w:tcW w:w="3720" w:type="dxa"/>
            <w:vAlign w:val="bottom"/>
            <w:tcBorders>
              <w:bottom w:val="single" w:sz="8" w:color="3E3935"/>
            </w:tcBorders>
          </w:tcPr>
          <w:p>
            <w:pPr>
              <w:jc w:val="right"/>
              <w:ind w:right="361"/>
              <w:spacing w:after="0"/>
              <w:rPr>
                <w:sz w:val="20"/>
                <w:szCs w:val="20"/>
                <w:color w:val="auto"/>
              </w:rPr>
            </w:pPr>
            <w:r>
              <w:rPr>
                <w:rFonts w:ascii="Arial" w:cs="Arial" w:eastAsia="Arial" w:hAnsi="Arial"/>
                <w:sz w:val="20"/>
                <w:szCs w:val="20"/>
                <w:color w:val="3E3935"/>
              </w:rPr>
              <w:t>0.7</w:t>
            </w:r>
          </w:p>
        </w:tc>
        <w:tc>
          <w:tcPr>
            <w:tcW w:w="520" w:type="dxa"/>
            <w:vAlign w:val="bottom"/>
            <w:tcBorders>
              <w:bottom w:val="single" w:sz="8" w:color="3E3935"/>
            </w:tcBorders>
          </w:tcPr>
          <w:p>
            <w:pPr>
              <w:spacing w:after="0"/>
              <w:rPr>
                <w:sz w:val="24"/>
                <w:szCs w:val="24"/>
                <w:color w:val="auto"/>
              </w:rPr>
            </w:pPr>
          </w:p>
        </w:tc>
      </w:tr>
      <w:tr>
        <w:trPr>
          <w:trHeight w:val="331"/>
        </w:trPr>
        <w:tc>
          <w:tcPr>
            <w:tcW w:w="6780" w:type="dxa"/>
            <w:vAlign w:val="bottom"/>
            <w:tcBorders>
              <w:bottom w:val="single" w:sz="8" w:color="3E3935"/>
            </w:tcBorders>
          </w:tcPr>
          <w:p>
            <w:pPr>
              <w:ind w:left="400"/>
              <w:spacing w:after="0" w:line="331" w:lineRule="exact"/>
              <w:rPr>
                <w:sz w:val="20"/>
                <w:szCs w:val="20"/>
                <w:color w:val="auto"/>
              </w:rPr>
            </w:pPr>
            <w:r>
              <w:rPr>
                <w:rFonts w:ascii="Arial" w:cs="Arial" w:eastAsia="Arial" w:hAnsi="Arial"/>
                <w:sz w:val="20"/>
                <w:szCs w:val="20"/>
                <w:color w:val="3E3935"/>
              </w:rPr>
              <w:t>Buick dealer strategy</w:t>
            </w:r>
            <w:r>
              <w:rPr>
                <w:rFonts w:ascii="Arial" w:cs="Arial" w:eastAsia="Arial" w:hAnsi="Arial"/>
                <w:sz w:val="29"/>
                <w:szCs w:val="29"/>
                <w:color w:val="3E3935"/>
                <w:vertAlign w:val="superscript"/>
              </w:rPr>
              <w:t>(3)</w:t>
            </w:r>
          </w:p>
        </w:tc>
        <w:tc>
          <w:tcPr>
            <w:tcW w:w="3720" w:type="dxa"/>
            <w:vAlign w:val="bottom"/>
            <w:tcBorders>
              <w:bottom w:val="single" w:sz="8" w:color="3E3935"/>
            </w:tcBorders>
          </w:tcPr>
          <w:p>
            <w:pPr>
              <w:jc w:val="right"/>
              <w:ind w:right="361"/>
              <w:spacing w:after="0"/>
              <w:rPr>
                <w:sz w:val="20"/>
                <w:szCs w:val="20"/>
                <w:color w:val="auto"/>
              </w:rPr>
            </w:pPr>
            <w:r>
              <w:rPr>
                <w:rFonts w:ascii="Arial" w:cs="Arial" w:eastAsia="Arial" w:hAnsi="Arial"/>
                <w:sz w:val="20"/>
                <w:szCs w:val="20"/>
                <w:color w:val="3E3935"/>
              </w:rPr>
              <w:t>0.5</w:t>
            </w:r>
          </w:p>
        </w:tc>
        <w:tc>
          <w:tcPr>
            <w:tcW w:w="520" w:type="dxa"/>
            <w:vAlign w:val="bottom"/>
            <w:tcBorders>
              <w:bottom w:val="single" w:sz="8" w:color="3E3935"/>
            </w:tcBorders>
          </w:tcPr>
          <w:p>
            <w:pPr>
              <w:spacing w:after="0"/>
              <w:rPr>
                <w:sz w:val="24"/>
                <w:szCs w:val="24"/>
                <w:color w:val="auto"/>
              </w:rPr>
            </w:pPr>
          </w:p>
        </w:tc>
      </w:tr>
      <w:tr>
        <w:trPr>
          <w:trHeight w:val="331"/>
        </w:trPr>
        <w:tc>
          <w:tcPr>
            <w:tcW w:w="6780" w:type="dxa"/>
            <w:vAlign w:val="bottom"/>
            <w:tcBorders>
              <w:bottom w:val="single" w:sz="8" w:color="3E3935"/>
            </w:tcBorders>
          </w:tcPr>
          <w:p>
            <w:pPr>
              <w:ind w:left="400"/>
              <w:spacing w:after="0" w:line="331" w:lineRule="exact"/>
              <w:rPr>
                <w:sz w:val="20"/>
                <w:szCs w:val="20"/>
                <w:color w:val="auto"/>
              </w:rPr>
            </w:pPr>
            <w:r>
              <w:rPr>
                <w:rFonts w:ascii="Arial" w:cs="Arial" w:eastAsia="Arial" w:hAnsi="Arial"/>
                <w:sz w:val="20"/>
                <w:szCs w:val="20"/>
                <w:color w:val="3E3935"/>
              </w:rPr>
              <w:t>Patent royalty matters</w:t>
            </w:r>
            <w:r>
              <w:rPr>
                <w:rFonts w:ascii="Arial" w:cs="Arial" w:eastAsia="Arial" w:hAnsi="Arial"/>
                <w:sz w:val="29"/>
                <w:szCs w:val="29"/>
                <w:color w:val="3E3935"/>
                <w:vertAlign w:val="superscript"/>
              </w:rPr>
              <w:t>(4)</w:t>
            </w:r>
          </w:p>
        </w:tc>
        <w:tc>
          <w:tcPr>
            <w:tcW w:w="3720" w:type="dxa"/>
            <w:vAlign w:val="bottom"/>
            <w:tcBorders>
              <w:bottom w:val="single" w:sz="8" w:color="3E3935"/>
            </w:tcBorders>
          </w:tcPr>
          <w:p>
            <w:pPr>
              <w:jc w:val="right"/>
              <w:ind w:right="301"/>
              <w:spacing w:after="0"/>
              <w:rPr>
                <w:sz w:val="20"/>
                <w:szCs w:val="20"/>
                <w:color w:val="auto"/>
              </w:rPr>
            </w:pPr>
            <w:r>
              <w:rPr>
                <w:rFonts w:ascii="Arial" w:cs="Arial" w:eastAsia="Arial" w:hAnsi="Arial"/>
                <w:sz w:val="20"/>
                <w:szCs w:val="20"/>
                <w:color w:val="3E3935"/>
              </w:rPr>
              <w:t>(0.1)</w:t>
            </w:r>
          </w:p>
        </w:tc>
        <w:tc>
          <w:tcPr>
            <w:tcW w:w="520" w:type="dxa"/>
            <w:vAlign w:val="bottom"/>
            <w:tcBorders>
              <w:bottom w:val="single" w:sz="8" w:color="3E3935"/>
            </w:tcBorders>
          </w:tcPr>
          <w:p>
            <w:pPr>
              <w:spacing w:after="0"/>
              <w:rPr>
                <w:sz w:val="24"/>
                <w:szCs w:val="24"/>
                <w:color w:val="auto"/>
              </w:rPr>
            </w:pPr>
          </w:p>
        </w:tc>
      </w:tr>
      <w:tr>
        <w:trPr>
          <w:trHeight w:val="300"/>
        </w:trPr>
        <w:tc>
          <w:tcPr>
            <w:tcW w:w="6780" w:type="dxa"/>
            <w:vAlign w:val="bottom"/>
          </w:tcPr>
          <w:p>
            <w:pPr>
              <w:ind w:left="60"/>
              <w:spacing w:after="0"/>
              <w:rPr>
                <w:sz w:val="20"/>
                <w:szCs w:val="20"/>
                <w:color w:val="auto"/>
              </w:rPr>
            </w:pPr>
            <w:r>
              <w:rPr>
                <w:rFonts w:ascii="Arial" w:cs="Arial" w:eastAsia="Arial" w:hAnsi="Arial"/>
                <w:sz w:val="20"/>
                <w:szCs w:val="20"/>
                <w:color w:val="3E3935"/>
              </w:rPr>
              <w:t>Total Adjustments</w:t>
            </w:r>
          </w:p>
        </w:tc>
        <w:tc>
          <w:tcPr>
            <w:tcW w:w="3720" w:type="dxa"/>
            <w:vAlign w:val="bottom"/>
          </w:tcPr>
          <w:p>
            <w:pPr>
              <w:spacing w:after="0"/>
              <w:rPr>
                <w:sz w:val="24"/>
                <w:szCs w:val="24"/>
                <w:color w:val="auto"/>
              </w:rPr>
            </w:pPr>
          </w:p>
        </w:tc>
        <w:tc>
          <w:tcPr>
            <w:tcW w:w="520" w:type="dxa"/>
            <w:vAlign w:val="bottom"/>
          </w:tcPr>
          <w:p>
            <w:pPr>
              <w:jc w:val="right"/>
              <w:ind w:right="21"/>
              <w:spacing w:after="0"/>
              <w:rPr>
                <w:sz w:val="20"/>
                <w:szCs w:val="20"/>
                <w:color w:val="auto"/>
              </w:rPr>
            </w:pPr>
            <w:r>
              <w:rPr>
                <w:rFonts w:ascii="Arial" w:cs="Arial" w:eastAsia="Arial" w:hAnsi="Arial"/>
                <w:sz w:val="20"/>
                <w:szCs w:val="20"/>
                <w:color w:val="3E3935"/>
              </w:rPr>
              <w:t>2.1</w:t>
            </w:r>
          </w:p>
        </w:tc>
      </w:tr>
      <w:tr>
        <w:trPr>
          <w:trHeight w:val="30"/>
        </w:trPr>
        <w:tc>
          <w:tcPr>
            <w:tcW w:w="6780" w:type="dxa"/>
            <w:vAlign w:val="bottom"/>
            <w:tcBorders>
              <w:bottom w:val="single" w:sz="8" w:color="3E3935"/>
            </w:tcBorders>
          </w:tcPr>
          <w:p>
            <w:pPr>
              <w:spacing w:after="0"/>
              <w:rPr>
                <w:sz w:val="2"/>
                <w:szCs w:val="2"/>
                <w:color w:val="auto"/>
              </w:rPr>
            </w:pPr>
          </w:p>
        </w:tc>
        <w:tc>
          <w:tcPr>
            <w:tcW w:w="3720" w:type="dxa"/>
            <w:vAlign w:val="bottom"/>
            <w:tcBorders>
              <w:bottom w:val="single" w:sz="8" w:color="3E3935"/>
            </w:tcBorders>
          </w:tcPr>
          <w:p>
            <w:pPr>
              <w:spacing w:after="0"/>
              <w:rPr>
                <w:sz w:val="2"/>
                <w:szCs w:val="2"/>
                <w:color w:val="auto"/>
              </w:rPr>
            </w:pPr>
          </w:p>
        </w:tc>
        <w:tc>
          <w:tcPr>
            <w:tcW w:w="520" w:type="dxa"/>
            <w:vAlign w:val="bottom"/>
            <w:tcBorders>
              <w:bottom w:val="single" w:sz="8" w:color="3E3935"/>
            </w:tcBorders>
          </w:tcPr>
          <w:p>
            <w:pPr>
              <w:spacing w:after="0"/>
              <w:rPr>
                <w:sz w:val="2"/>
                <w:szCs w:val="2"/>
                <w:color w:val="auto"/>
              </w:rPr>
            </w:pPr>
          </w:p>
        </w:tc>
      </w:tr>
      <w:tr>
        <w:trPr>
          <w:trHeight w:val="311"/>
        </w:trPr>
        <w:tc>
          <w:tcPr>
            <w:tcW w:w="6780" w:type="dxa"/>
            <w:vAlign w:val="bottom"/>
          </w:tcPr>
          <w:p>
            <w:pPr>
              <w:ind w:left="60"/>
              <w:spacing w:after="0"/>
              <w:rPr>
                <w:sz w:val="20"/>
                <w:szCs w:val="20"/>
                <w:color w:val="auto"/>
              </w:rPr>
            </w:pPr>
            <w:r>
              <w:rPr>
                <w:rFonts w:ascii="Arial" w:cs="Arial" w:eastAsia="Arial" w:hAnsi="Arial"/>
                <w:sz w:val="20"/>
                <w:szCs w:val="20"/>
                <w:b w:val="1"/>
                <w:bCs w:val="1"/>
                <w:color w:val="00C1DE"/>
              </w:rPr>
              <w:t>EBIT-adjusted</w:t>
            </w:r>
          </w:p>
        </w:tc>
        <w:tc>
          <w:tcPr>
            <w:tcW w:w="3720" w:type="dxa"/>
            <w:vAlign w:val="bottom"/>
          </w:tcPr>
          <w:p>
            <w:pPr>
              <w:jc w:val="right"/>
              <w:spacing w:after="0"/>
              <w:rPr>
                <w:sz w:val="20"/>
                <w:szCs w:val="20"/>
                <w:color w:val="auto"/>
              </w:rPr>
            </w:pPr>
            <w:r>
              <w:rPr>
                <w:rFonts w:ascii="Arial" w:cs="Arial" w:eastAsia="Arial" w:hAnsi="Arial"/>
                <w:sz w:val="20"/>
                <w:szCs w:val="20"/>
                <w:b w:val="1"/>
                <w:bCs w:val="1"/>
                <w:color w:val="00C1DE"/>
              </w:rPr>
              <w:t>$</w:t>
            </w:r>
          </w:p>
        </w:tc>
        <w:tc>
          <w:tcPr>
            <w:tcW w:w="520" w:type="dxa"/>
            <w:vAlign w:val="bottom"/>
          </w:tcPr>
          <w:p>
            <w:pPr>
              <w:jc w:val="right"/>
              <w:ind w:right="21"/>
              <w:spacing w:after="0"/>
              <w:rPr>
                <w:sz w:val="20"/>
                <w:szCs w:val="20"/>
                <w:color w:val="auto"/>
              </w:rPr>
            </w:pPr>
            <w:r>
              <w:rPr>
                <w:rFonts w:ascii="Arial" w:cs="Arial" w:eastAsia="Arial" w:hAnsi="Arial"/>
                <w:sz w:val="20"/>
                <w:szCs w:val="20"/>
                <w:b w:val="1"/>
                <w:bCs w:val="1"/>
                <w:color w:val="00C1DE"/>
                <w:w w:val="97"/>
              </w:rPr>
              <w:t>14.5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12700</wp:posOffset>
            </wp:positionV>
            <wp:extent cx="6995160" cy="889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65" w:lineRule="exact"/>
        <w:rPr>
          <w:sz w:val="20"/>
          <w:szCs w:val="20"/>
          <w:color w:val="auto"/>
        </w:rPr>
      </w:pPr>
    </w:p>
    <w:p>
      <w:pPr>
        <w:ind w:left="540" w:hanging="424"/>
        <w:spacing w:after="0"/>
        <w:tabs>
          <w:tab w:leader="none" w:pos="540" w:val="left"/>
        </w:tabs>
        <w:numPr>
          <w:ilvl w:val="0"/>
          <w:numId w:val="171"/>
        </w:numPr>
        <w:rPr>
          <w:rFonts w:ascii="Arial" w:cs="Arial" w:eastAsia="Arial" w:hAnsi="Arial"/>
          <w:sz w:val="18"/>
          <w:szCs w:val="18"/>
          <w:i w:val="1"/>
          <w:iCs w:val="1"/>
          <w:color w:val="3E3935"/>
        </w:rPr>
      </w:pPr>
      <w:r>
        <w:rPr>
          <w:rFonts w:ascii="Arial" w:cs="Arial" w:eastAsia="Arial" w:hAnsi="Arial"/>
          <w:sz w:val="18"/>
          <w:szCs w:val="18"/>
          <w:i w:val="1"/>
          <w:iCs w:val="1"/>
          <w:color w:val="3E3935"/>
        </w:rPr>
        <w:t>This adjustment was excluded because it relates to the one-time modification of Cruise stock incentive awards.</w:t>
      </w:r>
    </w:p>
    <w:p>
      <w:pPr>
        <w:spacing w:after="0" w:line="63" w:lineRule="exact"/>
        <w:rPr>
          <w:rFonts w:ascii="Arial" w:cs="Arial" w:eastAsia="Arial" w:hAnsi="Arial"/>
          <w:sz w:val="18"/>
          <w:szCs w:val="18"/>
          <w:i w:val="1"/>
          <w:iCs w:val="1"/>
          <w:color w:val="3E3935"/>
        </w:rPr>
      </w:pPr>
    </w:p>
    <w:p>
      <w:pPr>
        <w:ind w:left="540" w:right="20" w:hanging="424"/>
        <w:spacing w:after="0" w:line="269" w:lineRule="auto"/>
        <w:tabs>
          <w:tab w:leader="none" w:pos="540" w:val="left"/>
        </w:tabs>
        <w:numPr>
          <w:ilvl w:val="0"/>
          <w:numId w:val="171"/>
        </w:numPr>
        <w:rPr>
          <w:rFonts w:ascii="Arial" w:cs="Arial" w:eastAsia="Arial" w:hAnsi="Arial"/>
          <w:sz w:val="18"/>
          <w:szCs w:val="18"/>
          <w:i w:val="1"/>
          <w:iCs w:val="1"/>
          <w:color w:val="3E3935"/>
        </w:rPr>
      </w:pPr>
      <w:r>
        <w:rPr>
          <w:rFonts w:ascii="Arial" w:cs="Arial" w:eastAsia="Arial" w:hAnsi="Arial"/>
          <w:sz w:val="18"/>
          <w:szCs w:val="18"/>
          <w:i w:val="1"/>
          <w:iCs w:val="1"/>
          <w:color w:val="3E3935"/>
        </w:rPr>
        <w:t>This adjustment was excluded because it relates to the shutdown of our Russia business, including the write off of our net investment and release of accumulated translation losses into earnings.</w:t>
      </w:r>
    </w:p>
    <w:p>
      <w:pPr>
        <w:spacing w:after="0" w:line="8" w:lineRule="exact"/>
        <w:rPr>
          <w:rFonts w:ascii="Arial" w:cs="Arial" w:eastAsia="Arial" w:hAnsi="Arial"/>
          <w:sz w:val="18"/>
          <w:szCs w:val="18"/>
          <w:i w:val="1"/>
          <w:iCs w:val="1"/>
          <w:color w:val="3E3935"/>
        </w:rPr>
      </w:pPr>
    </w:p>
    <w:p>
      <w:pPr>
        <w:ind w:left="540" w:right="20" w:hanging="424"/>
        <w:spacing w:after="0" w:line="269" w:lineRule="auto"/>
        <w:tabs>
          <w:tab w:leader="none" w:pos="540" w:val="left"/>
        </w:tabs>
        <w:numPr>
          <w:ilvl w:val="0"/>
          <w:numId w:val="171"/>
        </w:numPr>
        <w:rPr>
          <w:rFonts w:ascii="Arial" w:cs="Arial" w:eastAsia="Arial" w:hAnsi="Arial"/>
          <w:sz w:val="18"/>
          <w:szCs w:val="18"/>
          <w:i w:val="1"/>
          <w:iCs w:val="1"/>
          <w:color w:val="3E3935"/>
        </w:rPr>
      </w:pPr>
      <w:r>
        <w:rPr>
          <w:rFonts w:ascii="Arial" w:cs="Arial" w:eastAsia="Arial" w:hAnsi="Arial"/>
          <w:sz w:val="18"/>
          <w:szCs w:val="18"/>
          <w:i w:val="1"/>
          <w:iCs w:val="1"/>
          <w:color w:val="3E3935"/>
        </w:rPr>
        <w:t>This adjustment was excluded because it relates to strategic activities to transition certain Buick dealers out of our dealer network as part of Buick’s EV strategy.</w:t>
      </w:r>
    </w:p>
    <w:p>
      <w:pPr>
        <w:spacing w:after="0" w:line="8" w:lineRule="exact"/>
        <w:rPr>
          <w:rFonts w:ascii="Arial" w:cs="Arial" w:eastAsia="Arial" w:hAnsi="Arial"/>
          <w:sz w:val="18"/>
          <w:szCs w:val="18"/>
          <w:i w:val="1"/>
          <w:iCs w:val="1"/>
          <w:color w:val="3E3935"/>
        </w:rPr>
      </w:pPr>
    </w:p>
    <w:p>
      <w:pPr>
        <w:ind w:left="540" w:hanging="424"/>
        <w:spacing w:after="0" w:line="269" w:lineRule="auto"/>
        <w:tabs>
          <w:tab w:leader="none" w:pos="540" w:val="left"/>
        </w:tabs>
        <w:numPr>
          <w:ilvl w:val="0"/>
          <w:numId w:val="171"/>
        </w:numPr>
        <w:rPr>
          <w:rFonts w:ascii="Arial" w:cs="Arial" w:eastAsia="Arial" w:hAnsi="Arial"/>
          <w:sz w:val="18"/>
          <w:szCs w:val="18"/>
          <w:i w:val="1"/>
          <w:iCs w:val="1"/>
          <w:color w:val="3E3935"/>
        </w:rPr>
      </w:pPr>
      <w:r>
        <w:rPr>
          <w:rFonts w:ascii="Arial" w:cs="Arial" w:eastAsia="Arial" w:hAnsi="Arial"/>
          <w:sz w:val="18"/>
          <w:szCs w:val="18"/>
          <w:i w:val="1"/>
          <w:iCs w:val="1"/>
          <w:color w:val="3E3935"/>
        </w:rPr>
        <w:t>This adjustment was excluded because it relates to certain royalties previously accrued with respect to past-year vehicles sales and the resolution of substantially all of these matters in 2022.</w:t>
      </w:r>
    </w:p>
    <w:p>
      <w:pPr>
        <w:spacing w:after="0" w:line="97" w:lineRule="exact"/>
        <w:rPr>
          <w:sz w:val="20"/>
          <w:szCs w:val="20"/>
          <w:color w:val="auto"/>
        </w:rPr>
      </w:pPr>
    </w:p>
    <w:p>
      <w:pPr>
        <w:jc w:val="center"/>
        <w:ind w:right="10680"/>
        <w:spacing w:after="0"/>
        <w:rPr>
          <w:sz w:val="20"/>
          <w:szCs w:val="20"/>
          <w:color w:val="auto"/>
        </w:rPr>
      </w:pPr>
      <w:r>
        <w:rPr>
          <w:rFonts w:ascii="Arial" w:cs="Arial" w:eastAsia="Arial" w:hAnsi="Arial"/>
          <w:sz w:val="14"/>
          <w:szCs w:val="14"/>
          <w:color w:val="0071CE"/>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wp:posOffset>
            </wp:positionH>
            <wp:positionV relativeFrom="paragraph">
              <wp:posOffset>-95885</wp:posOffset>
            </wp:positionV>
            <wp:extent cx="5983605" cy="10287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5983605" cy="102870"/>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type w:val="continuous"/>
        </w:sectPr>
      </w:pPr>
    </w:p>
    <w:bookmarkStart w:id="120" w:name="page121"/>
    <w:bookmarkEnd w:id="1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6" w:lineRule="exact"/>
        <w:rPr>
          <w:sz w:val="20"/>
          <w:szCs w:val="20"/>
          <w:color w:val="auto"/>
        </w:rPr>
      </w:pPr>
    </w:p>
    <w:p>
      <w:pPr>
        <w:ind w:left="120"/>
        <w:spacing w:after="0"/>
        <w:rPr>
          <w:sz w:val="20"/>
          <w:szCs w:val="20"/>
          <w:color w:val="auto"/>
        </w:rPr>
      </w:pPr>
      <w:r>
        <w:rPr>
          <w:rFonts w:ascii="Arial" w:cs="Arial" w:eastAsia="Arial" w:hAnsi="Arial"/>
          <w:sz w:val="20"/>
          <w:szCs w:val="20"/>
          <w:color w:val="3E3935"/>
        </w:rPr>
        <w:t>The following table reconciles Diluted Earnings per Common Share under GAAP to EPS-diluted-adjusted: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159385</wp:posOffset>
            </wp:positionV>
            <wp:extent cx="6995160" cy="825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267"/>
        </w:trPr>
        <w:tc>
          <w:tcPr>
            <w:tcW w:w="6920" w:type="dxa"/>
            <w:vAlign w:val="bottom"/>
            <w:tcBorders>
              <w:bottom w:val="single" w:sz="8" w:color="00C1DE"/>
            </w:tcBorders>
          </w:tcPr>
          <w:p>
            <w:pPr>
              <w:spacing w:after="0"/>
              <w:rPr>
                <w:sz w:val="20"/>
                <w:szCs w:val="20"/>
                <w:color w:val="auto"/>
              </w:rPr>
            </w:pPr>
            <w:r>
              <w:rPr>
                <w:rFonts w:ascii="Arial" w:cs="Arial" w:eastAsia="Arial" w:hAnsi="Arial"/>
                <w:sz w:val="20"/>
                <w:szCs w:val="20"/>
                <w:b w:val="1"/>
                <w:bCs w:val="1"/>
                <w:color w:val="00C1DE"/>
              </w:rPr>
              <w:t>($ per Share)</w:t>
            </w:r>
          </w:p>
        </w:tc>
        <w:tc>
          <w:tcPr>
            <w:tcW w:w="4100" w:type="dxa"/>
            <w:vAlign w:val="bottom"/>
            <w:tcBorders>
              <w:bottom w:val="single" w:sz="8" w:color="00C1DE"/>
            </w:tcBorders>
          </w:tcPr>
          <w:p>
            <w:pPr>
              <w:jc w:val="right"/>
              <w:ind w:right="21"/>
              <w:spacing w:after="0"/>
              <w:rPr>
                <w:sz w:val="20"/>
                <w:szCs w:val="20"/>
                <w:color w:val="auto"/>
              </w:rPr>
            </w:pPr>
            <w:r>
              <w:rPr>
                <w:rFonts w:ascii="Arial" w:cs="Arial" w:eastAsia="Arial" w:hAnsi="Arial"/>
                <w:sz w:val="20"/>
                <w:szCs w:val="20"/>
                <w:b w:val="1"/>
                <w:bCs w:val="1"/>
                <w:color w:val="00C1DE"/>
              </w:rPr>
              <w:t>2022</w:t>
            </w:r>
          </w:p>
        </w:tc>
      </w:tr>
      <w:tr>
        <w:trPr>
          <w:trHeight w:val="250"/>
        </w:trPr>
        <w:tc>
          <w:tcPr>
            <w:tcW w:w="6920" w:type="dxa"/>
            <w:vAlign w:val="bottom"/>
            <w:tcBorders>
              <w:bottom w:val="single" w:sz="8" w:color="3E3935"/>
            </w:tcBorders>
          </w:tcPr>
          <w:p>
            <w:pPr>
              <w:ind w:left="60"/>
              <w:spacing w:after="0"/>
              <w:rPr>
                <w:sz w:val="20"/>
                <w:szCs w:val="20"/>
                <w:color w:val="auto"/>
              </w:rPr>
            </w:pPr>
            <w:r>
              <w:rPr>
                <w:rFonts w:ascii="Arial" w:cs="Arial" w:eastAsia="Arial" w:hAnsi="Arial"/>
                <w:sz w:val="20"/>
                <w:szCs w:val="20"/>
                <w:b w:val="1"/>
                <w:bCs w:val="1"/>
                <w:color w:val="3E3935"/>
              </w:rPr>
              <w:t>Diluted Earnings per Common Share</w:t>
            </w:r>
          </w:p>
        </w:tc>
        <w:tc>
          <w:tcPr>
            <w:tcW w:w="4100" w:type="dxa"/>
            <w:vAlign w:val="bottom"/>
            <w:tcBorders>
              <w:bottom w:val="single" w:sz="8" w:color="3E3935"/>
            </w:tcBorders>
          </w:tcPr>
          <w:p>
            <w:pPr>
              <w:jc w:val="right"/>
              <w:ind w:right="21"/>
              <w:spacing w:after="0"/>
              <w:rPr>
                <w:sz w:val="20"/>
                <w:szCs w:val="20"/>
                <w:color w:val="auto"/>
              </w:rPr>
            </w:pPr>
            <w:r>
              <w:rPr>
                <w:rFonts w:ascii="Arial" w:cs="Arial" w:eastAsia="Arial" w:hAnsi="Arial"/>
                <w:sz w:val="20"/>
                <w:szCs w:val="20"/>
                <w:b w:val="1"/>
                <w:bCs w:val="1"/>
                <w:color w:val="3E3935"/>
              </w:rPr>
              <w:t>$ 6.13</w:t>
            </w:r>
          </w:p>
        </w:tc>
      </w:tr>
      <w:tr>
        <w:trPr>
          <w:trHeight w:val="250"/>
        </w:trPr>
        <w:tc>
          <w:tcPr>
            <w:tcW w:w="6920" w:type="dxa"/>
            <w:vAlign w:val="bottom"/>
            <w:tcBorders>
              <w:bottom w:val="single" w:sz="8" w:color="3E3935"/>
            </w:tcBorders>
          </w:tcPr>
          <w:p>
            <w:pPr>
              <w:ind w:left="60"/>
              <w:spacing w:after="0" w:line="250" w:lineRule="exact"/>
              <w:rPr>
                <w:sz w:val="20"/>
                <w:szCs w:val="20"/>
                <w:color w:val="auto"/>
              </w:rPr>
            </w:pPr>
            <w:r>
              <w:rPr>
                <w:rFonts w:ascii="Arial" w:cs="Arial" w:eastAsia="Arial" w:hAnsi="Arial"/>
                <w:sz w:val="19"/>
                <w:szCs w:val="19"/>
                <w:color w:val="3E3935"/>
              </w:rPr>
              <w:t>Adjustments</w:t>
            </w:r>
            <w:r>
              <w:rPr>
                <w:rFonts w:ascii="Arial" w:cs="Arial" w:eastAsia="Arial" w:hAnsi="Arial"/>
                <w:sz w:val="28"/>
                <w:szCs w:val="28"/>
                <w:color w:val="3E3935"/>
                <w:vertAlign w:val="superscript"/>
              </w:rPr>
              <w:t>(1)</w:t>
            </w:r>
          </w:p>
        </w:tc>
        <w:tc>
          <w:tcPr>
            <w:tcW w:w="4100" w:type="dxa"/>
            <w:vAlign w:val="bottom"/>
            <w:tcBorders>
              <w:bottom w:val="single" w:sz="8" w:color="3E3935"/>
            </w:tcBorders>
          </w:tcPr>
          <w:p>
            <w:pPr>
              <w:jc w:val="right"/>
              <w:ind w:right="21"/>
              <w:spacing w:after="0"/>
              <w:rPr>
                <w:sz w:val="20"/>
                <w:szCs w:val="20"/>
                <w:color w:val="auto"/>
              </w:rPr>
            </w:pPr>
            <w:r>
              <w:rPr>
                <w:rFonts w:ascii="Arial" w:cs="Arial" w:eastAsia="Arial" w:hAnsi="Arial"/>
                <w:sz w:val="20"/>
                <w:szCs w:val="20"/>
                <w:color w:val="3E3935"/>
              </w:rPr>
              <w:t>1.46</w:t>
            </w:r>
          </w:p>
        </w:tc>
      </w:tr>
      <w:tr>
        <w:trPr>
          <w:trHeight w:val="250"/>
        </w:trPr>
        <w:tc>
          <w:tcPr>
            <w:tcW w:w="6920" w:type="dxa"/>
            <w:vAlign w:val="bottom"/>
            <w:tcBorders>
              <w:bottom w:val="single" w:sz="8" w:color="3E3935"/>
            </w:tcBorders>
          </w:tcPr>
          <w:p>
            <w:pPr>
              <w:ind w:left="60"/>
              <w:spacing w:after="0" w:line="250" w:lineRule="exact"/>
              <w:rPr>
                <w:sz w:val="20"/>
                <w:szCs w:val="20"/>
                <w:color w:val="auto"/>
              </w:rPr>
            </w:pPr>
            <w:r>
              <w:rPr>
                <w:rFonts w:ascii="Arial" w:cs="Arial" w:eastAsia="Arial" w:hAnsi="Arial"/>
                <w:sz w:val="19"/>
                <w:szCs w:val="19"/>
                <w:color w:val="3E3935"/>
              </w:rPr>
              <w:t>Tax effect of adjustments</w:t>
            </w:r>
            <w:r>
              <w:rPr>
                <w:rFonts w:ascii="Arial" w:cs="Arial" w:eastAsia="Arial" w:hAnsi="Arial"/>
                <w:sz w:val="28"/>
                <w:szCs w:val="28"/>
                <w:color w:val="3E3935"/>
                <w:vertAlign w:val="superscript"/>
              </w:rPr>
              <w:t>(2)</w:t>
            </w:r>
          </w:p>
        </w:tc>
        <w:tc>
          <w:tcPr>
            <w:tcW w:w="4100" w:type="dxa"/>
            <w:vAlign w:val="bottom"/>
            <w:tcBorders>
              <w:bottom w:val="single" w:sz="8" w:color="3E3935"/>
            </w:tcBorders>
          </w:tcPr>
          <w:p>
            <w:pPr>
              <w:jc w:val="right"/>
              <w:spacing w:after="0"/>
              <w:rPr>
                <w:sz w:val="20"/>
                <w:szCs w:val="20"/>
                <w:color w:val="auto"/>
              </w:rPr>
            </w:pPr>
            <w:r>
              <w:rPr>
                <w:rFonts w:ascii="Arial" w:cs="Arial" w:eastAsia="Arial" w:hAnsi="Arial"/>
                <w:sz w:val="20"/>
                <w:szCs w:val="20"/>
                <w:color w:val="3E3935"/>
              </w:rPr>
              <w:t>(0.29)</w:t>
            </w:r>
          </w:p>
        </w:tc>
      </w:tr>
      <w:tr>
        <w:trPr>
          <w:trHeight w:val="250"/>
        </w:trPr>
        <w:tc>
          <w:tcPr>
            <w:tcW w:w="6920" w:type="dxa"/>
            <w:vAlign w:val="bottom"/>
            <w:tcBorders>
              <w:bottom w:val="single" w:sz="8" w:color="3E3935"/>
            </w:tcBorders>
          </w:tcPr>
          <w:p>
            <w:pPr>
              <w:ind w:left="60"/>
              <w:spacing w:after="0" w:line="250" w:lineRule="exact"/>
              <w:rPr>
                <w:sz w:val="20"/>
                <w:szCs w:val="20"/>
                <w:color w:val="auto"/>
              </w:rPr>
            </w:pPr>
            <w:r>
              <w:rPr>
                <w:rFonts w:ascii="Arial" w:cs="Arial" w:eastAsia="Arial" w:hAnsi="Arial"/>
                <w:sz w:val="19"/>
                <w:szCs w:val="19"/>
                <w:color w:val="3E3935"/>
              </w:rPr>
              <w:t>Tax adjustments</w:t>
            </w:r>
            <w:r>
              <w:rPr>
                <w:rFonts w:ascii="Arial" w:cs="Arial" w:eastAsia="Arial" w:hAnsi="Arial"/>
                <w:sz w:val="28"/>
                <w:szCs w:val="28"/>
                <w:color w:val="3E3935"/>
                <w:vertAlign w:val="superscript"/>
              </w:rPr>
              <w:t>(3)</w:t>
            </w:r>
          </w:p>
        </w:tc>
        <w:tc>
          <w:tcPr>
            <w:tcW w:w="4100" w:type="dxa"/>
            <w:vAlign w:val="bottom"/>
            <w:tcBorders>
              <w:bottom w:val="single" w:sz="8" w:color="3E3935"/>
            </w:tcBorders>
          </w:tcPr>
          <w:p>
            <w:pPr>
              <w:jc w:val="right"/>
              <w:spacing w:after="0"/>
              <w:rPr>
                <w:sz w:val="20"/>
                <w:szCs w:val="20"/>
                <w:color w:val="auto"/>
              </w:rPr>
            </w:pPr>
            <w:r>
              <w:rPr>
                <w:rFonts w:ascii="Arial" w:cs="Arial" w:eastAsia="Arial" w:hAnsi="Arial"/>
                <w:sz w:val="20"/>
                <w:szCs w:val="20"/>
                <w:color w:val="3E3935"/>
              </w:rPr>
              <w:t>(0.33)</w:t>
            </w:r>
          </w:p>
        </w:tc>
      </w:tr>
      <w:tr>
        <w:trPr>
          <w:trHeight w:val="250"/>
        </w:trPr>
        <w:tc>
          <w:tcPr>
            <w:tcW w:w="6920" w:type="dxa"/>
            <w:vAlign w:val="bottom"/>
            <w:tcBorders>
              <w:bottom w:val="single" w:sz="8" w:color="3E3935"/>
            </w:tcBorders>
          </w:tcPr>
          <w:p>
            <w:pPr>
              <w:ind w:left="60"/>
              <w:spacing w:after="0" w:line="250" w:lineRule="exact"/>
              <w:rPr>
                <w:sz w:val="20"/>
                <w:szCs w:val="20"/>
                <w:color w:val="auto"/>
              </w:rPr>
            </w:pPr>
            <w:r>
              <w:rPr>
                <w:rFonts w:ascii="Arial" w:cs="Arial" w:eastAsia="Arial" w:hAnsi="Arial"/>
                <w:sz w:val="19"/>
                <w:szCs w:val="19"/>
                <w:color w:val="3E3935"/>
              </w:rPr>
              <w:t>Deemed dividend adjustment</w:t>
            </w:r>
            <w:r>
              <w:rPr>
                <w:rFonts w:ascii="Arial" w:cs="Arial" w:eastAsia="Arial" w:hAnsi="Arial"/>
                <w:sz w:val="28"/>
                <w:szCs w:val="28"/>
                <w:color w:val="3E3935"/>
                <w:vertAlign w:val="superscript"/>
              </w:rPr>
              <w:t>(4)</w:t>
            </w:r>
          </w:p>
        </w:tc>
        <w:tc>
          <w:tcPr>
            <w:tcW w:w="4100" w:type="dxa"/>
            <w:vAlign w:val="bottom"/>
            <w:tcBorders>
              <w:bottom w:val="single" w:sz="8" w:color="3E3935"/>
            </w:tcBorders>
          </w:tcPr>
          <w:p>
            <w:pPr>
              <w:jc w:val="right"/>
              <w:ind w:right="21"/>
              <w:spacing w:after="0"/>
              <w:rPr>
                <w:sz w:val="20"/>
                <w:szCs w:val="20"/>
                <w:color w:val="auto"/>
              </w:rPr>
            </w:pPr>
            <w:r>
              <w:rPr>
                <w:rFonts w:ascii="Arial" w:cs="Arial" w:eastAsia="Arial" w:hAnsi="Arial"/>
                <w:sz w:val="20"/>
                <w:szCs w:val="20"/>
                <w:color w:val="3E3935"/>
              </w:rPr>
              <w:t>0.63</w:t>
            </w:r>
          </w:p>
        </w:tc>
      </w:tr>
      <w:tr>
        <w:trPr>
          <w:trHeight w:val="250"/>
        </w:trPr>
        <w:tc>
          <w:tcPr>
            <w:tcW w:w="6920" w:type="dxa"/>
            <w:vAlign w:val="bottom"/>
            <w:tcBorders>
              <w:bottom w:val="single" w:sz="8" w:color="3E3935"/>
            </w:tcBorders>
          </w:tcPr>
          <w:p>
            <w:pPr>
              <w:ind w:left="60"/>
              <w:spacing w:after="0"/>
              <w:rPr>
                <w:sz w:val="20"/>
                <w:szCs w:val="20"/>
                <w:color w:val="auto"/>
              </w:rPr>
            </w:pPr>
            <w:r>
              <w:rPr>
                <w:rFonts w:ascii="Arial" w:cs="Arial" w:eastAsia="Arial" w:hAnsi="Arial"/>
                <w:sz w:val="20"/>
                <w:szCs w:val="20"/>
                <w:b w:val="1"/>
                <w:bCs w:val="1"/>
                <w:color w:val="00C1DE"/>
              </w:rPr>
              <w:t>EPS-diluted-adjusted</w:t>
            </w:r>
          </w:p>
        </w:tc>
        <w:tc>
          <w:tcPr>
            <w:tcW w:w="4100" w:type="dxa"/>
            <w:vAlign w:val="bottom"/>
            <w:tcBorders>
              <w:bottom w:val="single" w:sz="8" w:color="3E3935"/>
            </w:tcBorders>
          </w:tcPr>
          <w:p>
            <w:pPr>
              <w:jc w:val="right"/>
              <w:ind w:right="21"/>
              <w:spacing w:after="0"/>
              <w:rPr>
                <w:sz w:val="20"/>
                <w:szCs w:val="20"/>
                <w:color w:val="auto"/>
              </w:rPr>
            </w:pPr>
            <w:r>
              <w:rPr>
                <w:rFonts w:ascii="Arial" w:cs="Arial" w:eastAsia="Arial" w:hAnsi="Arial"/>
                <w:sz w:val="20"/>
                <w:szCs w:val="20"/>
                <w:b w:val="1"/>
                <w:bCs w:val="1"/>
                <w:color w:val="00C1DE"/>
              </w:rPr>
              <w:t>$ 7.59</w:t>
            </w:r>
          </w:p>
        </w:tc>
      </w:tr>
    </w:tbl>
    <w:p>
      <w:pPr>
        <w:spacing w:after="0" w:line="51" w:lineRule="exact"/>
        <w:rPr>
          <w:sz w:val="20"/>
          <w:szCs w:val="20"/>
          <w:color w:val="auto"/>
        </w:rPr>
      </w:pPr>
    </w:p>
    <w:p>
      <w:pPr>
        <w:ind w:left="540" w:hanging="424"/>
        <w:spacing w:after="0"/>
        <w:tabs>
          <w:tab w:leader="none" w:pos="540" w:val="left"/>
        </w:tabs>
        <w:numPr>
          <w:ilvl w:val="0"/>
          <w:numId w:val="172"/>
        </w:numPr>
        <w:rPr>
          <w:rFonts w:ascii="Arial" w:cs="Arial" w:eastAsia="Arial" w:hAnsi="Arial"/>
          <w:sz w:val="18"/>
          <w:szCs w:val="18"/>
          <w:i w:val="1"/>
          <w:iCs w:val="1"/>
          <w:color w:val="3E3935"/>
        </w:rPr>
      </w:pPr>
      <w:r>
        <w:rPr>
          <w:rFonts w:ascii="Arial" w:cs="Arial" w:eastAsia="Arial" w:hAnsi="Arial"/>
          <w:sz w:val="18"/>
          <w:szCs w:val="18"/>
          <w:i w:val="1"/>
          <w:iCs w:val="1"/>
          <w:color w:val="3E3935"/>
        </w:rPr>
        <w:t>Refer to the reconciliation of Net Income Attributable to Stockholders under GAAP to EBIT-adjusted above for adjustment details.</w:t>
      </w:r>
    </w:p>
    <w:p>
      <w:pPr>
        <w:spacing w:after="0" w:line="63" w:lineRule="exact"/>
        <w:rPr>
          <w:rFonts w:ascii="Arial" w:cs="Arial" w:eastAsia="Arial" w:hAnsi="Arial"/>
          <w:sz w:val="18"/>
          <w:szCs w:val="18"/>
          <w:i w:val="1"/>
          <w:iCs w:val="1"/>
          <w:color w:val="3E3935"/>
        </w:rPr>
      </w:pPr>
    </w:p>
    <w:p>
      <w:pPr>
        <w:ind w:left="540" w:right="20" w:hanging="424"/>
        <w:spacing w:after="0" w:line="269" w:lineRule="auto"/>
        <w:tabs>
          <w:tab w:leader="none" w:pos="540" w:val="left"/>
        </w:tabs>
        <w:numPr>
          <w:ilvl w:val="0"/>
          <w:numId w:val="172"/>
        </w:numPr>
        <w:rPr>
          <w:rFonts w:ascii="Arial" w:cs="Arial" w:eastAsia="Arial" w:hAnsi="Arial"/>
          <w:sz w:val="18"/>
          <w:szCs w:val="18"/>
          <w:i w:val="1"/>
          <w:iCs w:val="1"/>
          <w:color w:val="3E3935"/>
        </w:rPr>
      </w:pPr>
      <w:r>
        <w:rPr>
          <w:rFonts w:ascii="Arial" w:cs="Arial" w:eastAsia="Arial" w:hAnsi="Arial"/>
          <w:sz w:val="18"/>
          <w:szCs w:val="18"/>
          <w:i w:val="1"/>
          <w:iCs w:val="1"/>
          <w:color w:val="3E3935"/>
        </w:rPr>
        <w:t>The tax effect of each adjustment is determined based on the tax laws and valuation allowance status of the jurisdiction to which the adjustment relates.</w:t>
      </w:r>
    </w:p>
    <w:p>
      <w:pPr>
        <w:spacing w:after="0" w:line="8" w:lineRule="exact"/>
        <w:rPr>
          <w:rFonts w:ascii="Arial" w:cs="Arial" w:eastAsia="Arial" w:hAnsi="Arial"/>
          <w:sz w:val="18"/>
          <w:szCs w:val="18"/>
          <w:i w:val="1"/>
          <w:iCs w:val="1"/>
          <w:color w:val="3E3935"/>
        </w:rPr>
      </w:pPr>
    </w:p>
    <w:p>
      <w:pPr>
        <w:ind w:left="540" w:right="20" w:hanging="424"/>
        <w:spacing w:after="0" w:line="269" w:lineRule="auto"/>
        <w:tabs>
          <w:tab w:leader="none" w:pos="540" w:val="left"/>
        </w:tabs>
        <w:numPr>
          <w:ilvl w:val="0"/>
          <w:numId w:val="172"/>
        </w:numPr>
        <w:rPr>
          <w:rFonts w:ascii="Arial" w:cs="Arial" w:eastAsia="Arial" w:hAnsi="Arial"/>
          <w:sz w:val="18"/>
          <w:szCs w:val="18"/>
          <w:i w:val="1"/>
          <w:iCs w:val="1"/>
          <w:color w:val="3E3935"/>
        </w:rPr>
      </w:pPr>
      <w:r>
        <w:rPr>
          <w:rFonts w:ascii="Arial" w:cs="Arial" w:eastAsia="Arial" w:hAnsi="Arial"/>
          <w:sz w:val="18"/>
          <w:szCs w:val="18"/>
          <w:i w:val="1"/>
          <w:iCs w:val="1"/>
          <w:color w:val="3E3935"/>
        </w:rPr>
        <w:t>This adjustment consists of tax benefit related to the release of a valuation allowance against deferred tax assets considered realizable as a result of Cruise tax reconsolidation.</w:t>
      </w:r>
    </w:p>
    <w:p>
      <w:pPr>
        <w:spacing w:after="0" w:line="8" w:lineRule="exact"/>
        <w:rPr>
          <w:rFonts w:ascii="Arial" w:cs="Arial" w:eastAsia="Arial" w:hAnsi="Arial"/>
          <w:sz w:val="18"/>
          <w:szCs w:val="18"/>
          <w:i w:val="1"/>
          <w:iCs w:val="1"/>
          <w:color w:val="3E3935"/>
        </w:rPr>
      </w:pPr>
    </w:p>
    <w:p>
      <w:pPr>
        <w:ind w:left="540" w:right="20" w:hanging="424"/>
        <w:spacing w:after="0" w:line="269" w:lineRule="auto"/>
        <w:tabs>
          <w:tab w:leader="none" w:pos="540" w:val="left"/>
        </w:tabs>
        <w:numPr>
          <w:ilvl w:val="0"/>
          <w:numId w:val="172"/>
        </w:numPr>
        <w:rPr>
          <w:rFonts w:ascii="Arial" w:cs="Arial" w:eastAsia="Arial" w:hAnsi="Arial"/>
          <w:sz w:val="18"/>
          <w:szCs w:val="18"/>
          <w:i w:val="1"/>
          <w:iCs w:val="1"/>
          <w:color w:val="3E3935"/>
        </w:rPr>
      </w:pPr>
      <w:r>
        <w:rPr>
          <w:rFonts w:ascii="Arial" w:cs="Arial" w:eastAsia="Arial" w:hAnsi="Arial"/>
          <w:sz w:val="18"/>
          <w:szCs w:val="18"/>
          <w:i w:val="1"/>
          <w:iCs w:val="1"/>
          <w:color w:val="3E3935"/>
        </w:rPr>
        <w:t>This adjustment consists of a deemed dividend related to the redemption of Cruise preferred shares from SoftBank Vision Fund (AIV M2) L.P.</w:t>
      </w:r>
    </w:p>
    <w:p>
      <w:pPr>
        <w:spacing w:after="0" w:line="152" w:lineRule="exact"/>
        <w:rPr>
          <w:sz w:val="20"/>
          <w:szCs w:val="20"/>
          <w:color w:val="auto"/>
        </w:rPr>
      </w:pPr>
    </w:p>
    <w:p>
      <w:pPr>
        <w:ind w:left="120"/>
        <w:spacing w:after="0"/>
        <w:rPr>
          <w:sz w:val="20"/>
          <w:szCs w:val="20"/>
          <w:color w:val="auto"/>
        </w:rPr>
      </w:pPr>
      <w:r>
        <w:rPr>
          <w:rFonts w:ascii="Arial" w:cs="Arial" w:eastAsia="Arial" w:hAnsi="Arial"/>
          <w:sz w:val="20"/>
          <w:szCs w:val="20"/>
          <w:color w:val="3E3935"/>
        </w:rPr>
        <w:t>The following table summarizes the calculation of ROIC-adjusted: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159385</wp:posOffset>
            </wp:positionV>
            <wp:extent cx="6995160" cy="825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267"/>
        </w:trPr>
        <w:tc>
          <w:tcPr>
            <w:tcW w:w="8860" w:type="dxa"/>
            <w:vAlign w:val="bottom"/>
            <w:tcBorders>
              <w:bottom w:val="single" w:sz="8" w:color="00C1DE"/>
            </w:tcBorders>
          </w:tcPr>
          <w:p>
            <w:pPr>
              <w:spacing w:after="0"/>
              <w:rPr>
                <w:sz w:val="20"/>
                <w:szCs w:val="20"/>
                <w:color w:val="auto"/>
              </w:rPr>
            </w:pPr>
            <w:r>
              <w:rPr>
                <w:rFonts w:ascii="Arial" w:cs="Arial" w:eastAsia="Arial" w:hAnsi="Arial"/>
                <w:sz w:val="20"/>
                <w:szCs w:val="20"/>
                <w:b w:val="1"/>
                <w:bCs w:val="1"/>
                <w:color w:val="00C1DE"/>
              </w:rPr>
              <w:t>($B)</w:t>
            </w:r>
          </w:p>
        </w:tc>
        <w:tc>
          <w:tcPr>
            <w:tcW w:w="2160" w:type="dxa"/>
            <w:vAlign w:val="bottom"/>
            <w:tcBorders>
              <w:bottom w:val="single" w:sz="8" w:color="00C1DE"/>
            </w:tcBorders>
          </w:tcPr>
          <w:p>
            <w:pPr>
              <w:jc w:val="right"/>
              <w:ind w:right="161"/>
              <w:spacing w:after="0"/>
              <w:rPr>
                <w:sz w:val="20"/>
                <w:szCs w:val="20"/>
                <w:color w:val="auto"/>
              </w:rPr>
            </w:pPr>
            <w:r>
              <w:rPr>
                <w:rFonts w:ascii="Arial" w:cs="Arial" w:eastAsia="Arial" w:hAnsi="Arial"/>
                <w:sz w:val="20"/>
                <w:szCs w:val="20"/>
                <w:b w:val="1"/>
                <w:bCs w:val="1"/>
                <w:color w:val="00C1DE"/>
              </w:rPr>
              <w:t>2022</w:t>
            </w:r>
          </w:p>
        </w:tc>
      </w:tr>
      <w:tr>
        <w:trPr>
          <w:trHeight w:val="250"/>
        </w:trPr>
        <w:tc>
          <w:tcPr>
            <w:tcW w:w="8860" w:type="dxa"/>
            <w:vAlign w:val="bottom"/>
            <w:tcBorders>
              <w:bottom w:val="single" w:sz="8" w:color="3E3935"/>
            </w:tcBorders>
          </w:tcPr>
          <w:p>
            <w:pPr>
              <w:ind w:left="60"/>
              <w:spacing w:after="0" w:line="250" w:lineRule="exact"/>
              <w:rPr>
                <w:sz w:val="20"/>
                <w:szCs w:val="20"/>
                <w:color w:val="auto"/>
              </w:rPr>
            </w:pPr>
            <w:r>
              <w:rPr>
                <w:rFonts w:ascii="Arial" w:cs="Arial" w:eastAsia="Arial" w:hAnsi="Arial"/>
                <w:sz w:val="19"/>
                <w:szCs w:val="19"/>
                <w:b w:val="1"/>
                <w:bCs w:val="1"/>
                <w:color w:val="3E3935"/>
              </w:rPr>
              <w:t>EBIT-adjusted</w:t>
            </w:r>
            <w:r>
              <w:rPr>
                <w:rFonts w:ascii="Arial" w:cs="Arial" w:eastAsia="Arial" w:hAnsi="Arial"/>
                <w:sz w:val="28"/>
                <w:szCs w:val="28"/>
                <w:b w:val="1"/>
                <w:bCs w:val="1"/>
                <w:color w:val="3E3935"/>
                <w:vertAlign w:val="superscript"/>
              </w:rPr>
              <w:t>(1)</w:t>
            </w:r>
          </w:p>
        </w:tc>
        <w:tc>
          <w:tcPr>
            <w:tcW w:w="2160" w:type="dxa"/>
            <w:vAlign w:val="bottom"/>
            <w:tcBorders>
              <w:bottom w:val="single" w:sz="8" w:color="3E3935"/>
            </w:tcBorders>
          </w:tcPr>
          <w:p>
            <w:pPr>
              <w:jc w:val="right"/>
              <w:ind w:right="161"/>
              <w:spacing w:after="0"/>
              <w:rPr>
                <w:sz w:val="20"/>
                <w:szCs w:val="20"/>
                <w:color w:val="auto"/>
              </w:rPr>
            </w:pPr>
            <w:r>
              <w:rPr>
                <w:rFonts w:ascii="Arial" w:cs="Arial" w:eastAsia="Arial" w:hAnsi="Arial"/>
                <w:sz w:val="20"/>
                <w:szCs w:val="20"/>
                <w:b w:val="1"/>
                <w:bCs w:val="1"/>
                <w:color w:val="3E3935"/>
              </w:rPr>
              <w:t>$ 14.5</w:t>
            </w:r>
          </w:p>
        </w:tc>
      </w:tr>
      <w:tr>
        <w:trPr>
          <w:trHeight w:val="250"/>
        </w:trPr>
        <w:tc>
          <w:tcPr>
            <w:tcW w:w="8860" w:type="dxa"/>
            <w:vAlign w:val="bottom"/>
            <w:tcBorders>
              <w:bottom w:val="single" w:sz="8" w:color="3E3935"/>
            </w:tcBorders>
          </w:tcPr>
          <w:p>
            <w:pPr>
              <w:ind w:left="400"/>
              <w:spacing w:after="0" w:line="250" w:lineRule="exact"/>
              <w:rPr>
                <w:sz w:val="20"/>
                <w:szCs w:val="20"/>
                <w:color w:val="auto"/>
              </w:rPr>
            </w:pPr>
            <w:r>
              <w:rPr>
                <w:rFonts w:ascii="Arial" w:cs="Arial" w:eastAsia="Arial" w:hAnsi="Arial"/>
                <w:sz w:val="19"/>
                <w:szCs w:val="19"/>
                <w:color w:val="3E3935"/>
              </w:rPr>
              <w:t>Average equity</w:t>
            </w:r>
            <w:r>
              <w:rPr>
                <w:rFonts w:ascii="Arial" w:cs="Arial" w:eastAsia="Arial" w:hAnsi="Arial"/>
                <w:sz w:val="28"/>
                <w:szCs w:val="28"/>
                <w:color w:val="3E3935"/>
                <w:vertAlign w:val="superscript"/>
              </w:rPr>
              <w:t>(2)</w:t>
            </w:r>
          </w:p>
        </w:tc>
        <w:tc>
          <w:tcPr>
            <w:tcW w:w="2160" w:type="dxa"/>
            <w:vAlign w:val="bottom"/>
            <w:tcBorders>
              <w:bottom w:val="single" w:sz="8" w:color="3E3935"/>
            </w:tcBorders>
          </w:tcPr>
          <w:p>
            <w:pPr>
              <w:jc w:val="right"/>
              <w:ind w:right="161"/>
              <w:spacing w:after="0"/>
              <w:rPr>
                <w:sz w:val="20"/>
                <w:szCs w:val="20"/>
                <w:color w:val="auto"/>
              </w:rPr>
            </w:pPr>
            <w:r>
              <w:rPr>
                <w:rFonts w:ascii="Arial" w:cs="Arial" w:eastAsia="Arial" w:hAnsi="Arial"/>
                <w:sz w:val="20"/>
                <w:szCs w:val="20"/>
                <w:color w:val="3E3935"/>
              </w:rPr>
              <w:t>66.6</w:t>
            </w:r>
          </w:p>
        </w:tc>
      </w:tr>
      <w:tr>
        <w:trPr>
          <w:trHeight w:val="250"/>
        </w:trPr>
        <w:tc>
          <w:tcPr>
            <w:tcW w:w="8860" w:type="dxa"/>
            <w:vAlign w:val="bottom"/>
            <w:tcBorders>
              <w:bottom w:val="single" w:sz="8" w:color="3E3935"/>
            </w:tcBorders>
          </w:tcPr>
          <w:p>
            <w:pPr>
              <w:ind w:left="400"/>
              <w:spacing w:after="0"/>
              <w:rPr>
                <w:sz w:val="20"/>
                <w:szCs w:val="20"/>
                <w:color w:val="auto"/>
              </w:rPr>
            </w:pPr>
            <w:r>
              <w:rPr>
                <w:rFonts w:ascii="Arial" w:cs="Arial" w:eastAsia="Arial" w:hAnsi="Arial"/>
                <w:sz w:val="20"/>
                <w:szCs w:val="20"/>
                <w:color w:val="3E3935"/>
              </w:rPr>
              <w:t>Add: Average automotive debt and interest liabilities (excluding finance leases)</w:t>
            </w:r>
          </w:p>
        </w:tc>
        <w:tc>
          <w:tcPr>
            <w:tcW w:w="2160" w:type="dxa"/>
            <w:vAlign w:val="bottom"/>
            <w:tcBorders>
              <w:bottom w:val="single" w:sz="8" w:color="3E3935"/>
            </w:tcBorders>
          </w:tcPr>
          <w:p>
            <w:pPr>
              <w:jc w:val="right"/>
              <w:ind w:right="161"/>
              <w:spacing w:after="0"/>
              <w:rPr>
                <w:sz w:val="20"/>
                <w:szCs w:val="20"/>
                <w:color w:val="auto"/>
              </w:rPr>
            </w:pPr>
            <w:r>
              <w:rPr>
                <w:rFonts w:ascii="Arial" w:cs="Arial" w:eastAsia="Arial" w:hAnsi="Arial"/>
                <w:sz w:val="20"/>
                <w:szCs w:val="20"/>
                <w:color w:val="3E3935"/>
              </w:rPr>
              <w:t>17.6</w:t>
            </w:r>
          </w:p>
        </w:tc>
      </w:tr>
      <w:tr>
        <w:trPr>
          <w:trHeight w:val="250"/>
        </w:trPr>
        <w:tc>
          <w:tcPr>
            <w:tcW w:w="8860" w:type="dxa"/>
            <w:vAlign w:val="bottom"/>
            <w:tcBorders>
              <w:bottom w:val="single" w:sz="8" w:color="3E3935"/>
            </w:tcBorders>
          </w:tcPr>
          <w:p>
            <w:pPr>
              <w:ind w:left="400"/>
              <w:spacing w:after="0"/>
              <w:rPr>
                <w:sz w:val="20"/>
                <w:szCs w:val="20"/>
                <w:color w:val="auto"/>
              </w:rPr>
            </w:pPr>
            <w:r>
              <w:rPr>
                <w:rFonts w:ascii="Arial" w:cs="Arial" w:eastAsia="Arial" w:hAnsi="Arial"/>
                <w:sz w:val="20"/>
                <w:szCs w:val="20"/>
                <w:color w:val="3E3935"/>
              </w:rPr>
              <w:t>Add: Average automotive net pension and other post-retirement benefits liabilities</w:t>
            </w:r>
          </w:p>
        </w:tc>
        <w:tc>
          <w:tcPr>
            <w:tcW w:w="2160" w:type="dxa"/>
            <w:vAlign w:val="bottom"/>
            <w:tcBorders>
              <w:bottom w:val="single" w:sz="8" w:color="3E3935"/>
            </w:tcBorders>
          </w:tcPr>
          <w:p>
            <w:pPr>
              <w:jc w:val="right"/>
              <w:ind w:right="161"/>
              <w:spacing w:after="0"/>
              <w:rPr>
                <w:sz w:val="20"/>
                <w:szCs w:val="20"/>
                <w:color w:val="auto"/>
              </w:rPr>
            </w:pPr>
            <w:r>
              <w:rPr>
                <w:rFonts w:ascii="Arial" w:cs="Arial" w:eastAsia="Arial" w:hAnsi="Arial"/>
                <w:sz w:val="20"/>
                <w:szCs w:val="20"/>
                <w:color w:val="3E3935"/>
              </w:rPr>
              <w:t>9.4</w:t>
            </w:r>
          </w:p>
        </w:tc>
      </w:tr>
      <w:tr>
        <w:trPr>
          <w:trHeight w:val="250"/>
        </w:trPr>
        <w:tc>
          <w:tcPr>
            <w:tcW w:w="8860" w:type="dxa"/>
            <w:vAlign w:val="bottom"/>
            <w:tcBorders>
              <w:bottom w:val="single" w:sz="8" w:color="3E3935"/>
            </w:tcBorders>
          </w:tcPr>
          <w:p>
            <w:pPr>
              <w:ind w:left="400"/>
              <w:spacing w:after="0"/>
              <w:rPr>
                <w:sz w:val="20"/>
                <w:szCs w:val="20"/>
                <w:color w:val="auto"/>
              </w:rPr>
            </w:pPr>
            <w:r>
              <w:rPr>
                <w:rFonts w:ascii="Arial" w:cs="Arial" w:eastAsia="Arial" w:hAnsi="Arial"/>
                <w:sz w:val="20"/>
                <w:szCs w:val="20"/>
                <w:color w:val="3E3935"/>
              </w:rPr>
              <w:t>Less: Average automotive net income tax asset</w:t>
            </w:r>
          </w:p>
        </w:tc>
        <w:tc>
          <w:tcPr>
            <w:tcW w:w="2160" w:type="dxa"/>
            <w:vAlign w:val="bottom"/>
            <w:tcBorders>
              <w:bottom w:val="single" w:sz="8" w:color="3E3935"/>
            </w:tcBorders>
          </w:tcPr>
          <w:p>
            <w:pPr>
              <w:jc w:val="right"/>
              <w:ind w:right="81"/>
              <w:spacing w:after="0"/>
              <w:rPr>
                <w:sz w:val="20"/>
                <w:szCs w:val="20"/>
                <w:color w:val="auto"/>
              </w:rPr>
            </w:pPr>
            <w:r>
              <w:rPr>
                <w:rFonts w:ascii="Arial" w:cs="Arial" w:eastAsia="Arial" w:hAnsi="Arial"/>
                <w:sz w:val="20"/>
                <w:szCs w:val="20"/>
                <w:color w:val="3E3935"/>
              </w:rPr>
              <w:t>(21.2)</w:t>
            </w:r>
          </w:p>
        </w:tc>
      </w:tr>
      <w:tr>
        <w:trPr>
          <w:trHeight w:val="250"/>
        </w:trPr>
        <w:tc>
          <w:tcPr>
            <w:tcW w:w="8860" w:type="dxa"/>
            <w:vAlign w:val="bottom"/>
            <w:tcBorders>
              <w:bottom w:val="single" w:sz="8" w:color="3E3935"/>
            </w:tcBorders>
          </w:tcPr>
          <w:p>
            <w:pPr>
              <w:ind w:left="60"/>
              <w:spacing w:after="0"/>
              <w:rPr>
                <w:sz w:val="20"/>
                <w:szCs w:val="20"/>
                <w:color w:val="auto"/>
              </w:rPr>
            </w:pPr>
            <w:r>
              <w:rPr>
                <w:rFonts w:ascii="Arial" w:cs="Arial" w:eastAsia="Arial" w:hAnsi="Arial"/>
                <w:sz w:val="20"/>
                <w:szCs w:val="20"/>
                <w:b w:val="1"/>
                <w:bCs w:val="1"/>
                <w:color w:val="3E3935"/>
              </w:rPr>
              <w:t>ROIC-adjusted average net assets</w:t>
            </w:r>
          </w:p>
        </w:tc>
        <w:tc>
          <w:tcPr>
            <w:tcW w:w="2160" w:type="dxa"/>
            <w:vAlign w:val="bottom"/>
            <w:tcBorders>
              <w:bottom w:val="single" w:sz="8" w:color="3E3935"/>
            </w:tcBorders>
          </w:tcPr>
          <w:p>
            <w:pPr>
              <w:jc w:val="right"/>
              <w:ind w:right="161"/>
              <w:spacing w:after="0"/>
              <w:rPr>
                <w:sz w:val="20"/>
                <w:szCs w:val="20"/>
                <w:color w:val="auto"/>
              </w:rPr>
            </w:pPr>
            <w:r>
              <w:rPr>
                <w:rFonts w:ascii="Arial" w:cs="Arial" w:eastAsia="Arial" w:hAnsi="Arial"/>
                <w:sz w:val="20"/>
                <w:szCs w:val="20"/>
                <w:b w:val="1"/>
                <w:bCs w:val="1"/>
                <w:color w:val="3E3935"/>
              </w:rPr>
              <w:t>72.3</w:t>
            </w:r>
          </w:p>
        </w:tc>
      </w:tr>
      <w:tr>
        <w:trPr>
          <w:trHeight w:val="250"/>
        </w:trPr>
        <w:tc>
          <w:tcPr>
            <w:tcW w:w="8860" w:type="dxa"/>
            <w:vAlign w:val="bottom"/>
            <w:tcBorders>
              <w:bottom w:val="single" w:sz="8" w:color="3E3935"/>
            </w:tcBorders>
          </w:tcPr>
          <w:p>
            <w:pPr>
              <w:ind w:left="60"/>
              <w:spacing w:after="0"/>
              <w:rPr>
                <w:sz w:val="20"/>
                <w:szCs w:val="20"/>
                <w:color w:val="auto"/>
              </w:rPr>
            </w:pPr>
            <w:r>
              <w:rPr>
                <w:rFonts w:ascii="Arial" w:cs="Arial" w:eastAsia="Arial" w:hAnsi="Arial"/>
                <w:sz w:val="20"/>
                <w:szCs w:val="20"/>
                <w:b w:val="1"/>
                <w:bCs w:val="1"/>
                <w:color w:val="00C1DE"/>
              </w:rPr>
              <w:t>ROIC-adjusted</w:t>
            </w:r>
          </w:p>
        </w:tc>
        <w:tc>
          <w:tcPr>
            <w:tcW w:w="2160" w:type="dxa"/>
            <w:vAlign w:val="bottom"/>
            <w:tcBorders>
              <w:bottom w:val="single" w:sz="8" w:color="3E3935"/>
            </w:tcBorders>
          </w:tcPr>
          <w:p>
            <w:pPr>
              <w:jc w:val="right"/>
              <w:spacing w:after="0"/>
              <w:rPr>
                <w:sz w:val="20"/>
                <w:szCs w:val="20"/>
                <w:color w:val="auto"/>
              </w:rPr>
            </w:pPr>
            <w:r>
              <w:rPr>
                <w:rFonts w:ascii="Arial" w:cs="Arial" w:eastAsia="Arial" w:hAnsi="Arial"/>
                <w:sz w:val="20"/>
                <w:szCs w:val="20"/>
                <w:b w:val="1"/>
                <w:bCs w:val="1"/>
                <w:color w:val="00C1DE"/>
              </w:rPr>
              <w:t>20.0%</w:t>
            </w:r>
          </w:p>
        </w:tc>
      </w:tr>
    </w:tbl>
    <w:p>
      <w:pPr>
        <w:spacing w:after="0" w:line="51" w:lineRule="exact"/>
        <w:rPr>
          <w:sz w:val="20"/>
          <w:szCs w:val="20"/>
          <w:color w:val="auto"/>
        </w:rPr>
      </w:pPr>
    </w:p>
    <w:p>
      <w:pPr>
        <w:ind w:left="540" w:hanging="424"/>
        <w:spacing w:after="0"/>
        <w:tabs>
          <w:tab w:leader="none" w:pos="540" w:val="left"/>
        </w:tabs>
        <w:numPr>
          <w:ilvl w:val="0"/>
          <w:numId w:val="173"/>
        </w:numPr>
        <w:rPr>
          <w:rFonts w:ascii="Arial" w:cs="Arial" w:eastAsia="Arial" w:hAnsi="Arial"/>
          <w:sz w:val="18"/>
          <w:szCs w:val="18"/>
          <w:i w:val="1"/>
          <w:iCs w:val="1"/>
          <w:color w:val="3E3935"/>
        </w:rPr>
      </w:pPr>
      <w:r>
        <w:rPr>
          <w:rFonts w:ascii="Arial" w:cs="Arial" w:eastAsia="Arial" w:hAnsi="Arial"/>
          <w:sz w:val="18"/>
          <w:szCs w:val="18"/>
          <w:i w:val="1"/>
          <w:iCs w:val="1"/>
          <w:color w:val="3E3935"/>
        </w:rPr>
        <w:t>Refer to the reconciliation of Net Income Attributable to Stockholders under GAAP to EBIT-adjusted above for adjustment details.</w:t>
      </w:r>
    </w:p>
    <w:p>
      <w:pPr>
        <w:spacing w:after="0" w:line="63" w:lineRule="exact"/>
        <w:rPr>
          <w:rFonts w:ascii="Arial" w:cs="Arial" w:eastAsia="Arial" w:hAnsi="Arial"/>
          <w:sz w:val="18"/>
          <w:szCs w:val="18"/>
          <w:i w:val="1"/>
          <w:iCs w:val="1"/>
          <w:color w:val="3E3935"/>
        </w:rPr>
      </w:pPr>
    </w:p>
    <w:p>
      <w:pPr>
        <w:ind w:left="540" w:hanging="424"/>
        <w:spacing w:after="0"/>
        <w:tabs>
          <w:tab w:leader="none" w:pos="540" w:val="left"/>
        </w:tabs>
        <w:numPr>
          <w:ilvl w:val="0"/>
          <w:numId w:val="173"/>
        </w:numPr>
        <w:rPr>
          <w:rFonts w:ascii="Arial" w:cs="Arial" w:eastAsia="Arial" w:hAnsi="Arial"/>
          <w:sz w:val="18"/>
          <w:szCs w:val="18"/>
          <w:i w:val="1"/>
          <w:iCs w:val="1"/>
          <w:color w:val="3E3935"/>
        </w:rPr>
      </w:pPr>
      <w:r>
        <w:rPr>
          <w:rFonts w:ascii="Arial" w:cs="Arial" w:eastAsia="Arial" w:hAnsi="Arial"/>
          <w:sz w:val="18"/>
          <w:szCs w:val="18"/>
          <w:i w:val="1"/>
          <w:iCs w:val="1"/>
          <w:color w:val="3E3935"/>
        </w:rPr>
        <w:t>Includes equity of noncontrolling interests where the corresponding earnings (loss) are included in EBIT-adjusted.</w:t>
      </w:r>
    </w:p>
    <w:p>
      <w:pPr>
        <w:spacing w:after="0" w:line="273" w:lineRule="exact"/>
        <w:rPr>
          <w:sz w:val="20"/>
          <w:szCs w:val="20"/>
          <w:color w:val="auto"/>
        </w:rPr>
      </w:pPr>
    </w:p>
    <w:p>
      <w:pPr>
        <w:ind w:left="10600"/>
        <w:spacing w:after="0"/>
        <w:rPr>
          <w:sz w:val="20"/>
          <w:szCs w:val="20"/>
          <w:color w:val="auto"/>
        </w:rPr>
      </w:pPr>
      <w:r>
        <w:rPr>
          <w:rFonts w:ascii="Arial" w:cs="Arial" w:eastAsia="Arial" w:hAnsi="Arial"/>
          <w:sz w:val="14"/>
          <w:szCs w:val="14"/>
          <w:color w:val="0071CE"/>
        </w:rPr>
        <w:t>A-2</w:t>
      </w:r>
    </w:p>
    <w:p>
      <w:pPr>
        <w:sectPr>
          <w:pgSz w:w="11900" w:h="16838" w:orient="portrait"/>
          <w:cols w:equalWidth="0" w:num="1">
            <w:col w:w="11140"/>
          </w:cols>
          <w:pgMar w:left="320" w:top="482" w:right="43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29"/>
          <w:szCs w:val="29"/>
          <w:color w:val="3E3935"/>
        </w:rPr>
        <w:t>Adjusted Automotive Free Cash Flow</w:t>
      </w:r>
    </w:p>
    <w:p>
      <w:pPr>
        <w:spacing w:after="0" w:line="217" w:lineRule="exact"/>
        <w:rPr>
          <w:sz w:val="20"/>
          <w:szCs w:val="20"/>
          <w:color w:val="auto"/>
        </w:rPr>
      </w:pPr>
    </w:p>
    <w:p>
      <w:pPr>
        <w:jc w:val="both"/>
        <w:ind w:left="120"/>
        <w:spacing w:after="0" w:line="234" w:lineRule="auto"/>
        <w:rPr>
          <w:sz w:val="20"/>
          <w:szCs w:val="20"/>
          <w:color w:val="auto"/>
        </w:rPr>
      </w:pPr>
      <w:r>
        <w:rPr>
          <w:rFonts w:ascii="Arial" w:cs="Arial" w:eastAsia="Arial" w:hAnsi="Arial"/>
          <w:sz w:val="20"/>
          <w:szCs w:val="20"/>
          <w:color w:val="3E3935"/>
        </w:rPr>
        <w:t>In the section titled “Compensation Discussion and Analysis,” we present one of our incentive compensation measures, adjusted automotive free cash flow, which is not prepared in accordance with GAAP. Below is a reconciliation of adjusted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both"/>
        <w:spacing w:after="0" w:line="237" w:lineRule="auto"/>
        <w:rPr>
          <w:sz w:val="20"/>
          <w:szCs w:val="20"/>
          <w:color w:val="auto"/>
        </w:rPr>
      </w:pPr>
      <w:r>
        <w:rPr>
          <w:rFonts w:ascii="Arial" w:cs="Arial" w:eastAsia="Arial" w:hAnsi="Arial"/>
          <w:sz w:val="20"/>
          <w:szCs w:val="20"/>
          <w:color w:val="3E3935"/>
        </w:rPr>
        <w:t>automotive free cash flow (as calculated for incentive compensation purposes) to Net Automotive Cash Provided by Operating Activities, its nearest GAAP measure. The numbers in the table below may not sum due to rounding.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-3651885</wp:posOffset>
            </wp:positionH>
            <wp:positionV relativeFrom="paragraph">
              <wp:posOffset>-1462405</wp:posOffset>
            </wp:positionV>
            <wp:extent cx="7174865" cy="5524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7174865" cy="55245"/>
                    </a:xfrm>
                    <a:prstGeom prst="rect">
                      <a:avLst/>
                    </a:prstGeom>
                    <a:noFill/>
                  </pic:spPr>
                </pic:pic>
              </a:graphicData>
            </a:graphic>
          </wp:anchor>
        </w:drawing>
        <w:drawing>
          <wp:anchor simplePos="0" relativeHeight="251657728" behindDoc="1" locked="0" layoutInCell="0" allowOverlap="1">
            <wp:simplePos x="0" y="0"/>
            <wp:positionH relativeFrom="column">
              <wp:posOffset>-3570605</wp:posOffset>
            </wp:positionH>
            <wp:positionV relativeFrom="paragraph">
              <wp:posOffset>371475</wp:posOffset>
            </wp:positionV>
            <wp:extent cx="6995160" cy="8890"/>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412" w:lineRule="exact"/>
        <w:rPr>
          <w:sz w:val="20"/>
          <w:szCs w:val="20"/>
          <w:color w:val="auto"/>
        </w:rPr>
      </w:pPr>
    </w:p>
    <w:p>
      <w:pPr>
        <w:sectPr>
          <w:pgSz w:w="11900" w:h="16838" w:orient="portrait"/>
          <w:cols w:equalWidth="0" w:num="2">
            <w:col w:w="5400" w:space="340"/>
            <w:col w:w="5400"/>
          </w:cols>
          <w:pgMar w:left="320" w:top="482" w:right="439" w:bottom="1440" w:gutter="0" w:footer="0" w:header="0"/>
        </w:sectPr>
      </w:pPr>
    </w:p>
    <w:p>
      <w:pPr>
        <w:spacing w:after="0" w:line="189" w:lineRule="exact"/>
        <w:rPr>
          <w:sz w:val="20"/>
          <w:szCs w:val="20"/>
          <w:color w:val="auto"/>
        </w:rPr>
      </w:pPr>
    </w:p>
    <w:tbl>
      <w:tblPr>
        <w:tblLayout w:type="fixed"/>
        <w:tblInd w:w="120" w:type="dxa"/>
        <w:tblCellMar>
          <w:top w:w="0" w:type="dxa"/>
          <w:left w:w="0" w:type="dxa"/>
          <w:bottom w:w="0" w:type="dxa"/>
          <w:right w:w="0" w:type="dxa"/>
        </w:tblCellMar>
      </w:tblPr>
      <w:tr>
        <w:trPr>
          <w:trHeight w:val="267"/>
        </w:trPr>
        <w:tc>
          <w:tcPr>
            <w:tcW w:w="8480" w:type="dxa"/>
            <w:vAlign w:val="bottom"/>
            <w:tcBorders>
              <w:bottom w:val="single" w:sz="8" w:color="00C1DE"/>
            </w:tcBorders>
          </w:tcPr>
          <w:p>
            <w:pPr>
              <w:spacing w:after="0"/>
              <w:rPr>
                <w:sz w:val="20"/>
                <w:szCs w:val="20"/>
                <w:color w:val="auto"/>
              </w:rPr>
            </w:pPr>
            <w:r>
              <w:rPr>
                <w:rFonts w:ascii="Arial" w:cs="Arial" w:eastAsia="Arial" w:hAnsi="Arial"/>
                <w:sz w:val="20"/>
                <w:szCs w:val="20"/>
                <w:b w:val="1"/>
                <w:bCs w:val="1"/>
                <w:color w:val="00C1DE"/>
              </w:rPr>
              <w:t>($B)</w:t>
            </w:r>
          </w:p>
        </w:tc>
        <w:tc>
          <w:tcPr>
            <w:tcW w:w="2540" w:type="dxa"/>
            <w:vAlign w:val="bottom"/>
            <w:tcBorders>
              <w:bottom w:val="single" w:sz="8" w:color="00C1DE"/>
            </w:tcBorders>
          </w:tcPr>
          <w:p>
            <w:pPr>
              <w:jc w:val="right"/>
              <w:ind w:right="121"/>
              <w:spacing w:after="0"/>
              <w:rPr>
                <w:sz w:val="20"/>
                <w:szCs w:val="20"/>
                <w:color w:val="auto"/>
              </w:rPr>
            </w:pPr>
            <w:r>
              <w:rPr>
                <w:rFonts w:ascii="Arial" w:cs="Arial" w:eastAsia="Arial" w:hAnsi="Arial"/>
                <w:sz w:val="20"/>
                <w:szCs w:val="20"/>
                <w:b w:val="1"/>
                <w:bCs w:val="1"/>
                <w:color w:val="00C1DE"/>
              </w:rPr>
              <w:t>2022</w:t>
            </w:r>
          </w:p>
        </w:tc>
      </w:tr>
      <w:tr>
        <w:trPr>
          <w:trHeight w:val="250"/>
        </w:trPr>
        <w:tc>
          <w:tcPr>
            <w:tcW w:w="8480" w:type="dxa"/>
            <w:vAlign w:val="bottom"/>
            <w:tcBorders>
              <w:bottom w:val="single" w:sz="8" w:color="3E3935"/>
            </w:tcBorders>
          </w:tcPr>
          <w:p>
            <w:pPr>
              <w:ind w:left="60"/>
              <w:spacing w:after="0"/>
              <w:rPr>
                <w:sz w:val="20"/>
                <w:szCs w:val="20"/>
                <w:color w:val="auto"/>
              </w:rPr>
            </w:pPr>
            <w:r>
              <w:rPr>
                <w:rFonts w:ascii="Arial" w:cs="Arial" w:eastAsia="Arial" w:hAnsi="Arial"/>
                <w:sz w:val="20"/>
                <w:szCs w:val="20"/>
                <w:b w:val="1"/>
                <w:bCs w:val="1"/>
                <w:color w:val="3E3935"/>
              </w:rPr>
              <w:t>Net Automotive Cash Provided by Operating Activities</w:t>
            </w:r>
          </w:p>
        </w:tc>
        <w:tc>
          <w:tcPr>
            <w:tcW w:w="2540" w:type="dxa"/>
            <w:vAlign w:val="bottom"/>
            <w:tcBorders>
              <w:bottom w:val="single" w:sz="8" w:color="3E3935"/>
            </w:tcBorders>
          </w:tcPr>
          <w:p>
            <w:pPr>
              <w:jc w:val="right"/>
              <w:ind w:right="121"/>
              <w:spacing w:after="0"/>
              <w:rPr>
                <w:sz w:val="20"/>
                <w:szCs w:val="20"/>
                <w:color w:val="auto"/>
              </w:rPr>
            </w:pPr>
            <w:r>
              <w:rPr>
                <w:rFonts w:ascii="Arial" w:cs="Arial" w:eastAsia="Arial" w:hAnsi="Arial"/>
                <w:sz w:val="20"/>
                <w:szCs w:val="20"/>
                <w:b w:val="1"/>
                <w:bCs w:val="1"/>
                <w:color w:val="3E3935"/>
              </w:rPr>
              <w:t>$19.1</w:t>
            </w:r>
          </w:p>
        </w:tc>
      </w:tr>
      <w:tr>
        <w:trPr>
          <w:trHeight w:val="250"/>
        </w:trPr>
        <w:tc>
          <w:tcPr>
            <w:tcW w:w="8480" w:type="dxa"/>
            <w:vAlign w:val="bottom"/>
            <w:tcBorders>
              <w:bottom w:val="single" w:sz="8" w:color="3E3935"/>
            </w:tcBorders>
          </w:tcPr>
          <w:p>
            <w:pPr>
              <w:ind w:left="60"/>
              <w:spacing w:after="0"/>
              <w:rPr>
                <w:sz w:val="20"/>
                <w:szCs w:val="20"/>
                <w:color w:val="auto"/>
              </w:rPr>
            </w:pPr>
            <w:r>
              <w:rPr>
                <w:rFonts w:ascii="Arial" w:cs="Arial" w:eastAsia="Arial" w:hAnsi="Arial"/>
                <w:sz w:val="20"/>
                <w:szCs w:val="20"/>
                <w:color w:val="3E3935"/>
              </w:rPr>
              <w:t>Less: Capital expenditures</w:t>
            </w:r>
          </w:p>
        </w:tc>
        <w:tc>
          <w:tcPr>
            <w:tcW w:w="2540" w:type="dxa"/>
            <w:vAlign w:val="bottom"/>
            <w:tcBorders>
              <w:bottom w:val="single" w:sz="8" w:color="3E3935"/>
            </w:tcBorders>
          </w:tcPr>
          <w:p>
            <w:pPr>
              <w:jc w:val="right"/>
              <w:ind w:right="61"/>
              <w:spacing w:after="0"/>
              <w:rPr>
                <w:sz w:val="20"/>
                <w:szCs w:val="20"/>
                <w:color w:val="auto"/>
              </w:rPr>
            </w:pPr>
            <w:r>
              <w:rPr>
                <w:rFonts w:ascii="Arial" w:cs="Arial" w:eastAsia="Arial" w:hAnsi="Arial"/>
                <w:sz w:val="20"/>
                <w:szCs w:val="20"/>
                <w:color w:val="3E3935"/>
              </w:rPr>
              <w:t>(9.0)</w:t>
            </w:r>
          </w:p>
        </w:tc>
      </w:tr>
      <w:tr>
        <w:trPr>
          <w:trHeight w:val="250"/>
        </w:trPr>
        <w:tc>
          <w:tcPr>
            <w:tcW w:w="8480" w:type="dxa"/>
            <w:vAlign w:val="bottom"/>
            <w:tcBorders>
              <w:bottom w:val="single" w:sz="8" w:color="3E3935"/>
            </w:tcBorders>
          </w:tcPr>
          <w:p>
            <w:pPr>
              <w:ind w:left="60"/>
              <w:spacing w:after="0"/>
              <w:rPr>
                <w:sz w:val="20"/>
                <w:szCs w:val="20"/>
                <w:color w:val="auto"/>
              </w:rPr>
            </w:pPr>
            <w:r>
              <w:rPr>
                <w:rFonts w:ascii="Arial" w:cs="Arial" w:eastAsia="Arial" w:hAnsi="Arial"/>
                <w:sz w:val="20"/>
                <w:szCs w:val="20"/>
                <w:color w:val="3E3935"/>
              </w:rPr>
              <w:t>Adjustments:</w:t>
            </w:r>
          </w:p>
        </w:tc>
        <w:tc>
          <w:tcPr>
            <w:tcW w:w="2540" w:type="dxa"/>
            <w:vAlign w:val="bottom"/>
            <w:tcBorders>
              <w:bottom w:val="single" w:sz="8" w:color="3E3935"/>
            </w:tcBorders>
          </w:tcPr>
          <w:p>
            <w:pPr>
              <w:spacing w:after="0"/>
              <w:rPr>
                <w:sz w:val="21"/>
                <w:szCs w:val="21"/>
                <w:color w:val="auto"/>
              </w:rPr>
            </w:pPr>
          </w:p>
        </w:tc>
      </w:tr>
      <w:tr>
        <w:trPr>
          <w:trHeight w:val="250"/>
        </w:trPr>
        <w:tc>
          <w:tcPr>
            <w:tcW w:w="8480" w:type="dxa"/>
            <w:vAlign w:val="bottom"/>
            <w:tcBorders>
              <w:bottom w:val="single" w:sz="8" w:color="3E3935"/>
            </w:tcBorders>
          </w:tcPr>
          <w:p>
            <w:pPr>
              <w:ind w:left="400"/>
              <w:spacing w:after="0"/>
              <w:rPr>
                <w:sz w:val="20"/>
                <w:szCs w:val="20"/>
                <w:color w:val="auto"/>
              </w:rPr>
            </w:pPr>
            <w:r>
              <w:rPr>
                <w:rFonts w:ascii="Arial" w:cs="Arial" w:eastAsia="Arial" w:hAnsi="Arial"/>
                <w:sz w:val="20"/>
                <w:szCs w:val="20"/>
                <w:color w:val="3E3935"/>
              </w:rPr>
              <w:t>Add: Patent royalty matters</w:t>
            </w:r>
          </w:p>
        </w:tc>
        <w:tc>
          <w:tcPr>
            <w:tcW w:w="2540" w:type="dxa"/>
            <w:vAlign w:val="bottom"/>
            <w:tcBorders>
              <w:bottom w:val="single" w:sz="8" w:color="3E3935"/>
            </w:tcBorders>
          </w:tcPr>
          <w:p>
            <w:pPr>
              <w:jc w:val="right"/>
              <w:ind w:right="861"/>
              <w:spacing w:after="0"/>
              <w:rPr>
                <w:sz w:val="20"/>
                <w:szCs w:val="20"/>
                <w:color w:val="auto"/>
              </w:rPr>
            </w:pPr>
            <w:r>
              <w:rPr>
                <w:rFonts w:ascii="Arial" w:cs="Arial" w:eastAsia="Arial" w:hAnsi="Arial"/>
                <w:sz w:val="20"/>
                <w:szCs w:val="20"/>
                <w:color w:val="3E3935"/>
              </w:rPr>
              <w:t>0.15</w:t>
            </w:r>
          </w:p>
        </w:tc>
      </w:tr>
      <w:tr>
        <w:trPr>
          <w:trHeight w:val="250"/>
        </w:trPr>
        <w:tc>
          <w:tcPr>
            <w:tcW w:w="8480" w:type="dxa"/>
            <w:vAlign w:val="bottom"/>
            <w:tcBorders>
              <w:bottom w:val="single" w:sz="8" w:color="3E3935"/>
            </w:tcBorders>
          </w:tcPr>
          <w:p>
            <w:pPr>
              <w:ind w:left="400"/>
              <w:spacing w:after="0"/>
              <w:rPr>
                <w:sz w:val="20"/>
                <w:szCs w:val="20"/>
                <w:color w:val="auto"/>
              </w:rPr>
            </w:pPr>
            <w:r>
              <w:rPr>
                <w:rFonts w:ascii="Arial" w:cs="Arial" w:eastAsia="Arial" w:hAnsi="Arial"/>
                <w:sz w:val="20"/>
                <w:szCs w:val="20"/>
                <w:color w:val="3E3935"/>
              </w:rPr>
              <w:t>Add: Buick dealer strategy</w:t>
            </w:r>
          </w:p>
        </w:tc>
        <w:tc>
          <w:tcPr>
            <w:tcW w:w="2540" w:type="dxa"/>
            <w:vAlign w:val="bottom"/>
            <w:tcBorders>
              <w:bottom w:val="single" w:sz="8" w:color="3E3935"/>
            </w:tcBorders>
          </w:tcPr>
          <w:p>
            <w:pPr>
              <w:jc w:val="right"/>
              <w:ind w:right="861"/>
              <w:spacing w:after="0"/>
              <w:rPr>
                <w:sz w:val="20"/>
                <w:szCs w:val="20"/>
                <w:color w:val="auto"/>
              </w:rPr>
            </w:pPr>
            <w:r>
              <w:rPr>
                <w:rFonts w:ascii="Arial" w:cs="Arial" w:eastAsia="Arial" w:hAnsi="Arial"/>
                <w:sz w:val="20"/>
                <w:szCs w:val="20"/>
                <w:color w:val="3E3935"/>
              </w:rPr>
              <w:t>0.12</w:t>
            </w:r>
          </w:p>
        </w:tc>
      </w:tr>
      <w:tr>
        <w:trPr>
          <w:trHeight w:val="250"/>
        </w:trPr>
        <w:tc>
          <w:tcPr>
            <w:tcW w:w="8480" w:type="dxa"/>
            <w:vAlign w:val="bottom"/>
            <w:tcBorders>
              <w:bottom w:val="single" w:sz="8" w:color="3E3935"/>
            </w:tcBorders>
          </w:tcPr>
          <w:p>
            <w:pPr>
              <w:ind w:left="400"/>
              <w:spacing w:after="0"/>
              <w:rPr>
                <w:sz w:val="20"/>
                <w:szCs w:val="20"/>
                <w:color w:val="auto"/>
              </w:rPr>
            </w:pPr>
            <w:r>
              <w:rPr>
                <w:rFonts w:ascii="Arial" w:cs="Arial" w:eastAsia="Arial" w:hAnsi="Arial"/>
                <w:sz w:val="20"/>
                <w:szCs w:val="20"/>
                <w:color w:val="3E3935"/>
              </w:rPr>
              <w:t>Add: GM Brazil indirect tax matters</w:t>
            </w:r>
          </w:p>
        </w:tc>
        <w:tc>
          <w:tcPr>
            <w:tcW w:w="2540" w:type="dxa"/>
            <w:vAlign w:val="bottom"/>
            <w:tcBorders>
              <w:bottom w:val="single" w:sz="8" w:color="3E3935"/>
            </w:tcBorders>
          </w:tcPr>
          <w:p>
            <w:pPr>
              <w:jc w:val="right"/>
              <w:ind w:right="861"/>
              <w:spacing w:after="0"/>
              <w:rPr>
                <w:sz w:val="20"/>
                <w:szCs w:val="20"/>
                <w:color w:val="auto"/>
              </w:rPr>
            </w:pPr>
            <w:r>
              <w:rPr>
                <w:rFonts w:ascii="Arial" w:cs="Arial" w:eastAsia="Arial" w:hAnsi="Arial"/>
                <w:sz w:val="20"/>
                <w:szCs w:val="20"/>
                <w:color w:val="3E3935"/>
              </w:rPr>
              <w:t>0.06</w:t>
            </w:r>
          </w:p>
        </w:tc>
      </w:tr>
      <w:tr>
        <w:trPr>
          <w:trHeight w:val="250"/>
        </w:trPr>
        <w:tc>
          <w:tcPr>
            <w:tcW w:w="8480" w:type="dxa"/>
            <w:vAlign w:val="bottom"/>
            <w:tcBorders>
              <w:bottom w:val="single" w:sz="8" w:color="3E3935"/>
            </w:tcBorders>
          </w:tcPr>
          <w:p>
            <w:pPr>
              <w:ind w:left="400"/>
              <w:spacing w:after="0"/>
              <w:rPr>
                <w:sz w:val="20"/>
                <w:szCs w:val="20"/>
                <w:color w:val="auto"/>
              </w:rPr>
            </w:pPr>
            <w:r>
              <w:rPr>
                <w:rFonts w:ascii="Arial" w:cs="Arial" w:eastAsia="Arial" w:hAnsi="Arial"/>
                <w:sz w:val="20"/>
                <w:szCs w:val="20"/>
                <w:color w:val="3E3935"/>
              </w:rPr>
              <w:t>Add: Russia exit</w:t>
            </w:r>
          </w:p>
        </w:tc>
        <w:tc>
          <w:tcPr>
            <w:tcW w:w="2540" w:type="dxa"/>
            <w:vAlign w:val="bottom"/>
            <w:tcBorders>
              <w:bottom w:val="single" w:sz="8" w:color="3E3935"/>
            </w:tcBorders>
          </w:tcPr>
          <w:p>
            <w:pPr>
              <w:jc w:val="right"/>
              <w:ind w:right="861"/>
              <w:spacing w:after="0"/>
              <w:rPr>
                <w:sz w:val="20"/>
                <w:szCs w:val="20"/>
                <w:color w:val="auto"/>
              </w:rPr>
            </w:pPr>
            <w:r>
              <w:rPr>
                <w:rFonts w:ascii="Arial" w:cs="Arial" w:eastAsia="Arial" w:hAnsi="Arial"/>
                <w:sz w:val="20"/>
                <w:szCs w:val="20"/>
                <w:color w:val="3E3935"/>
              </w:rPr>
              <w:t>0.03</w:t>
            </w:r>
          </w:p>
        </w:tc>
      </w:tr>
      <w:tr>
        <w:trPr>
          <w:trHeight w:val="250"/>
        </w:trPr>
        <w:tc>
          <w:tcPr>
            <w:tcW w:w="8480" w:type="dxa"/>
            <w:vAlign w:val="bottom"/>
            <w:tcBorders>
              <w:bottom w:val="single" w:sz="8" w:color="3E3935"/>
            </w:tcBorders>
          </w:tcPr>
          <w:p>
            <w:pPr>
              <w:ind w:left="400"/>
              <w:spacing w:after="0"/>
              <w:rPr>
                <w:sz w:val="20"/>
                <w:szCs w:val="20"/>
                <w:color w:val="auto"/>
              </w:rPr>
            </w:pPr>
            <w:r>
              <w:rPr>
                <w:rFonts w:ascii="Arial" w:cs="Arial" w:eastAsia="Arial" w:hAnsi="Arial"/>
                <w:sz w:val="20"/>
                <w:szCs w:val="20"/>
                <w:color w:val="3E3935"/>
              </w:rPr>
              <w:t>Add: GM Korea wage litigation</w:t>
            </w:r>
          </w:p>
        </w:tc>
        <w:tc>
          <w:tcPr>
            <w:tcW w:w="2540" w:type="dxa"/>
            <w:vAlign w:val="bottom"/>
            <w:tcBorders>
              <w:bottom w:val="single" w:sz="8" w:color="3E3935"/>
            </w:tcBorders>
          </w:tcPr>
          <w:p>
            <w:pPr>
              <w:jc w:val="right"/>
              <w:ind w:right="861"/>
              <w:spacing w:after="0"/>
              <w:rPr>
                <w:sz w:val="20"/>
                <w:szCs w:val="20"/>
                <w:color w:val="auto"/>
              </w:rPr>
            </w:pPr>
            <w:r>
              <w:rPr>
                <w:rFonts w:ascii="Arial" w:cs="Arial" w:eastAsia="Arial" w:hAnsi="Arial"/>
                <w:sz w:val="20"/>
                <w:szCs w:val="20"/>
                <w:color w:val="3E3935"/>
              </w:rPr>
              <w:t>0.03</w:t>
            </w:r>
          </w:p>
        </w:tc>
      </w:tr>
      <w:tr>
        <w:trPr>
          <w:trHeight w:val="250"/>
        </w:trPr>
        <w:tc>
          <w:tcPr>
            <w:tcW w:w="8480" w:type="dxa"/>
            <w:vAlign w:val="bottom"/>
            <w:tcBorders>
              <w:bottom w:val="single" w:sz="8" w:color="3E3935"/>
            </w:tcBorders>
          </w:tcPr>
          <w:p>
            <w:pPr>
              <w:ind w:left="400"/>
              <w:spacing w:after="0" w:line="250" w:lineRule="exact"/>
              <w:rPr>
                <w:sz w:val="20"/>
                <w:szCs w:val="20"/>
                <w:color w:val="auto"/>
              </w:rPr>
            </w:pPr>
            <w:r>
              <w:rPr>
                <w:rFonts w:ascii="Arial" w:cs="Arial" w:eastAsia="Arial" w:hAnsi="Arial"/>
                <w:sz w:val="19"/>
                <w:szCs w:val="19"/>
                <w:color w:val="3E3935"/>
              </w:rPr>
              <w:t>Add: Incentive compensation adjustments</w:t>
            </w:r>
            <w:r>
              <w:rPr>
                <w:rFonts w:ascii="Arial" w:cs="Arial" w:eastAsia="Arial" w:hAnsi="Arial"/>
                <w:sz w:val="28"/>
                <w:szCs w:val="28"/>
                <w:color w:val="3E3935"/>
                <w:vertAlign w:val="superscript"/>
              </w:rPr>
              <w:t>(1)</w:t>
            </w:r>
          </w:p>
        </w:tc>
        <w:tc>
          <w:tcPr>
            <w:tcW w:w="2540" w:type="dxa"/>
            <w:vAlign w:val="bottom"/>
            <w:tcBorders>
              <w:bottom w:val="single" w:sz="8" w:color="3E3935"/>
            </w:tcBorders>
          </w:tcPr>
          <w:p>
            <w:pPr>
              <w:jc w:val="right"/>
              <w:ind w:right="861"/>
              <w:spacing w:after="0"/>
              <w:rPr>
                <w:sz w:val="20"/>
                <w:szCs w:val="20"/>
                <w:color w:val="auto"/>
              </w:rPr>
            </w:pPr>
            <w:r>
              <w:rPr>
                <w:rFonts w:ascii="Arial" w:cs="Arial" w:eastAsia="Arial" w:hAnsi="Arial"/>
                <w:sz w:val="20"/>
                <w:szCs w:val="20"/>
                <w:color w:val="3E3935"/>
              </w:rPr>
              <w:t>0.02</w:t>
            </w:r>
          </w:p>
        </w:tc>
      </w:tr>
      <w:tr>
        <w:trPr>
          <w:trHeight w:val="250"/>
        </w:trPr>
        <w:tc>
          <w:tcPr>
            <w:tcW w:w="8480" w:type="dxa"/>
            <w:vAlign w:val="bottom"/>
            <w:tcBorders>
              <w:bottom w:val="single" w:sz="8" w:color="3E3935"/>
            </w:tcBorders>
          </w:tcPr>
          <w:p>
            <w:pPr>
              <w:ind w:left="60"/>
              <w:spacing w:after="0"/>
              <w:rPr>
                <w:sz w:val="20"/>
                <w:szCs w:val="20"/>
                <w:color w:val="auto"/>
              </w:rPr>
            </w:pPr>
            <w:r>
              <w:rPr>
                <w:rFonts w:ascii="Arial" w:cs="Arial" w:eastAsia="Arial" w:hAnsi="Arial"/>
                <w:sz w:val="20"/>
                <w:szCs w:val="20"/>
                <w:color w:val="3E3935"/>
              </w:rPr>
              <w:t>Total adjustments</w:t>
            </w:r>
          </w:p>
        </w:tc>
        <w:tc>
          <w:tcPr>
            <w:tcW w:w="2540" w:type="dxa"/>
            <w:vAlign w:val="bottom"/>
            <w:tcBorders>
              <w:bottom w:val="single" w:sz="8" w:color="3E3935"/>
            </w:tcBorders>
          </w:tcPr>
          <w:p>
            <w:pPr>
              <w:jc w:val="right"/>
              <w:ind w:right="121"/>
              <w:spacing w:after="0"/>
              <w:rPr>
                <w:sz w:val="20"/>
                <w:szCs w:val="20"/>
                <w:color w:val="auto"/>
              </w:rPr>
            </w:pPr>
            <w:r>
              <w:rPr>
                <w:rFonts w:ascii="Arial" w:cs="Arial" w:eastAsia="Arial" w:hAnsi="Arial"/>
                <w:sz w:val="20"/>
                <w:szCs w:val="20"/>
                <w:color w:val="3E3935"/>
              </w:rPr>
              <w:t>0.4</w:t>
            </w:r>
          </w:p>
        </w:tc>
      </w:tr>
      <w:tr>
        <w:trPr>
          <w:trHeight w:val="250"/>
        </w:trPr>
        <w:tc>
          <w:tcPr>
            <w:tcW w:w="8480" w:type="dxa"/>
            <w:vAlign w:val="bottom"/>
            <w:tcBorders>
              <w:bottom w:val="single" w:sz="8" w:color="3E3935"/>
            </w:tcBorders>
          </w:tcPr>
          <w:p>
            <w:pPr>
              <w:ind w:left="60"/>
              <w:spacing w:after="0"/>
              <w:rPr>
                <w:sz w:val="20"/>
                <w:szCs w:val="20"/>
                <w:color w:val="auto"/>
              </w:rPr>
            </w:pPr>
            <w:r>
              <w:rPr>
                <w:rFonts w:ascii="Arial" w:cs="Arial" w:eastAsia="Arial" w:hAnsi="Arial"/>
                <w:sz w:val="20"/>
                <w:szCs w:val="20"/>
                <w:b w:val="1"/>
                <w:bCs w:val="1"/>
                <w:color w:val="00C1DE"/>
              </w:rPr>
              <w:t>Adjusted Automotive Free Cash Flow (for incentive compensation purposes)</w:t>
            </w:r>
          </w:p>
        </w:tc>
        <w:tc>
          <w:tcPr>
            <w:tcW w:w="2540" w:type="dxa"/>
            <w:vAlign w:val="bottom"/>
            <w:tcBorders>
              <w:bottom w:val="single" w:sz="8" w:color="3E3935"/>
            </w:tcBorders>
          </w:tcPr>
          <w:p>
            <w:pPr>
              <w:jc w:val="right"/>
              <w:ind w:right="121"/>
              <w:spacing w:after="0"/>
              <w:rPr>
                <w:sz w:val="20"/>
                <w:szCs w:val="20"/>
                <w:color w:val="auto"/>
              </w:rPr>
            </w:pPr>
            <w:r>
              <w:rPr>
                <w:rFonts w:ascii="Arial" w:cs="Arial" w:eastAsia="Arial" w:hAnsi="Arial"/>
                <w:sz w:val="20"/>
                <w:szCs w:val="20"/>
                <w:b w:val="1"/>
                <w:bCs w:val="1"/>
                <w:color w:val="00C1DE"/>
              </w:rPr>
              <w:t>$10.5</w:t>
            </w:r>
          </w:p>
        </w:tc>
      </w:tr>
    </w:tbl>
    <w:p>
      <w:pPr>
        <w:spacing w:after="0" w:line="51" w:lineRule="exact"/>
        <w:rPr>
          <w:sz w:val="20"/>
          <w:szCs w:val="20"/>
          <w:color w:val="auto"/>
        </w:rPr>
      </w:pPr>
    </w:p>
    <w:p>
      <w:pPr>
        <w:ind w:left="540" w:hanging="424"/>
        <w:spacing w:after="0"/>
        <w:tabs>
          <w:tab w:leader="none" w:pos="540" w:val="left"/>
        </w:tabs>
        <w:numPr>
          <w:ilvl w:val="0"/>
          <w:numId w:val="174"/>
        </w:numPr>
        <w:rPr>
          <w:rFonts w:ascii="Arial" w:cs="Arial" w:eastAsia="Arial" w:hAnsi="Arial"/>
          <w:sz w:val="18"/>
          <w:szCs w:val="18"/>
          <w:i w:val="1"/>
          <w:iCs w:val="1"/>
          <w:color w:val="3E3935"/>
        </w:rPr>
      </w:pPr>
      <w:r>
        <w:rPr>
          <w:rFonts w:ascii="Arial" w:cs="Arial" w:eastAsia="Arial" w:hAnsi="Arial"/>
          <w:sz w:val="18"/>
          <w:szCs w:val="18"/>
          <w:i w:val="1"/>
          <w:iCs w:val="1"/>
          <w:color w:val="3E3935"/>
        </w:rPr>
        <w:t>Reflects certain recall-related expenses attributable to events occurring in 2014.</w:t>
      </w:r>
    </w:p>
    <w:p>
      <w:pPr>
        <w:spacing w:after="0" w:line="152" w:lineRule="exact"/>
        <w:rPr>
          <w:sz w:val="20"/>
          <w:szCs w:val="20"/>
          <w:color w:val="auto"/>
        </w:rPr>
      </w:pPr>
    </w:p>
    <w:p>
      <w:pPr>
        <w:jc w:val="center"/>
        <w:ind w:right="10680"/>
        <w:spacing w:after="0"/>
        <w:rPr>
          <w:sz w:val="20"/>
          <w:szCs w:val="20"/>
          <w:color w:val="auto"/>
        </w:rPr>
      </w:pPr>
      <w:r>
        <w:rPr>
          <w:rFonts w:ascii="Arial" w:cs="Arial" w:eastAsia="Arial" w:hAnsi="Arial"/>
          <w:sz w:val="14"/>
          <w:szCs w:val="14"/>
          <w:color w:val="0071CE"/>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wp:posOffset>
            </wp:positionH>
            <wp:positionV relativeFrom="paragraph">
              <wp:posOffset>-95885</wp:posOffset>
            </wp:positionV>
            <wp:extent cx="5983605" cy="102870"/>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5983605" cy="102870"/>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type w:val="continuous"/>
        </w:sectPr>
      </w:pPr>
    </w:p>
    <w:bookmarkStart w:id="122" w:name="page123"/>
    <w:bookmarkEnd w:id="1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298" w:lineRule="exact"/>
        <w:rPr>
          <w:sz w:val="20"/>
          <w:szCs w:val="20"/>
          <w:color w:val="auto"/>
        </w:rPr>
      </w:pPr>
    </w:p>
    <w:p>
      <w:pPr>
        <w:ind w:left="120"/>
        <w:spacing w:after="0"/>
        <w:rPr>
          <w:sz w:val="20"/>
          <w:szCs w:val="20"/>
          <w:color w:val="auto"/>
        </w:rPr>
      </w:pPr>
      <w:r>
        <w:rPr>
          <w:rFonts w:ascii="Arial" w:cs="Arial" w:eastAsia="Arial" w:hAnsi="Arial"/>
          <w:sz w:val="32"/>
          <w:szCs w:val="32"/>
          <w:b w:val="1"/>
          <w:bCs w:val="1"/>
          <w:color w:val="00C1DE"/>
        </w:rPr>
        <w:t>APPENDIX B:</w:t>
      </w:r>
    </w:p>
    <w:p>
      <w:pPr>
        <w:spacing w:after="0" w:line="44" w:lineRule="exact"/>
        <w:rPr>
          <w:sz w:val="20"/>
          <w:szCs w:val="20"/>
          <w:color w:val="auto"/>
        </w:rPr>
      </w:pPr>
    </w:p>
    <w:p>
      <w:pPr>
        <w:ind w:left="120" w:right="1000"/>
        <w:spacing w:after="0" w:line="273" w:lineRule="auto"/>
        <w:rPr>
          <w:sz w:val="20"/>
          <w:szCs w:val="20"/>
          <w:color w:val="auto"/>
        </w:rPr>
      </w:pPr>
      <w:r>
        <w:rPr>
          <w:rFonts w:ascii="Arial" w:cs="Arial" w:eastAsia="Arial" w:hAnsi="Arial"/>
          <w:sz w:val="32"/>
          <w:szCs w:val="32"/>
          <w:b w:val="1"/>
          <w:bCs w:val="1"/>
          <w:color w:val="0071CE"/>
        </w:rPr>
        <w:t>AMENDMENT NO. 1 TO THE GENERAL MOTORS COMPANY 2020 LONG-TERM INCENTIVE PLAN</w:t>
      </w:r>
    </w:p>
    <w:p>
      <w:pPr>
        <w:spacing w:after="0" w:line="1" w:lineRule="exact"/>
        <w:rPr>
          <w:sz w:val="20"/>
          <w:szCs w:val="20"/>
          <w:color w:val="auto"/>
        </w:rPr>
      </w:pPr>
    </w:p>
    <w:p>
      <w:pPr>
        <w:jc w:val="both"/>
        <w:ind w:left="120" w:right="20"/>
        <w:spacing w:after="0" w:line="237" w:lineRule="auto"/>
        <w:rPr>
          <w:sz w:val="20"/>
          <w:szCs w:val="20"/>
          <w:color w:val="auto"/>
        </w:rPr>
      </w:pPr>
      <w:r>
        <w:rPr>
          <w:rFonts w:ascii="Arial" w:cs="Arial" w:eastAsia="Arial" w:hAnsi="Arial"/>
          <w:sz w:val="20"/>
          <w:szCs w:val="20"/>
          <w:color w:val="3E3935"/>
        </w:rPr>
        <w:t>This Amendment No. 1 (the “Amendment”) to the General Motors Company 2020 Long-Term Incentive Plan (the “Plan”) is adopted by the Board of Directors (”Board”) of General Motors Company, a Delaware corporation (the “Company”) on April 20, 2023. This Amendment will become effective on June 21, 2023, following approval by the Company’s shareholders at the Company’s 2023 Annual Meeting of Shareholders.</w:t>
      </w:r>
    </w:p>
    <w:p>
      <w:pPr>
        <w:spacing w:after="0" w:line="172" w:lineRule="exact"/>
        <w:rPr>
          <w:sz w:val="20"/>
          <w:szCs w:val="20"/>
          <w:color w:val="auto"/>
        </w:rPr>
      </w:pPr>
    </w:p>
    <w:p>
      <w:pPr>
        <w:ind w:left="120"/>
        <w:spacing w:after="0"/>
        <w:rPr>
          <w:sz w:val="20"/>
          <w:szCs w:val="20"/>
          <w:color w:val="auto"/>
        </w:rPr>
      </w:pPr>
      <w:r>
        <w:rPr>
          <w:rFonts w:ascii="Arial" w:cs="Arial" w:eastAsia="Arial" w:hAnsi="Arial"/>
          <w:sz w:val="20"/>
          <w:szCs w:val="20"/>
          <w:color w:val="3E3935"/>
        </w:rPr>
        <w:t>WHEREAS, the Plan was adopted, upon receipt of approval by the Company’s shareholders, effective as of June 17, 2020.</w:t>
      </w:r>
    </w:p>
    <w:p>
      <w:pPr>
        <w:spacing w:after="0" w:line="202" w:lineRule="exact"/>
        <w:rPr>
          <w:sz w:val="20"/>
          <w:szCs w:val="20"/>
          <w:color w:val="auto"/>
        </w:rPr>
      </w:pPr>
    </w:p>
    <w:p>
      <w:pPr>
        <w:jc w:val="both"/>
        <w:ind w:left="120" w:right="20"/>
        <w:spacing w:after="0" w:line="257" w:lineRule="auto"/>
        <w:rPr>
          <w:sz w:val="20"/>
          <w:szCs w:val="20"/>
          <w:color w:val="auto"/>
        </w:rPr>
      </w:pPr>
      <w:r>
        <w:rPr>
          <w:rFonts w:ascii="Arial" w:cs="Arial" w:eastAsia="Arial" w:hAnsi="Arial"/>
          <w:sz w:val="20"/>
          <w:szCs w:val="20"/>
          <w:color w:val="3E3935"/>
        </w:rPr>
        <w:t>WHEREAS, the Board desires to amend the Plan, subject to approval of the Company’s shareholders, to increase the number of shares of Company common stock available for issuance thereunder; and</w:t>
      </w:r>
    </w:p>
    <w:p>
      <w:pPr>
        <w:spacing w:after="0" w:line="155" w:lineRule="exact"/>
        <w:rPr>
          <w:sz w:val="20"/>
          <w:szCs w:val="20"/>
          <w:color w:val="auto"/>
        </w:rPr>
      </w:pPr>
    </w:p>
    <w:p>
      <w:pPr>
        <w:jc w:val="both"/>
        <w:ind w:left="120"/>
        <w:spacing w:after="0" w:line="257" w:lineRule="auto"/>
        <w:rPr>
          <w:sz w:val="20"/>
          <w:szCs w:val="20"/>
          <w:color w:val="auto"/>
        </w:rPr>
      </w:pPr>
      <w:r>
        <w:rPr>
          <w:rFonts w:ascii="Arial" w:cs="Arial" w:eastAsia="Arial" w:hAnsi="Arial"/>
          <w:sz w:val="20"/>
          <w:szCs w:val="20"/>
          <w:color w:val="3E3935"/>
        </w:rPr>
        <w:t>WHEREAS, if the Company’s shareholders fail to approve this Amendment, the existing Plan shall continue in full force and effect.</w:t>
      </w:r>
    </w:p>
    <w:p>
      <w:pPr>
        <w:spacing w:after="0" w:line="155" w:lineRule="exact"/>
        <w:rPr>
          <w:sz w:val="20"/>
          <w:szCs w:val="20"/>
          <w:color w:val="auto"/>
        </w:rPr>
      </w:pPr>
    </w:p>
    <w:p>
      <w:pPr>
        <w:ind w:left="120"/>
        <w:spacing w:after="0"/>
        <w:rPr>
          <w:sz w:val="20"/>
          <w:szCs w:val="20"/>
          <w:color w:val="auto"/>
        </w:rPr>
      </w:pPr>
      <w:r>
        <w:rPr>
          <w:rFonts w:ascii="Arial" w:cs="Arial" w:eastAsia="Arial" w:hAnsi="Arial"/>
          <w:sz w:val="20"/>
          <w:szCs w:val="20"/>
          <w:color w:val="3E3935"/>
        </w:rPr>
        <w:t>NOW, THEREFORE, the Plan is hereby amended as follows:</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20"/>
          <w:szCs w:val="20"/>
          <w:color w:val="3E3935"/>
        </w:rPr>
        <w:t>1. Section 5(a) of the Plan is hereby deleted and replaced in its entirety with the following:</w:t>
      </w:r>
    </w:p>
    <w:p>
      <w:pPr>
        <w:spacing w:after="0" w:line="202" w:lineRule="exact"/>
        <w:rPr>
          <w:sz w:val="20"/>
          <w:szCs w:val="20"/>
          <w:color w:val="auto"/>
        </w:rPr>
      </w:pPr>
    </w:p>
    <w:p>
      <w:pPr>
        <w:jc w:val="both"/>
        <w:ind w:left="120"/>
        <w:spacing w:after="0" w:line="247" w:lineRule="auto"/>
        <w:rPr>
          <w:sz w:val="20"/>
          <w:szCs w:val="20"/>
          <w:color w:val="auto"/>
        </w:rPr>
      </w:pPr>
      <w:r>
        <w:rPr>
          <w:rFonts w:ascii="Arial" w:cs="Arial" w:eastAsia="Arial" w:hAnsi="Arial"/>
          <w:sz w:val="19"/>
          <w:szCs w:val="19"/>
          <w:color w:val="3E3935"/>
        </w:rPr>
        <w:t>“(a) Subject to adjustment as provided in Section 5(c), the maximum aggregate number of Shares available for issuance under the Plan shall not exceed the sum of (i) 50,000,000 Shares, as approved by shareholders effective June 17, 2020, and</w:t>
      </w:r>
    </w:p>
    <w:p>
      <w:pPr>
        <w:jc w:val="both"/>
        <w:ind w:left="120" w:hanging="4"/>
        <w:spacing w:after="0" w:line="232" w:lineRule="auto"/>
        <w:tabs>
          <w:tab w:leader="none" w:pos="404" w:val="left"/>
        </w:tabs>
        <w:numPr>
          <w:ilvl w:val="0"/>
          <w:numId w:val="175"/>
        </w:numPr>
        <w:rPr>
          <w:rFonts w:ascii="Arial" w:cs="Arial" w:eastAsia="Arial" w:hAnsi="Arial"/>
          <w:sz w:val="20"/>
          <w:szCs w:val="20"/>
          <w:color w:val="3E3935"/>
        </w:rPr>
      </w:pPr>
      <w:r>
        <w:rPr>
          <w:rFonts w:ascii="Arial" w:cs="Arial" w:eastAsia="Arial" w:hAnsi="Arial"/>
          <w:sz w:val="20"/>
          <w:szCs w:val="20"/>
          <w:color w:val="3E3935"/>
        </w:rPr>
        <w:t>27,000,000 Shares, as approved by shareholders effective June 21, 2023, with each Share subject to (or deliverable with respect to) an Option, SAR, RSU or any other Award reducing the number of Shares available for issuance under the Plan by one Share. The maximum number of Shares available for issuance under Incentive Stock Options shall not exceed the sum of (i) and (ii) above.”</w:t>
      </w:r>
    </w:p>
    <w:p>
      <w:pPr>
        <w:spacing w:after="0" w:line="172" w:lineRule="exact"/>
        <w:rPr>
          <w:rFonts w:ascii="Arial" w:cs="Arial" w:eastAsia="Arial" w:hAnsi="Arial"/>
          <w:sz w:val="20"/>
          <w:szCs w:val="20"/>
          <w:color w:val="3E3935"/>
        </w:rPr>
      </w:pPr>
    </w:p>
    <w:p>
      <w:pPr>
        <w:ind w:left="880" w:hanging="213"/>
        <w:spacing w:after="0"/>
        <w:tabs>
          <w:tab w:leader="none" w:pos="880" w:val="left"/>
        </w:tabs>
        <w:numPr>
          <w:ilvl w:val="1"/>
          <w:numId w:val="175"/>
        </w:numPr>
        <w:rPr>
          <w:rFonts w:ascii="Arial" w:cs="Arial" w:eastAsia="Arial" w:hAnsi="Arial"/>
          <w:sz w:val="20"/>
          <w:szCs w:val="20"/>
          <w:color w:val="3E3935"/>
        </w:rPr>
      </w:pPr>
      <w:r>
        <w:rPr>
          <w:rFonts w:ascii="Arial" w:cs="Arial" w:eastAsia="Arial" w:hAnsi="Arial"/>
          <w:sz w:val="20"/>
          <w:szCs w:val="20"/>
          <w:color w:val="3E3935"/>
        </w:rPr>
        <w:t>The first sentence of Section 18 of the Plan is hereby deleted and replaced in its entirety with the following:</w:t>
      </w:r>
    </w:p>
    <w:p>
      <w:pPr>
        <w:spacing w:after="0" w:line="202" w:lineRule="exact"/>
        <w:rPr>
          <w:sz w:val="20"/>
          <w:szCs w:val="20"/>
          <w:color w:val="auto"/>
        </w:rPr>
      </w:pPr>
    </w:p>
    <w:p>
      <w:pPr>
        <w:jc w:val="both"/>
        <w:ind w:left="120" w:right="20"/>
        <w:spacing w:after="0" w:line="241" w:lineRule="auto"/>
        <w:rPr>
          <w:sz w:val="20"/>
          <w:szCs w:val="20"/>
          <w:color w:val="auto"/>
        </w:rPr>
      </w:pPr>
      <w:r>
        <w:rPr>
          <w:rFonts w:ascii="Arial" w:cs="Arial" w:eastAsia="Arial" w:hAnsi="Arial"/>
          <w:sz w:val="20"/>
          <w:szCs w:val="20"/>
          <w:color w:val="3E3935"/>
        </w:rPr>
        <w:t>“</w:t>
      </w:r>
      <w:r>
        <w:rPr>
          <w:rFonts w:ascii="Arial" w:cs="Arial" w:eastAsia="Arial" w:hAnsi="Arial"/>
          <w:sz w:val="20"/>
          <w:szCs w:val="20"/>
          <w:i w:val="1"/>
          <w:iCs w:val="1"/>
          <w:color w:val="3E3935"/>
        </w:rPr>
        <w:t>Term of the Plan</w:t>
      </w:r>
      <w:r>
        <w:rPr>
          <w:rFonts w:ascii="Arial" w:cs="Arial" w:eastAsia="Arial" w:hAnsi="Arial"/>
          <w:sz w:val="20"/>
          <w:szCs w:val="20"/>
          <w:color w:val="3E3935"/>
        </w:rPr>
        <w:t>. No Award shall be granted under the Plan after the earliest to occur of (a) June 21, 2033, (b) the maximum aggregate number of Shares available for issuance under the Plan have been issued, or (c) the Board terminates the Plan in accordance with Section 15(a).”</w:t>
      </w:r>
    </w:p>
    <w:p>
      <w:pPr>
        <w:spacing w:after="0" w:line="171" w:lineRule="exact"/>
        <w:rPr>
          <w:sz w:val="20"/>
          <w:szCs w:val="20"/>
          <w:color w:val="auto"/>
        </w:rPr>
      </w:pPr>
    </w:p>
    <w:p>
      <w:pPr>
        <w:ind w:left="120" w:right="20" w:firstLine="547"/>
        <w:spacing w:after="0" w:line="257" w:lineRule="auto"/>
        <w:tabs>
          <w:tab w:leader="none" w:pos="900" w:val="left"/>
        </w:tabs>
        <w:numPr>
          <w:ilvl w:val="0"/>
          <w:numId w:val="176"/>
        </w:numPr>
        <w:rPr>
          <w:rFonts w:ascii="Arial" w:cs="Arial" w:eastAsia="Arial" w:hAnsi="Arial"/>
          <w:sz w:val="20"/>
          <w:szCs w:val="20"/>
          <w:color w:val="3E3935"/>
        </w:rPr>
      </w:pPr>
      <w:r>
        <w:rPr>
          <w:rFonts w:ascii="Arial" w:cs="Arial" w:eastAsia="Arial" w:hAnsi="Arial"/>
          <w:sz w:val="20"/>
          <w:szCs w:val="20"/>
          <w:color w:val="3E3935"/>
        </w:rPr>
        <w:t>Except as expressly set forth in this Amendment, all other terms and conditions of the Plan shall remain in full force and effect.</w:t>
      </w:r>
    </w:p>
    <w:p>
      <w:pPr>
        <w:spacing w:after="0" w:line="100" w:lineRule="exact"/>
        <w:rPr>
          <w:sz w:val="20"/>
          <w:szCs w:val="20"/>
          <w:color w:val="auto"/>
        </w:rPr>
      </w:pPr>
    </w:p>
    <w:p>
      <w:pPr>
        <w:ind w:left="10600"/>
        <w:spacing w:after="0"/>
        <w:rPr>
          <w:sz w:val="20"/>
          <w:szCs w:val="20"/>
          <w:color w:val="auto"/>
        </w:rPr>
      </w:pPr>
      <w:r>
        <w:rPr>
          <w:rFonts w:ascii="Arial" w:cs="Arial" w:eastAsia="Arial" w:hAnsi="Arial"/>
          <w:sz w:val="14"/>
          <w:szCs w:val="14"/>
          <w:color w:val="0071CE"/>
        </w:rPr>
        <w:t>B-1</w:t>
      </w:r>
    </w:p>
    <w:p>
      <w:pPr>
        <w:sectPr>
          <w:pgSz w:w="11900" w:h="16838" w:orient="portrait"/>
          <w:cols w:equalWidth="0" w:num="1">
            <w:col w:w="11140"/>
          </w:cols>
          <w:pgMar w:left="320" w:top="482" w:right="439" w:bottom="1440" w:gutter="0" w:footer="0" w:header="0"/>
        </w:sectPr>
      </w:pPr>
    </w:p>
    <w:bookmarkStart w:id="123" w:name="page124"/>
    <w:bookmarkEnd w:id="12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wp:posOffset>
            </wp:positionH>
            <wp:positionV relativeFrom="paragraph">
              <wp:posOffset>215265</wp:posOffset>
            </wp:positionV>
            <wp:extent cx="6497955" cy="8229600"/>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6497955" cy="8229600"/>
                    </a:xfrm>
                    <a:prstGeom prst="rect">
                      <a:avLst/>
                    </a:prstGeom>
                    <a:noFill/>
                  </pic:spPr>
                </pic:pic>
              </a:graphicData>
            </a:graphic>
          </wp:anchor>
        </w:drawing>
      </w:r>
    </w:p>
    <w:p>
      <w:pPr>
        <w:sectPr>
          <w:pgSz w:w="11900" w:h="16838" w:orient="portrait"/>
          <w:cols w:equalWidth="0" w:num="1">
            <w:col w:w="10139"/>
          </w:cols>
          <w:pgMar w:left="320" w:top="482" w:right="1440" w:bottom="1440" w:gutter="0" w:footer="0" w:header="0"/>
        </w:sectPr>
      </w:pPr>
    </w:p>
    <w:bookmarkStart w:id="124" w:name="page125"/>
    <w:bookmarkEnd w:id="12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215265</wp:posOffset>
            </wp:positionV>
            <wp:extent cx="6317615" cy="8229600"/>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6317615" cy="8229600"/>
                    </a:xfrm>
                    <a:prstGeom prst="rect">
                      <a:avLst/>
                    </a:prstGeom>
                    <a:noFill/>
                  </pic:spPr>
                </pic:pic>
              </a:graphicData>
            </a:graphic>
          </wp:anchor>
        </w:drawing>
      </w:r>
    </w:p>
    <w:p>
      <w:pPr>
        <w:sectPr>
          <w:pgSz w:w="11900" w:h="16838" w:orient="portrait"/>
          <w:cols w:equalWidth="0" w:num="1">
            <w:col w:w="10139"/>
          </w:cols>
          <w:pgMar w:left="320" w:top="482" w:right="1440" w:bottom="1440" w:gutter="0" w:footer="0" w:header="0"/>
        </w:sectPr>
      </w:pPr>
    </w:p>
    <w:bookmarkStart w:id="125" w:name="page126"/>
    <w:bookmarkEnd w:id="12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390525</wp:posOffset>
            </wp:positionH>
            <wp:positionV relativeFrom="paragraph">
              <wp:posOffset>215265</wp:posOffset>
            </wp:positionV>
            <wp:extent cx="6360795" cy="822960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6360795" cy="8229600"/>
                    </a:xfrm>
                    <a:prstGeom prst="rect">
                      <a:avLst/>
                    </a:prstGeom>
                    <a:noFill/>
                  </pic:spPr>
                </pic:pic>
              </a:graphicData>
            </a:graphic>
          </wp:anchor>
        </w:drawing>
      </w:r>
    </w:p>
    <w:p>
      <w:pPr>
        <w:sectPr>
          <w:pgSz w:w="11900" w:h="16838" w:orient="portrait"/>
          <w:cols w:equalWidth="0" w:num="1">
            <w:col w:w="10139"/>
          </w:cols>
          <w:pgMar w:left="320" w:top="482" w:right="1440" w:bottom="1440" w:gutter="0" w:footer="0" w:header="0"/>
        </w:sectPr>
      </w:pPr>
    </w:p>
    <w:bookmarkStart w:id="126" w:name="page127"/>
    <w:bookmarkEnd w:id="12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390525</wp:posOffset>
            </wp:positionH>
            <wp:positionV relativeFrom="paragraph">
              <wp:posOffset>215265</wp:posOffset>
            </wp:positionV>
            <wp:extent cx="6360795" cy="8229600"/>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6360795" cy="8229600"/>
                    </a:xfrm>
                    <a:prstGeom prst="rect">
                      <a:avLst/>
                    </a:prstGeom>
                    <a:noFill/>
                  </pic:spPr>
                </pic:pic>
              </a:graphicData>
            </a:graphic>
          </wp:anchor>
        </w:drawing>
      </w:r>
    </w:p>
    <w:sectPr>
      <w:pgSz w:w="11900" w:h="16838" w:orient="portrait"/>
      <w:cols w:equalWidth="0" w:num="1">
        <w:col w:w="10139"/>
      </w:cols>
      <w:pgMar w:left="320" w:top="48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4E17E33"/>
    <w:multiLevelType w:val="hybridMultilevel"/>
    <w:lvl w:ilvl="0">
      <w:lvlJc w:val="left"/>
      <w:lvlText w:val="☐"/>
      <w:numFmt w:val="bullet"/>
      <w:start w:val="1"/>
    </w:lvl>
  </w:abstractNum>
  <w:abstractNum w:abstractNumId="1">
    <w:nsid w:val="3222E7CD"/>
    <w:multiLevelType w:val="hybridMultilevel"/>
    <w:lvl w:ilvl="0">
      <w:lvlJc w:val="left"/>
      <w:lvlText w:val="☑"/>
      <w:numFmt w:val="bullet"/>
      <w:start w:val="1"/>
    </w:lvl>
  </w:abstractNum>
  <w:abstractNum w:abstractNumId="2">
    <w:nsid w:val="74DE0EE3"/>
    <w:multiLevelType w:val="hybridMultilevel"/>
    <w:lvl w:ilvl="0">
      <w:lvlJc w:val="left"/>
      <w:lvlText w:val="☐"/>
      <w:numFmt w:val="bullet"/>
      <w:start w:val="1"/>
    </w:lvl>
  </w:abstractNum>
  <w:abstractNum w:abstractNumId="3">
    <w:nsid w:val="68EBC550"/>
    <w:multiLevelType w:val="hybridMultilevel"/>
    <w:lvl w:ilvl="0">
      <w:lvlJc w:val="left"/>
      <w:lvlText w:val="☑"/>
      <w:numFmt w:val="bullet"/>
      <w:start w:val="1"/>
    </w:lvl>
  </w:abstractNum>
  <w:abstractNum w:abstractNumId="4">
    <w:nsid w:val="2DF6D648"/>
    <w:multiLevelType w:val="hybridMultilevel"/>
    <w:lvl w:ilvl="0">
      <w:lvlJc w:val="left"/>
      <w:lvlText w:val="☐"/>
      <w:numFmt w:val="bullet"/>
      <w:start w:val="1"/>
    </w:lvl>
  </w:abstractNum>
  <w:abstractNum w:abstractNumId="5">
    <w:nsid w:val="46B7D447"/>
    <w:multiLevelType w:val="hybridMultilevel"/>
    <w:lvl w:ilvl="0">
      <w:lvlJc w:val="left"/>
      <w:lvlText w:val="•"/>
      <w:numFmt w:val="bullet"/>
      <w:start w:val="1"/>
    </w:lvl>
  </w:abstractNum>
  <w:abstractNum w:abstractNumId="6">
    <w:nsid w:val="4A2AC315"/>
    <w:multiLevelType w:val="hybridMultilevel"/>
    <w:lvl w:ilvl="0">
      <w:lvlJc w:val="left"/>
      <w:lvlText w:val="u"/>
      <w:numFmt w:val="bullet"/>
      <w:start w:val="1"/>
    </w:lvl>
  </w:abstractNum>
  <w:abstractNum w:abstractNumId="7">
    <w:nsid w:val="39EE015C"/>
    <w:multiLevelType w:val="hybridMultilevel"/>
    <w:lvl w:ilvl="0">
      <w:lvlJc w:val="left"/>
      <w:lvlText w:val="u"/>
      <w:numFmt w:val="bullet"/>
      <w:start w:val="1"/>
    </w:lvl>
  </w:abstractNum>
  <w:abstractNum w:abstractNumId="8">
    <w:nsid w:val="57FC4FBB"/>
    <w:multiLevelType w:val="hybridMultilevel"/>
    <w:lvl w:ilvl="0">
      <w:lvlJc w:val="left"/>
      <w:lvlText w:val="(%1)"/>
      <w:numFmt w:val="decimal"/>
      <w:start w:val="1"/>
    </w:lvl>
  </w:abstractNum>
  <w:abstractNum w:abstractNumId="9">
    <w:nsid w:val="CC1016F"/>
    <w:multiLevelType w:val="hybridMultilevel"/>
    <w:lvl w:ilvl="0">
      <w:lvlJc w:val="left"/>
      <w:lvlText w:val="u"/>
      <w:numFmt w:val="bullet"/>
      <w:start w:val="1"/>
    </w:lvl>
  </w:abstractNum>
  <w:abstractNum w:abstractNumId="10">
    <w:nsid w:val="43F18422"/>
    <w:multiLevelType w:val="hybridMultilevel"/>
    <w:lvl w:ilvl="0">
      <w:lvlJc w:val="left"/>
      <w:lvlText w:val="u"/>
      <w:numFmt w:val="bullet"/>
      <w:start w:val="1"/>
    </w:lvl>
  </w:abstractNum>
  <w:abstractNum w:abstractNumId="11">
    <w:nsid w:val="60EF0119"/>
    <w:multiLevelType w:val="hybridMultilevel"/>
    <w:lvl w:ilvl="0">
      <w:lvlJc w:val="left"/>
      <w:lvlText w:val="u"/>
      <w:numFmt w:val="bullet"/>
      <w:start w:val="1"/>
    </w:lvl>
    <w:lvl w:ilvl="1">
      <w:lvlJc w:val="left"/>
      <w:lvlText w:val="•"/>
      <w:numFmt w:val="bullet"/>
      <w:start w:val="1"/>
    </w:lvl>
  </w:abstractNum>
  <w:abstractNum w:abstractNumId="12">
    <w:nsid w:val="26F324BA"/>
    <w:multiLevelType w:val="hybridMultilevel"/>
    <w:lvl w:ilvl="0">
      <w:lvlJc w:val="left"/>
      <w:lvlText w:val="u"/>
      <w:numFmt w:val="bullet"/>
      <w:start w:val="1"/>
    </w:lvl>
    <w:lvl w:ilvl="1">
      <w:lvlJc w:val="left"/>
      <w:lvlText w:val="•"/>
      <w:numFmt w:val="bullet"/>
      <w:start w:val="1"/>
    </w:lvl>
  </w:abstractNum>
  <w:abstractNum w:abstractNumId="13">
    <w:nsid w:val="7F01579B"/>
    <w:multiLevelType w:val="hybridMultilevel"/>
    <w:lvl w:ilvl="0">
      <w:lvlJc w:val="left"/>
      <w:lvlText w:val="u"/>
      <w:numFmt w:val="bullet"/>
      <w:start w:val="1"/>
    </w:lvl>
  </w:abstractNum>
  <w:abstractNum w:abstractNumId="14">
    <w:nsid w:val="49DA307D"/>
    <w:multiLevelType w:val="hybridMultilevel"/>
    <w:lvl w:ilvl="0">
      <w:lvlJc w:val="left"/>
      <w:lvlText w:val="u"/>
      <w:numFmt w:val="bullet"/>
      <w:start w:val="1"/>
    </w:lvl>
  </w:abstractNum>
  <w:abstractNum w:abstractNumId="15">
    <w:nsid w:val="7055A5F5"/>
    <w:multiLevelType w:val="hybridMultilevel"/>
    <w:lvl w:ilvl="0">
      <w:lvlJc w:val="left"/>
      <w:lvlText w:val="u"/>
      <w:numFmt w:val="bullet"/>
      <w:start w:val="1"/>
    </w:lvl>
  </w:abstractNum>
  <w:abstractNum w:abstractNumId="16">
    <w:nsid w:val="5FB8370B"/>
    <w:multiLevelType w:val="hybridMultilevel"/>
    <w:lvl w:ilvl="0">
      <w:lvlJc w:val="left"/>
      <w:lvlText w:val="u"/>
      <w:numFmt w:val="bullet"/>
      <w:start w:val="1"/>
    </w:lvl>
  </w:abstractNum>
  <w:abstractNum w:abstractNumId="17">
    <w:nsid w:val="50801EE1"/>
    <w:multiLevelType w:val="hybridMultilevel"/>
    <w:lvl w:ilvl="0">
      <w:lvlJc w:val="left"/>
      <w:lvlText w:val="u"/>
      <w:numFmt w:val="bullet"/>
      <w:start w:val="1"/>
    </w:lvl>
  </w:abstractNum>
  <w:abstractNum w:abstractNumId="18">
    <w:nsid w:val="488AC1A"/>
    <w:multiLevelType w:val="hybridMultilevel"/>
    <w:lvl w:ilvl="0">
      <w:lvlJc w:val="left"/>
      <w:lvlText w:val="\endash "/>
      <w:numFmt w:val="bullet"/>
      <w:start w:val="1"/>
    </w:lvl>
  </w:abstractNum>
  <w:abstractNum w:abstractNumId="19">
    <w:nsid w:val="5FB8011C"/>
    <w:multiLevelType w:val="hybridMultilevel"/>
    <w:lvl w:ilvl="0">
      <w:lvlJc w:val="left"/>
      <w:lvlText w:val="u"/>
      <w:numFmt w:val="bullet"/>
      <w:start w:val="1"/>
    </w:lvl>
  </w:abstractNum>
  <w:abstractNum w:abstractNumId="20">
    <w:nsid w:val="6AA78F7F"/>
    <w:multiLevelType w:val="hybridMultilevel"/>
    <w:lvl w:ilvl="0">
      <w:lvlJc w:val="left"/>
      <w:lvlText w:val="u"/>
      <w:numFmt w:val="bullet"/>
      <w:start w:val="1"/>
    </w:lvl>
  </w:abstractNum>
  <w:abstractNum w:abstractNumId="21">
    <w:nsid w:val="7672BD23"/>
    <w:multiLevelType w:val="hybridMultilevel"/>
    <w:lvl w:ilvl="0">
      <w:lvlJc w:val="left"/>
      <w:lvlText w:val="u"/>
      <w:numFmt w:val="bullet"/>
      <w:start w:val="1"/>
    </w:lvl>
  </w:abstractNum>
  <w:abstractNum w:abstractNumId="22">
    <w:nsid w:val="6FC75AF8"/>
    <w:multiLevelType w:val="hybridMultilevel"/>
    <w:lvl w:ilvl="0">
      <w:lvlJc w:val="left"/>
      <w:lvlText w:val="u"/>
      <w:numFmt w:val="bullet"/>
      <w:start w:val="1"/>
    </w:lvl>
  </w:abstractNum>
  <w:abstractNum w:abstractNumId="23">
    <w:nsid w:val="6A5F7029"/>
    <w:multiLevelType w:val="hybridMultilevel"/>
    <w:lvl w:ilvl="0">
      <w:lvlJc w:val="left"/>
      <w:lvlText w:val="u"/>
      <w:numFmt w:val="bullet"/>
      <w:start w:val="1"/>
    </w:lvl>
  </w:abstractNum>
  <w:abstractNum w:abstractNumId="24">
    <w:nsid w:val="7D5E18F8"/>
    <w:multiLevelType w:val="hybridMultilevel"/>
    <w:lvl w:ilvl="0">
      <w:lvlJc w:val="left"/>
      <w:lvlText w:val="u"/>
      <w:numFmt w:val="bullet"/>
      <w:start w:val="1"/>
    </w:lvl>
  </w:abstractNum>
  <w:abstractNum w:abstractNumId="25">
    <w:nsid w:val="5F3534A4"/>
    <w:multiLevelType w:val="hybridMultilevel"/>
    <w:lvl w:ilvl="0">
      <w:lvlJc w:val="left"/>
      <w:lvlText w:val="u"/>
      <w:numFmt w:val="bullet"/>
      <w:start w:val="1"/>
    </w:lvl>
  </w:abstractNum>
  <w:abstractNum w:abstractNumId="26">
    <w:nsid w:val="73A1821B"/>
    <w:multiLevelType w:val="hybridMultilevel"/>
    <w:lvl w:ilvl="0">
      <w:lvlJc w:val="left"/>
      <w:lvlText w:val="u"/>
      <w:numFmt w:val="bullet"/>
      <w:start w:val="1"/>
    </w:lvl>
  </w:abstractNum>
  <w:abstractNum w:abstractNumId="27">
    <w:nsid w:val="7DE67713"/>
    <w:multiLevelType w:val="hybridMultilevel"/>
    <w:lvl w:ilvl="0">
      <w:lvlJc w:val="left"/>
      <w:lvlText w:val="u"/>
      <w:numFmt w:val="bullet"/>
      <w:start w:val="1"/>
    </w:lvl>
  </w:abstractNum>
  <w:abstractNum w:abstractNumId="28">
    <w:nsid w:val="555C55B5"/>
    <w:multiLevelType w:val="hybridMultilevel"/>
    <w:lvl w:ilvl="0">
      <w:lvlJc w:val="left"/>
      <w:lvlText w:val="(%1)"/>
      <w:numFmt w:val="decimal"/>
      <w:start w:val="1"/>
    </w:lvl>
  </w:abstractNum>
  <w:abstractNum w:abstractNumId="29">
    <w:nsid w:val="3FA62ACA"/>
    <w:multiLevelType w:val="hybridMultilevel"/>
    <w:lvl w:ilvl="0">
      <w:lvlJc w:val="left"/>
      <w:lvlText w:val="(%1)"/>
      <w:numFmt w:val="decimal"/>
      <w:start w:val="1"/>
    </w:lvl>
  </w:abstractNum>
  <w:abstractNum w:abstractNumId="30">
    <w:nsid w:val="14FCE74E"/>
    <w:multiLevelType w:val="hybridMultilevel"/>
    <w:lvl w:ilvl="0">
      <w:lvlJc w:val="left"/>
      <w:lvlText w:val="(%1)"/>
      <w:numFmt w:val="decimal"/>
      <w:start w:val="2"/>
    </w:lvl>
  </w:abstractNum>
  <w:abstractNum w:abstractNumId="31">
    <w:nsid w:val="6A3DD3E8"/>
    <w:multiLevelType w:val="hybridMultilevel"/>
    <w:lvl w:ilvl="0">
      <w:lvlJc w:val="left"/>
      <w:lvlText w:val="%1"/>
      <w:numFmt w:val="decimal"/>
      <w:start w:val="1"/>
    </w:lvl>
    <w:lvl w:ilvl="1">
      <w:lvlJc w:val="left"/>
      <w:lvlText w:val="%2."/>
      <w:numFmt w:val="lowerLetter"/>
      <w:start w:val="1"/>
    </w:lvl>
  </w:abstractNum>
  <w:abstractNum w:abstractNumId="32">
    <w:nsid w:val="71C91298"/>
    <w:multiLevelType w:val="hybridMultilevel"/>
    <w:lvl w:ilvl="0">
      <w:lvlJc w:val="left"/>
      <w:lvlText w:val="(%1)"/>
      <w:numFmt w:val="decimal"/>
      <w:start w:val="4"/>
    </w:lvl>
    <w:lvl w:ilvl="1">
      <w:lvlJc w:val="left"/>
      <w:lvlText w:val="%2"/>
      <w:numFmt w:val="lowerLetter"/>
      <w:start w:val="1"/>
    </w:lvl>
  </w:abstractNum>
  <w:abstractNum w:abstractNumId="33">
    <w:nsid w:val="9DAF632"/>
    <w:multiLevelType w:val="hybridMultilevel"/>
    <w:lvl w:ilvl="0">
      <w:lvlJc w:val="left"/>
      <w:lvlText w:val="u"/>
      <w:numFmt w:val="bullet"/>
      <w:start w:val="1"/>
    </w:lvl>
  </w:abstractNum>
  <w:abstractNum w:abstractNumId="34">
    <w:nsid w:val="53299938"/>
    <w:multiLevelType w:val="hybridMultilevel"/>
    <w:lvl w:ilvl="0">
      <w:lvlJc w:val="left"/>
      <w:lvlText w:val="u"/>
      <w:numFmt w:val="bullet"/>
      <w:start w:val="1"/>
    </w:lvl>
  </w:abstractNum>
  <w:abstractNum w:abstractNumId="35">
    <w:nsid w:val="1FBFE8E0"/>
    <w:multiLevelType w:val="hybridMultilevel"/>
    <w:lvl w:ilvl="0">
      <w:lvlJc w:val="left"/>
      <w:lvlText w:val="u"/>
      <w:numFmt w:val="bullet"/>
      <w:start w:val="1"/>
    </w:lvl>
  </w:abstractNum>
  <w:abstractNum w:abstractNumId="36">
    <w:nsid w:val="5092CA79"/>
    <w:multiLevelType w:val="hybridMultilevel"/>
    <w:lvl w:ilvl="0">
      <w:lvlJc w:val="left"/>
      <w:lvlText w:val="u"/>
      <w:numFmt w:val="bullet"/>
      <w:start w:val="1"/>
    </w:lvl>
  </w:abstractNum>
  <w:abstractNum w:abstractNumId="37">
    <w:nsid w:val="1D545C4D"/>
    <w:multiLevelType w:val="hybridMultilevel"/>
    <w:lvl w:ilvl="0">
      <w:lvlJc w:val="left"/>
      <w:lvlText w:val="u"/>
      <w:numFmt w:val="bullet"/>
      <w:start w:val="1"/>
    </w:lvl>
  </w:abstractNum>
  <w:abstractNum w:abstractNumId="38">
    <w:nsid w:val="59ADEA3D"/>
    <w:multiLevelType w:val="hybridMultilevel"/>
    <w:lvl w:ilvl="0">
      <w:lvlJc w:val="left"/>
      <w:lvlText w:val="u"/>
      <w:numFmt w:val="bullet"/>
      <w:start w:val="1"/>
    </w:lvl>
  </w:abstractNum>
  <w:abstractNum w:abstractNumId="39">
    <w:nsid w:val="288F1A34"/>
    <w:multiLevelType w:val="hybridMultilevel"/>
    <w:lvl w:ilvl="0">
      <w:lvlJc w:val="left"/>
      <w:lvlText w:val="●"/>
      <w:numFmt w:val="bullet"/>
      <w:start w:val="1"/>
    </w:lvl>
  </w:abstractNum>
  <w:abstractNum w:abstractNumId="40">
    <w:nsid w:val="2A155DBC"/>
    <w:multiLevelType w:val="hybridMultilevel"/>
    <w:lvl w:ilvl="0">
      <w:lvlJc w:val="left"/>
      <w:lvlText w:val="●"/>
      <w:numFmt w:val="bullet"/>
      <w:start w:val="1"/>
    </w:lvl>
  </w:abstractNum>
  <w:abstractNum w:abstractNumId="41">
    <w:nsid w:val="1D9F6E5F"/>
    <w:multiLevelType w:val="hybridMultilevel"/>
    <w:lvl w:ilvl="0">
      <w:lvlJc w:val="left"/>
      <w:lvlText w:val="●"/>
      <w:numFmt w:val="bullet"/>
      <w:start w:val="1"/>
    </w:lvl>
  </w:abstractNum>
  <w:abstractNum w:abstractNumId="42">
    <w:nsid w:val="97E1B4E"/>
    <w:multiLevelType w:val="hybridMultilevel"/>
    <w:lvl w:ilvl="0">
      <w:lvlJc w:val="left"/>
      <w:lvlText w:val="●"/>
      <w:numFmt w:val="bullet"/>
      <w:start w:val="1"/>
    </w:lvl>
  </w:abstractNum>
  <w:abstractNum w:abstractNumId="43">
    <w:nsid w:val="51088277"/>
    <w:multiLevelType w:val="hybridMultilevel"/>
    <w:lvl w:ilvl="0">
      <w:lvlJc w:val="left"/>
      <w:lvlText w:val="●"/>
      <w:numFmt w:val="bullet"/>
      <w:start w:val="1"/>
    </w:lvl>
  </w:abstractNum>
  <w:abstractNum w:abstractNumId="44">
    <w:nsid w:val="1CA0C5FA"/>
    <w:multiLevelType w:val="hybridMultilevel"/>
    <w:lvl w:ilvl="0">
      <w:lvlJc w:val="left"/>
      <w:lvlText w:val="●"/>
      <w:numFmt w:val="bullet"/>
      <w:start w:val="1"/>
    </w:lvl>
  </w:abstractNum>
  <w:abstractNum w:abstractNumId="45">
    <w:nsid w:val="53584BCB"/>
    <w:multiLevelType w:val="hybridMultilevel"/>
    <w:lvl w:ilvl="0">
      <w:lvlJc w:val="left"/>
      <w:lvlText w:val="●"/>
      <w:numFmt w:val="bullet"/>
      <w:start w:val="1"/>
    </w:lvl>
  </w:abstractNum>
  <w:abstractNum w:abstractNumId="46">
    <w:nsid w:val="415E286C"/>
    <w:multiLevelType w:val="hybridMultilevel"/>
    <w:lvl w:ilvl="0">
      <w:lvlJc w:val="left"/>
      <w:lvlText w:val="u"/>
      <w:numFmt w:val="bullet"/>
      <w:start w:val="1"/>
    </w:lvl>
  </w:abstractNum>
  <w:abstractNum w:abstractNumId="47">
    <w:nsid w:val="7C58FD05"/>
    <w:multiLevelType w:val="hybridMultilevel"/>
    <w:lvl w:ilvl="0">
      <w:lvlJc w:val="left"/>
      <w:lvlText w:val="u"/>
      <w:numFmt w:val="bullet"/>
      <w:start w:val="1"/>
    </w:lvl>
  </w:abstractNum>
  <w:abstractNum w:abstractNumId="48">
    <w:nsid w:val="23D86AAC"/>
    <w:multiLevelType w:val="hybridMultilevel"/>
    <w:lvl w:ilvl="0">
      <w:lvlJc w:val="left"/>
      <w:lvlText w:val="•"/>
      <w:numFmt w:val="bullet"/>
      <w:start w:val="1"/>
    </w:lvl>
    <w:lvl w:ilvl="1">
      <w:lvlJc w:val="left"/>
      <w:lvlText w:val="(%2)"/>
      <w:numFmt w:val="lowerRoman"/>
      <w:start w:val="2"/>
    </w:lvl>
  </w:abstractNum>
  <w:abstractNum w:abstractNumId="49">
    <w:nsid w:val="45E6D486"/>
    <w:multiLevelType w:val="hybridMultilevel"/>
    <w:lvl w:ilvl="0">
      <w:lvlJc w:val="left"/>
      <w:lvlText w:val="•"/>
      <w:numFmt w:val="bullet"/>
      <w:start w:val="1"/>
    </w:lvl>
    <w:lvl w:ilvl="1">
      <w:lvlJc w:val="left"/>
      <w:lvlText w:val="(%2)"/>
      <w:numFmt w:val="lowerRoman"/>
      <w:start w:val="4"/>
    </w:lvl>
  </w:abstractNum>
  <w:abstractNum w:abstractNumId="50">
    <w:nsid w:val="5C10FE21"/>
    <w:multiLevelType w:val="hybridMultilevel"/>
    <w:lvl w:ilvl="0">
      <w:lvlJc w:val="left"/>
      <w:lvlText w:val="u"/>
      <w:numFmt w:val="bullet"/>
      <w:start w:val="1"/>
    </w:lvl>
  </w:abstractNum>
  <w:abstractNum w:abstractNumId="51">
    <w:nsid w:val="E7FFA2B"/>
    <w:multiLevelType w:val="hybridMultilevel"/>
    <w:lvl w:ilvl="0">
      <w:lvlJc w:val="left"/>
      <w:lvlText w:val="u"/>
      <w:numFmt w:val="bullet"/>
      <w:start w:val="1"/>
    </w:lvl>
  </w:abstractNum>
  <w:abstractNum w:abstractNumId="52">
    <w:nsid w:val="3C5991AA"/>
    <w:multiLevelType w:val="hybridMultilevel"/>
    <w:lvl w:ilvl="0">
      <w:lvlJc w:val="left"/>
      <w:lvlText w:val="u"/>
      <w:numFmt w:val="bullet"/>
      <w:start w:val="1"/>
    </w:lvl>
  </w:abstractNum>
  <w:abstractNum w:abstractNumId="53">
    <w:nsid w:val="4BD8591A"/>
    <w:multiLevelType w:val="hybridMultilevel"/>
    <w:lvl w:ilvl="0">
      <w:lvlJc w:val="left"/>
      <w:lvlText w:val="u"/>
      <w:numFmt w:val="bullet"/>
      <w:start w:val="1"/>
    </w:lvl>
  </w:abstractNum>
  <w:abstractNum w:abstractNumId="54">
    <w:nsid w:val="78DF6A55"/>
    <w:multiLevelType w:val="hybridMultilevel"/>
    <w:lvl w:ilvl="0">
      <w:lvlJc w:val="left"/>
      <w:lvlText w:val="u"/>
      <w:numFmt w:val="bullet"/>
      <w:start w:val="1"/>
    </w:lvl>
  </w:abstractNum>
  <w:abstractNum w:abstractNumId="55">
    <w:nsid w:val="39B7AAA2"/>
    <w:multiLevelType w:val="hybridMultilevel"/>
    <w:lvl w:ilvl="0">
      <w:lvlJc w:val="left"/>
      <w:lvlText w:val="u"/>
      <w:numFmt w:val="bullet"/>
      <w:start w:val="1"/>
    </w:lvl>
  </w:abstractNum>
  <w:abstractNum w:abstractNumId="56">
    <w:nsid w:val="2B0D8DBE"/>
    <w:multiLevelType w:val="hybridMultilevel"/>
    <w:lvl w:ilvl="0">
      <w:lvlJc w:val="left"/>
      <w:lvlText w:val="u"/>
      <w:numFmt w:val="bullet"/>
      <w:start w:val="1"/>
    </w:lvl>
  </w:abstractNum>
  <w:abstractNum w:abstractNumId="57">
    <w:nsid w:val="6C80EC70"/>
    <w:multiLevelType w:val="hybridMultilevel"/>
    <w:lvl w:ilvl="0">
      <w:lvlJc w:val="left"/>
      <w:lvlText w:val="(%1)"/>
      <w:numFmt w:val="lowerRoman"/>
      <w:start w:val="3"/>
    </w:lvl>
  </w:abstractNum>
  <w:abstractNum w:abstractNumId="58">
    <w:nsid w:val="379E21B5"/>
    <w:multiLevelType w:val="hybridMultilevel"/>
    <w:lvl w:ilvl="0">
      <w:lvlJc w:val="left"/>
      <w:lvlText w:val="u"/>
      <w:numFmt w:val="bullet"/>
      <w:start w:val="1"/>
    </w:lvl>
  </w:abstractNum>
  <w:abstractNum w:abstractNumId="59">
    <w:nsid w:val="69E373"/>
    <w:multiLevelType w:val="hybridMultilevel"/>
    <w:lvl w:ilvl="0">
      <w:lvlJc w:val="left"/>
      <w:lvlText w:val="u"/>
      <w:numFmt w:val="bullet"/>
      <w:start w:val="1"/>
    </w:lvl>
  </w:abstractNum>
  <w:abstractNum w:abstractNumId="60">
    <w:nsid w:val="2C27173B"/>
    <w:multiLevelType w:val="hybridMultilevel"/>
    <w:lvl w:ilvl="0">
      <w:lvlJc w:val="left"/>
      <w:lvlText w:val="u"/>
      <w:numFmt w:val="bullet"/>
      <w:start w:val="1"/>
    </w:lvl>
  </w:abstractNum>
  <w:abstractNum w:abstractNumId="61">
    <w:nsid w:val="4C9B0904"/>
    <w:multiLevelType w:val="hybridMultilevel"/>
    <w:lvl w:ilvl="0">
      <w:lvlJc w:val="left"/>
      <w:lvlText w:val="•"/>
      <w:numFmt w:val="bullet"/>
      <w:start w:val="1"/>
    </w:lvl>
  </w:abstractNum>
  <w:abstractNum w:abstractNumId="62">
    <w:nsid w:val="6AA7B75C"/>
    <w:multiLevelType w:val="hybridMultilevel"/>
    <w:lvl w:ilvl="0">
      <w:lvlJc w:val="left"/>
      <w:lvlText w:val="u"/>
      <w:numFmt w:val="bullet"/>
      <w:start w:val="1"/>
    </w:lvl>
  </w:abstractNum>
  <w:abstractNum w:abstractNumId="63">
    <w:nsid w:val="1DF029D3"/>
    <w:multiLevelType w:val="hybridMultilevel"/>
    <w:lvl w:ilvl="0">
      <w:lvlJc w:val="left"/>
      <w:lvlText w:val="u"/>
      <w:numFmt w:val="bullet"/>
      <w:start w:val="1"/>
    </w:lvl>
  </w:abstractNum>
  <w:abstractNum w:abstractNumId="64">
    <w:nsid w:val="5675FF36"/>
    <w:multiLevelType w:val="hybridMultilevel"/>
    <w:lvl w:ilvl="0">
      <w:lvlJc w:val="left"/>
      <w:lvlText w:val="u"/>
      <w:numFmt w:val="bullet"/>
      <w:start w:val="1"/>
    </w:lvl>
  </w:abstractNum>
  <w:abstractNum w:abstractNumId="65">
    <w:nsid w:val="3DD15094"/>
    <w:multiLevelType w:val="hybridMultilevel"/>
    <w:lvl w:ilvl="0">
      <w:lvlJc w:val="left"/>
      <w:lvlText w:val="u"/>
      <w:numFmt w:val="bullet"/>
      <w:start w:val="1"/>
    </w:lvl>
  </w:abstractNum>
  <w:abstractNum w:abstractNumId="66">
    <w:nsid w:val="3DB012B3"/>
    <w:multiLevelType w:val="hybridMultilevel"/>
    <w:lvl w:ilvl="0">
      <w:lvlJc w:val="left"/>
      <w:lvlText w:val="u"/>
      <w:numFmt w:val="bullet"/>
      <w:start w:val="1"/>
    </w:lvl>
  </w:abstractNum>
  <w:abstractNum w:abstractNumId="67">
    <w:nsid w:val="2708C9AF"/>
    <w:multiLevelType w:val="hybridMultilevel"/>
    <w:lvl w:ilvl="0">
      <w:lvlJc w:val="left"/>
      <w:lvlText w:val="*"/>
      <w:numFmt w:val="bullet"/>
      <w:start w:val="1"/>
    </w:lvl>
  </w:abstractNum>
  <w:abstractNum w:abstractNumId="68">
    <w:nsid w:val="5B25ACE2"/>
    <w:multiLevelType w:val="hybridMultilevel"/>
    <w:lvl w:ilvl="0">
      <w:lvlJc w:val="left"/>
      <w:lvlText w:val="(%1)"/>
      <w:numFmt w:val="decimal"/>
      <w:start w:val="1"/>
    </w:lvl>
  </w:abstractNum>
  <w:abstractNum w:abstractNumId="69">
    <w:nsid w:val="175DFCF0"/>
    <w:multiLevelType w:val="hybridMultilevel"/>
    <w:lvl w:ilvl="0">
      <w:lvlJc w:val="left"/>
      <w:lvlText w:val="(%1)"/>
      <w:numFmt w:val="decimal"/>
      <w:start w:val="2"/>
    </w:lvl>
  </w:abstractNum>
  <w:abstractNum w:abstractNumId="70">
    <w:nsid w:val="4F97E3E4"/>
    <w:multiLevelType w:val="hybridMultilevel"/>
    <w:lvl w:ilvl="0">
      <w:lvlJc w:val="left"/>
      <w:lvlText w:val="•"/>
      <w:numFmt w:val="bullet"/>
      <w:start w:val="1"/>
    </w:lvl>
  </w:abstractNum>
  <w:abstractNum w:abstractNumId="71">
    <w:nsid w:val="53B0A9E"/>
    <w:multiLevelType w:val="hybridMultilevel"/>
    <w:lvl w:ilvl="0">
      <w:lvlJc w:val="left"/>
      <w:lvlText w:val="(%1)"/>
      <w:numFmt w:val="decimal"/>
      <w:start w:val="1"/>
    </w:lvl>
  </w:abstractNum>
  <w:abstractNum w:abstractNumId="72">
    <w:nsid w:val="34FD6B4F"/>
    <w:multiLevelType w:val="hybridMultilevel"/>
    <w:lvl w:ilvl="0">
      <w:lvlJc w:val="left"/>
      <w:lvlText w:val="u"/>
      <w:numFmt w:val="bullet"/>
      <w:start w:val="1"/>
    </w:lvl>
  </w:abstractNum>
  <w:abstractNum w:abstractNumId="73">
    <w:nsid w:val="5915FF32"/>
    <w:multiLevelType w:val="hybridMultilevel"/>
    <w:lvl w:ilvl="0">
      <w:lvlJc w:val="left"/>
      <w:lvlText w:val="u"/>
      <w:numFmt w:val="bullet"/>
      <w:start w:val="1"/>
    </w:lvl>
  </w:abstractNum>
  <w:abstractNum w:abstractNumId="74">
    <w:nsid w:val="56438D15"/>
    <w:multiLevelType w:val="hybridMultilevel"/>
    <w:lvl w:ilvl="0">
      <w:lvlJc w:val="left"/>
      <w:lvlText w:val="u"/>
      <w:numFmt w:val="bullet"/>
      <w:start w:val="1"/>
    </w:lvl>
  </w:abstractNum>
  <w:abstractNum w:abstractNumId="75">
    <w:nsid w:val="519E3149"/>
    <w:multiLevelType w:val="hybridMultilevel"/>
    <w:lvl w:ilvl="0">
      <w:lvlJc w:val="left"/>
      <w:lvlText w:val="✓"/>
      <w:numFmt w:val="bullet"/>
      <w:start w:val="1"/>
    </w:lvl>
  </w:abstractNum>
  <w:abstractNum w:abstractNumId="76">
    <w:nsid w:val="2C6E4AFD"/>
    <w:multiLevelType w:val="hybridMultilevel"/>
    <w:lvl w:ilvl="0">
      <w:lvlJc w:val="left"/>
      <w:lvlText w:val="×"/>
      <w:numFmt w:val="bullet"/>
      <w:start w:val="1"/>
    </w:lvl>
  </w:abstractNum>
  <w:abstractNum w:abstractNumId="77">
    <w:nsid w:val="17A1B582"/>
    <w:multiLevelType w:val="hybridMultilevel"/>
    <w:lvl w:ilvl="0">
      <w:lvlJc w:val="left"/>
      <w:lvlText w:val="u"/>
      <w:numFmt w:val="bullet"/>
      <w:start w:val="1"/>
    </w:lvl>
  </w:abstractNum>
  <w:abstractNum w:abstractNumId="78">
    <w:nsid w:val="4DF72E4E"/>
    <w:multiLevelType w:val="hybridMultilevel"/>
    <w:lvl w:ilvl="0">
      <w:lvlJc w:val="left"/>
      <w:lvlText w:val="u"/>
      <w:numFmt w:val="bullet"/>
      <w:start w:val="1"/>
    </w:lvl>
  </w:abstractNum>
  <w:abstractNum w:abstractNumId="79">
    <w:nsid w:val="5046B5A9"/>
    <w:multiLevelType w:val="hybridMultilevel"/>
    <w:lvl w:ilvl="0">
      <w:lvlJc w:val="left"/>
      <w:lvlText w:val="(%1)"/>
      <w:numFmt w:val="decimal"/>
      <w:start w:val="1"/>
    </w:lvl>
  </w:abstractNum>
  <w:abstractNum w:abstractNumId="80">
    <w:nsid w:val="5D888A08"/>
    <w:multiLevelType w:val="hybridMultilevel"/>
    <w:lvl w:ilvl="0">
      <w:lvlJc w:val="left"/>
      <w:lvlText w:val="u"/>
      <w:numFmt w:val="bullet"/>
      <w:start w:val="1"/>
    </w:lvl>
  </w:abstractNum>
  <w:abstractNum w:abstractNumId="81">
    <w:nsid w:val="2A082C70"/>
    <w:multiLevelType w:val="hybridMultilevel"/>
    <w:lvl w:ilvl="0">
      <w:lvlJc w:val="left"/>
      <w:lvlText w:val="u"/>
      <w:numFmt w:val="bullet"/>
      <w:start w:val="1"/>
    </w:lvl>
  </w:abstractNum>
  <w:abstractNum w:abstractNumId="82">
    <w:nsid w:val="5EC6AFD4"/>
    <w:multiLevelType w:val="hybridMultilevel"/>
    <w:lvl w:ilvl="0">
      <w:lvlJc w:val="left"/>
      <w:lvlText w:val="u"/>
      <w:numFmt w:val="bullet"/>
      <w:start w:val="1"/>
    </w:lvl>
  </w:abstractNum>
  <w:abstractNum w:abstractNumId="83">
    <w:nsid w:val="19E21BB2"/>
    <w:multiLevelType w:val="hybridMultilevel"/>
    <w:lvl w:ilvl="0">
      <w:lvlJc w:val="left"/>
      <w:lvlText w:val="u"/>
      <w:numFmt w:val="bullet"/>
      <w:start w:val="1"/>
    </w:lvl>
  </w:abstractNum>
  <w:abstractNum w:abstractNumId="84">
    <w:nsid w:val="75E0858A"/>
    <w:multiLevelType w:val="hybridMultilevel"/>
    <w:lvl w:ilvl="0">
      <w:lvlJc w:val="left"/>
      <w:lvlText w:val="u"/>
      <w:numFmt w:val="bullet"/>
      <w:start w:val="1"/>
    </w:lvl>
  </w:abstractNum>
  <w:abstractNum w:abstractNumId="85">
    <w:nsid w:val="57A61A29"/>
    <w:multiLevelType w:val="hybridMultilevel"/>
    <w:lvl w:ilvl="0">
      <w:lvlJc w:val="left"/>
      <w:lvlText w:val="(%1)"/>
      <w:numFmt w:val="decimal"/>
      <w:start w:val="1"/>
    </w:lvl>
  </w:abstractNum>
  <w:abstractNum w:abstractNumId="86">
    <w:nsid w:val="5399C654"/>
    <w:multiLevelType w:val="hybridMultilevel"/>
    <w:lvl w:ilvl="0">
      <w:lvlJc w:val="left"/>
      <w:lvlText w:val="u"/>
      <w:numFmt w:val="bullet"/>
      <w:start w:val="1"/>
    </w:lvl>
  </w:abstractNum>
  <w:abstractNum w:abstractNumId="87">
    <w:nsid w:val="20EE1348"/>
    <w:multiLevelType w:val="hybridMultilevel"/>
    <w:lvl w:ilvl="0">
      <w:lvlJc w:val="left"/>
      <w:lvlText w:val="u"/>
      <w:numFmt w:val="bullet"/>
      <w:start w:val="1"/>
    </w:lvl>
  </w:abstractNum>
  <w:abstractNum w:abstractNumId="88">
    <w:nsid w:val="4427069A"/>
    <w:multiLevelType w:val="hybridMultilevel"/>
    <w:lvl w:ilvl="0">
      <w:lvlJc w:val="left"/>
      <w:lvlText w:val="(%1)"/>
      <w:numFmt w:val="decimal"/>
      <w:start w:val="1"/>
    </w:lvl>
  </w:abstractNum>
  <w:abstractNum w:abstractNumId="89">
    <w:nsid w:val="B37E80A"/>
    <w:multiLevelType w:val="hybridMultilevel"/>
    <w:lvl w:ilvl="0">
      <w:lvlJc w:val="left"/>
      <w:lvlText w:val="u"/>
      <w:numFmt w:val="bullet"/>
      <w:start w:val="1"/>
    </w:lvl>
  </w:abstractNum>
  <w:abstractNum w:abstractNumId="90">
    <w:nsid w:val="2157F6BC"/>
    <w:multiLevelType w:val="hybridMultilevel"/>
    <w:lvl w:ilvl="0">
      <w:lvlJc w:val="left"/>
      <w:lvlText w:val="u"/>
      <w:numFmt w:val="bullet"/>
      <w:start w:val="1"/>
    </w:lvl>
  </w:abstractNum>
  <w:abstractNum w:abstractNumId="91">
    <w:nsid w:val="704E1DD5"/>
    <w:multiLevelType w:val="hybridMultilevel"/>
    <w:lvl w:ilvl="0">
      <w:lvlJc w:val="left"/>
      <w:lvlText w:val="(%1)"/>
      <w:numFmt w:val="decimal"/>
      <w:start w:val="1"/>
    </w:lvl>
  </w:abstractNum>
  <w:abstractNum w:abstractNumId="92">
    <w:nsid w:val="57D2F10E"/>
    <w:multiLevelType w:val="hybridMultilevel"/>
    <w:lvl w:ilvl="0">
      <w:lvlJc w:val="left"/>
      <w:lvlText w:val="u"/>
      <w:numFmt w:val="bullet"/>
      <w:start w:val="1"/>
    </w:lvl>
  </w:abstractNum>
  <w:abstractNum w:abstractNumId="93">
    <w:nsid w:val="BFFAE18"/>
    <w:multiLevelType w:val="hybridMultilevel"/>
    <w:lvl w:ilvl="0">
      <w:lvlJc w:val="left"/>
      <w:lvlText w:val="(%1)"/>
      <w:numFmt w:val="decimal"/>
      <w:start w:val="1"/>
    </w:lvl>
  </w:abstractNum>
  <w:abstractNum w:abstractNumId="94">
    <w:nsid w:val="E3E47A8"/>
    <w:multiLevelType w:val="hybridMultilevel"/>
    <w:lvl w:ilvl="0">
      <w:lvlJc w:val="left"/>
      <w:lvlText w:val="(%1)"/>
      <w:numFmt w:val="decimal"/>
      <w:start w:val="1"/>
    </w:lvl>
  </w:abstractNum>
  <w:abstractNum w:abstractNumId="95">
    <w:nsid w:val="2E48F044"/>
    <w:multiLevelType w:val="hybridMultilevel"/>
    <w:lvl w:ilvl="0">
      <w:lvlJc w:val="left"/>
      <w:lvlText w:val="u"/>
      <w:numFmt w:val="bullet"/>
      <w:start w:val="1"/>
    </w:lvl>
  </w:abstractNum>
  <w:abstractNum w:abstractNumId="96">
    <w:nsid w:val="49D0FEAC"/>
    <w:multiLevelType w:val="hybridMultilevel"/>
    <w:lvl w:ilvl="0">
      <w:lvlJc w:val="left"/>
      <w:lvlText w:val="(%1)"/>
      <w:numFmt w:val="decimal"/>
      <w:start w:val="1"/>
    </w:lvl>
  </w:abstractNum>
  <w:abstractNum w:abstractNumId="97">
    <w:nsid w:val="4BEE5A5B"/>
    <w:multiLevelType w:val="hybridMultilevel"/>
    <w:lvl w:ilvl="0">
      <w:lvlJc w:val="left"/>
      <w:lvlText w:val="u"/>
      <w:numFmt w:val="bullet"/>
      <w:start w:val="1"/>
    </w:lvl>
  </w:abstractNum>
  <w:abstractNum w:abstractNumId="98">
    <w:nsid w:val="5551B9F3"/>
    <w:multiLevelType w:val="hybridMultilevel"/>
    <w:lvl w:ilvl="0">
      <w:lvlJc w:val="left"/>
      <w:lvlText w:val="(%1)"/>
      <w:numFmt w:val="decimal"/>
      <w:start w:val="1"/>
    </w:lvl>
  </w:abstractNum>
  <w:abstractNum w:abstractNumId="99">
    <w:nsid w:val="24F6AB8E"/>
    <w:multiLevelType w:val="hybridMultilevel"/>
    <w:lvl w:ilvl="0">
      <w:lvlJc w:val="left"/>
      <w:lvlText w:val="u"/>
      <w:numFmt w:val="bullet"/>
      <w:start w:val="1"/>
    </w:lvl>
  </w:abstractNum>
  <w:abstractNum w:abstractNumId="100">
    <w:nsid w:val="634C574C"/>
    <w:multiLevelType w:val="hybridMultilevel"/>
    <w:lvl w:ilvl="0">
      <w:lvlJc w:val="left"/>
      <w:lvlText w:val="u"/>
      <w:numFmt w:val="bullet"/>
      <w:start w:val="1"/>
    </w:lvl>
  </w:abstractNum>
  <w:abstractNum w:abstractNumId="101">
    <w:nsid w:val="24E99DD7"/>
    <w:multiLevelType w:val="hybridMultilevel"/>
    <w:lvl w:ilvl="0">
      <w:lvlJc w:val="left"/>
      <w:lvlText w:val="•"/>
      <w:numFmt w:val="bullet"/>
      <w:start w:val="1"/>
    </w:lvl>
  </w:abstractNum>
  <w:abstractNum w:abstractNumId="102">
    <w:nsid w:val="2A31B62D"/>
    <w:multiLevelType w:val="hybridMultilevel"/>
    <w:lvl w:ilvl="0">
      <w:lvlJc w:val="left"/>
      <w:lvlText w:val="u"/>
      <w:numFmt w:val="bullet"/>
      <w:start w:val="1"/>
    </w:lvl>
  </w:abstractNum>
  <w:abstractNum w:abstractNumId="103">
    <w:nsid w:val="1849C29B"/>
    <w:multiLevelType w:val="hybridMultilevel"/>
    <w:lvl w:ilvl="0">
      <w:lvlJc w:val="left"/>
      <w:lvlText w:val="•"/>
      <w:numFmt w:val="bullet"/>
      <w:start w:val="1"/>
    </w:lvl>
  </w:abstractNum>
  <w:abstractNum w:abstractNumId="104">
    <w:nsid w:val="7DFF9D09"/>
    <w:multiLevelType w:val="hybridMultilevel"/>
    <w:lvl w:ilvl="0">
      <w:lvlJc w:val="left"/>
      <w:lvlText w:val="u"/>
      <w:numFmt w:val="bullet"/>
      <w:start w:val="1"/>
    </w:lvl>
  </w:abstractNum>
  <w:abstractNum w:abstractNumId="105">
    <w:nsid w:val="754342"/>
    <w:multiLevelType w:val="hybridMultilevel"/>
    <w:lvl w:ilvl="0">
      <w:lvlJc w:val="left"/>
      <w:lvlText w:val="•"/>
      <w:numFmt w:val="bullet"/>
      <w:start w:val="1"/>
    </w:lvl>
    <w:lvl w:ilvl="1">
      <w:lvlJc w:val="left"/>
      <w:lvlText w:val="%2"/>
      <w:numFmt w:val="decimal"/>
      <w:start w:val="1"/>
    </w:lvl>
  </w:abstractNum>
  <w:abstractNum w:abstractNumId="106">
    <w:nsid w:val="69E7F3E5"/>
    <w:multiLevelType w:val="hybridMultilevel"/>
    <w:lvl w:ilvl="0">
      <w:lvlJc w:val="left"/>
      <w:lvlText w:val="u"/>
      <w:numFmt w:val="bullet"/>
      <w:start w:val="1"/>
    </w:lvl>
  </w:abstractNum>
  <w:abstractNum w:abstractNumId="107">
    <w:nsid w:val="2A6DE806"/>
    <w:multiLevelType w:val="hybridMultilevel"/>
    <w:lvl w:ilvl="0">
      <w:lvlJc w:val="left"/>
      <w:lvlText w:val="•"/>
      <w:numFmt w:val="bullet"/>
      <w:start w:val="1"/>
    </w:lvl>
  </w:abstractNum>
  <w:abstractNum w:abstractNumId="108">
    <w:nsid w:val="1816F8C4"/>
    <w:multiLevelType w:val="hybridMultilevel"/>
    <w:lvl w:ilvl="0">
      <w:lvlJc w:val="left"/>
      <w:lvlText w:val="u"/>
      <w:numFmt w:val="bullet"/>
      <w:start w:val="1"/>
    </w:lvl>
  </w:abstractNum>
  <w:abstractNum w:abstractNumId="109">
    <w:nsid w:val="37DF2233"/>
    <w:multiLevelType w:val="hybridMultilevel"/>
    <w:lvl w:ilvl="0">
      <w:lvlJc w:val="left"/>
      <w:lvlText w:val="•"/>
      <w:numFmt w:val="bullet"/>
      <w:start w:val="1"/>
    </w:lvl>
  </w:abstractNum>
  <w:abstractNum w:abstractNumId="110">
    <w:nsid w:val="7AB49DAF"/>
    <w:multiLevelType w:val="hybridMultilevel"/>
    <w:lvl w:ilvl="0">
      <w:lvlJc w:val="left"/>
      <w:lvlText w:val="•"/>
      <w:numFmt w:val="bullet"/>
      <w:start w:val="1"/>
    </w:lvl>
  </w:abstractNum>
  <w:abstractNum w:abstractNumId="111">
    <w:nsid w:val="759F82CD"/>
    <w:multiLevelType w:val="hybridMultilevel"/>
    <w:lvl w:ilvl="0">
      <w:lvlJc w:val="left"/>
      <w:lvlText w:val="u"/>
      <w:numFmt w:val="bullet"/>
      <w:start w:val="1"/>
    </w:lvl>
  </w:abstractNum>
  <w:abstractNum w:abstractNumId="112">
    <w:nsid w:val="61E74EA3"/>
    <w:multiLevelType w:val="hybridMultilevel"/>
    <w:lvl w:ilvl="0">
      <w:lvlJc w:val="left"/>
      <w:lvlText w:val="u"/>
      <w:numFmt w:val="bullet"/>
      <w:start w:val="1"/>
    </w:lvl>
  </w:abstractNum>
  <w:abstractNum w:abstractNumId="113">
    <w:nsid w:val="597B4D84"/>
    <w:multiLevelType w:val="hybridMultilevel"/>
    <w:lvl w:ilvl="0">
      <w:lvlJc w:val="left"/>
      <w:lvlText w:val="u"/>
      <w:numFmt w:val="bullet"/>
      <w:start w:val="1"/>
    </w:lvl>
  </w:abstractNum>
  <w:abstractNum w:abstractNumId="114">
    <w:nsid w:val="F819E7F"/>
    <w:multiLevelType w:val="hybridMultilevel"/>
    <w:lvl w:ilvl="0">
      <w:lvlJc w:val="left"/>
      <w:lvlText w:val="u"/>
      <w:numFmt w:val="bullet"/>
      <w:start w:val="1"/>
    </w:lvl>
  </w:abstractNum>
  <w:abstractNum w:abstractNumId="115">
    <w:nsid w:val="57C7D42D"/>
    <w:multiLevelType w:val="hybridMultilevel"/>
    <w:lvl w:ilvl="0">
      <w:lvlJc w:val="left"/>
      <w:lvlText w:val="u"/>
      <w:numFmt w:val="bullet"/>
      <w:start w:val="1"/>
    </w:lvl>
  </w:abstractNum>
  <w:abstractNum w:abstractNumId="116">
    <w:nsid w:val="312167AD"/>
    <w:multiLevelType w:val="hybridMultilevel"/>
    <w:lvl w:ilvl="0">
      <w:lvlJc w:val="left"/>
      <w:lvlText w:val="•"/>
      <w:numFmt w:val="bullet"/>
      <w:start w:val="1"/>
    </w:lvl>
  </w:abstractNum>
  <w:abstractNum w:abstractNumId="117">
    <w:nsid w:val="631B64D4"/>
    <w:multiLevelType w:val="hybridMultilevel"/>
    <w:lvl w:ilvl="0">
      <w:lvlJc w:val="left"/>
      <w:lvlText w:val="u"/>
      <w:numFmt w:val="bullet"/>
      <w:start w:val="1"/>
    </w:lvl>
  </w:abstractNum>
  <w:abstractNum w:abstractNumId="118">
    <w:nsid w:val="78B5E776"/>
    <w:multiLevelType w:val="hybridMultilevel"/>
    <w:lvl w:ilvl="0">
      <w:lvlJc w:val="left"/>
      <w:lvlText w:val="(%1)"/>
      <w:numFmt w:val="decimal"/>
      <w:start w:val="1"/>
    </w:lvl>
  </w:abstractNum>
  <w:abstractNum w:abstractNumId="119">
    <w:nsid w:val="75486E47"/>
    <w:multiLevelType w:val="hybridMultilevel"/>
    <w:lvl w:ilvl="0">
      <w:lvlJc w:val="left"/>
      <w:lvlText w:val="(%1)"/>
      <w:numFmt w:val="decimal"/>
      <w:start w:val="3"/>
    </w:lvl>
  </w:abstractNum>
  <w:abstractNum w:abstractNumId="120">
    <w:nsid w:val="6E534CDE"/>
    <w:multiLevelType w:val="hybridMultilevel"/>
    <w:lvl w:ilvl="0">
      <w:lvlJc w:val="left"/>
      <w:lvlText w:val="(%1)"/>
      <w:numFmt w:val="decimal"/>
      <w:start w:val="4"/>
    </w:lvl>
  </w:abstractNum>
  <w:abstractNum w:abstractNumId="121">
    <w:nsid w:val="1A0DDE32"/>
    <w:multiLevelType w:val="hybridMultilevel"/>
    <w:lvl w:ilvl="0">
      <w:lvlJc w:val="left"/>
      <w:lvlText w:val="(%1)"/>
      <w:numFmt w:val="decimal"/>
      <w:start w:val="6"/>
    </w:lvl>
  </w:abstractNum>
  <w:abstractNum w:abstractNumId="122">
    <w:nsid w:val="65968C1C"/>
    <w:multiLevelType w:val="hybridMultilevel"/>
    <w:lvl w:ilvl="0">
      <w:lvlJc w:val="left"/>
      <w:lvlText w:val="(%1)"/>
      <w:numFmt w:val="decimal"/>
      <w:start w:val="1"/>
    </w:lvl>
  </w:abstractNum>
  <w:abstractNum w:abstractNumId="123">
    <w:nsid w:val="46263DEC"/>
    <w:multiLevelType w:val="hybridMultilevel"/>
    <w:lvl w:ilvl="0">
      <w:lvlJc w:val="left"/>
      <w:lvlText w:val="(%1)"/>
      <w:numFmt w:val="decimal"/>
      <w:start w:val="1"/>
    </w:lvl>
  </w:abstractNum>
  <w:abstractNum w:abstractNumId="124">
    <w:nsid w:val="260D8C4A"/>
    <w:multiLevelType w:val="hybridMultilevel"/>
    <w:lvl w:ilvl="0">
      <w:lvlJc w:val="left"/>
      <w:lvlText w:val="(%1)"/>
      <w:numFmt w:val="decimal"/>
      <w:start w:val="4"/>
    </w:lvl>
  </w:abstractNum>
  <w:abstractNum w:abstractNumId="125">
    <w:nsid w:val="73D4D3C4"/>
    <w:multiLevelType w:val="hybridMultilevel"/>
    <w:lvl w:ilvl="0">
      <w:lvlJc w:val="left"/>
      <w:lvlText w:val="(%1)"/>
      <w:numFmt w:val="decimal"/>
      <w:start w:val="1"/>
    </w:lvl>
  </w:abstractNum>
  <w:abstractNum w:abstractNumId="126">
    <w:nsid w:val="746F2E30"/>
    <w:multiLevelType w:val="hybridMultilevel"/>
    <w:lvl w:ilvl="0">
      <w:lvlJc w:val="left"/>
      <w:lvlText w:val="(%1)"/>
      <w:numFmt w:val="decimal"/>
      <w:start w:val="1"/>
    </w:lvl>
  </w:abstractNum>
  <w:abstractNum w:abstractNumId="127">
    <w:nsid w:val="6FDE8AF6"/>
    <w:multiLevelType w:val="hybridMultilevel"/>
    <w:lvl w:ilvl="0">
      <w:lvlJc w:val="left"/>
      <w:lvlText w:val="(%1)"/>
      <w:numFmt w:val="decimal"/>
      <w:start w:val="1"/>
    </w:lvl>
  </w:abstractNum>
  <w:abstractNum w:abstractNumId="128">
    <w:nsid w:val="3FC32E20"/>
    <w:multiLevelType w:val="hybridMultilevel"/>
    <w:lvl w:ilvl="0">
      <w:lvlJc w:val="left"/>
      <w:lvlText w:val="u"/>
      <w:numFmt w:val="bullet"/>
      <w:start w:val="1"/>
    </w:lvl>
  </w:abstractNum>
  <w:abstractNum w:abstractNumId="129">
    <w:nsid w:val="49C0E823"/>
    <w:multiLevelType w:val="hybridMultilevel"/>
    <w:lvl w:ilvl="0">
      <w:lvlJc w:val="left"/>
      <w:lvlText w:val="u"/>
      <w:numFmt w:val="bullet"/>
      <w:start w:val="1"/>
    </w:lvl>
  </w:abstractNum>
  <w:abstractNum w:abstractNumId="130">
    <w:nsid w:val="14D53685"/>
    <w:multiLevelType w:val="hybridMultilevel"/>
    <w:lvl w:ilvl="0">
      <w:lvlJc w:val="left"/>
      <w:lvlText w:val="u"/>
      <w:numFmt w:val="bullet"/>
      <w:start w:val="1"/>
    </w:lvl>
  </w:abstractNum>
  <w:abstractNum w:abstractNumId="131">
    <w:nsid w:val="230F856C"/>
    <w:multiLevelType w:val="hybridMultilevel"/>
    <w:lvl w:ilvl="0">
      <w:lvlJc w:val="left"/>
      <w:lvlText w:val="(%1)"/>
      <w:numFmt w:val="decimal"/>
      <w:start w:val="1"/>
    </w:lvl>
  </w:abstractNum>
  <w:abstractNum w:abstractNumId="132">
    <w:nsid w:val="6EAA85FB"/>
    <w:multiLevelType w:val="hybridMultilevel"/>
    <w:lvl w:ilvl="0">
      <w:lvlJc w:val="left"/>
      <w:lvlText w:val="(%1)"/>
      <w:numFmt w:val="decimal"/>
      <w:start w:val="1"/>
    </w:lvl>
  </w:abstractNum>
  <w:abstractNum w:abstractNumId="133">
    <w:nsid w:val="3F06ECB2"/>
    <w:multiLevelType w:val="hybridMultilevel"/>
    <w:lvl w:ilvl="0">
      <w:lvlJc w:val="left"/>
      <w:lvlText w:val="(%1)"/>
      <w:numFmt w:val="decimal"/>
      <w:start w:val="1"/>
    </w:lvl>
  </w:abstractNum>
  <w:abstractNum w:abstractNumId="134">
    <w:nsid w:val="3B594807"/>
    <w:multiLevelType w:val="hybridMultilevel"/>
    <w:lvl w:ilvl="0">
      <w:lvlJc w:val="left"/>
      <w:lvlText w:val="%1."/>
      <w:numFmt w:val="decimal"/>
      <w:start w:val="1"/>
    </w:lvl>
  </w:abstractNum>
  <w:abstractNum w:abstractNumId="135">
    <w:nsid w:val="6CAA2304"/>
    <w:multiLevelType w:val="hybridMultilevel"/>
    <w:lvl w:ilvl="0">
      <w:lvlJc w:val="left"/>
      <w:lvlText w:val="(%1)"/>
      <w:numFmt w:val="decimal"/>
      <w:start w:val="1"/>
    </w:lvl>
  </w:abstractNum>
  <w:abstractNum w:abstractNumId="136">
    <w:nsid w:val="3F7C2FF4"/>
    <w:multiLevelType w:val="hybridMultilevel"/>
    <w:lvl w:ilvl="0">
      <w:lvlJc w:val="left"/>
      <w:lvlText w:val="(%1)"/>
      <w:numFmt w:val="decimal"/>
      <w:start w:val="4"/>
    </w:lvl>
  </w:abstractNum>
  <w:abstractNum w:abstractNumId="137">
    <w:nsid w:val="25413BEC"/>
    <w:multiLevelType w:val="hybridMultilevel"/>
    <w:lvl w:ilvl="0">
      <w:lvlJc w:val="left"/>
      <w:lvlText w:val="u"/>
      <w:numFmt w:val="bullet"/>
      <w:start w:val="1"/>
    </w:lvl>
  </w:abstractNum>
  <w:abstractNum w:abstractNumId="138">
    <w:nsid w:val="17180B0B"/>
    <w:multiLevelType w:val="hybridMultilevel"/>
    <w:lvl w:ilvl="0">
      <w:lvlJc w:val="left"/>
      <w:lvlText w:val="(%1)"/>
      <w:numFmt w:val="decimal"/>
      <w:start w:val="1"/>
    </w:lvl>
    <w:lvl w:ilvl="1">
      <w:lvlJc w:val="left"/>
      <w:lvlText w:val="%2."/>
      <w:numFmt w:val="lowerRoman"/>
      <w:start w:val="1"/>
    </w:lvl>
  </w:abstractNum>
  <w:abstractNum w:abstractNumId="139">
    <w:nsid w:val="579328B9"/>
    <w:multiLevelType w:val="hybridMultilevel"/>
    <w:lvl w:ilvl="0">
      <w:lvlJc w:val="left"/>
      <w:lvlText w:val="u"/>
      <w:numFmt w:val="bullet"/>
      <w:start w:val="1"/>
    </w:lvl>
  </w:abstractNum>
  <w:abstractNum w:abstractNumId="140">
    <w:nsid w:val="5D205E20"/>
    <w:multiLevelType w:val="hybridMultilevel"/>
    <w:lvl w:ilvl="0">
      <w:lvlJc w:val="left"/>
      <w:lvlText w:val="•"/>
      <w:numFmt w:val="bullet"/>
      <w:start w:val="1"/>
    </w:lvl>
  </w:abstractNum>
  <w:abstractNum w:abstractNumId="141">
    <w:nsid w:val="11CCA8BA"/>
    <w:multiLevelType w:val="hybridMultilevel"/>
    <w:lvl w:ilvl="0">
      <w:lvlJc w:val="left"/>
      <w:lvlText w:val="•"/>
      <w:numFmt w:val="bullet"/>
      <w:start w:val="1"/>
    </w:lvl>
  </w:abstractNum>
  <w:abstractNum w:abstractNumId="142">
    <w:nsid w:val="4D32AB86"/>
    <w:multiLevelType w:val="hybridMultilevel"/>
    <w:lvl w:ilvl="0">
      <w:lvlJc w:val="left"/>
      <w:lvlText w:val="•"/>
      <w:numFmt w:val="bullet"/>
      <w:start w:val="1"/>
    </w:lvl>
  </w:abstractNum>
  <w:abstractNum w:abstractNumId="143">
    <w:nsid w:val="3F07ACC3"/>
    <w:multiLevelType w:val="hybridMultilevel"/>
    <w:lvl w:ilvl="0">
      <w:lvlJc w:val="left"/>
      <w:lvlText w:val="u"/>
      <w:numFmt w:val="bullet"/>
      <w:start w:val="1"/>
    </w:lvl>
  </w:abstractNum>
  <w:abstractNum w:abstractNumId="144">
    <w:nsid w:val="6B47F63E"/>
    <w:multiLevelType w:val="hybridMultilevel"/>
    <w:lvl w:ilvl="0">
      <w:lvlJc w:val="left"/>
      <w:lvlText w:val="(%1)"/>
      <w:numFmt w:val="decimal"/>
      <w:start w:val="1"/>
    </w:lvl>
  </w:abstractNum>
  <w:abstractNum w:abstractNumId="145">
    <w:nsid w:val="5CB44A05"/>
    <w:multiLevelType w:val="hybridMultilevel"/>
    <w:lvl w:ilvl="0">
      <w:lvlJc w:val="left"/>
      <w:lvlText w:val="(%1)"/>
      <w:numFmt w:val="decimal"/>
      <w:start w:val="1"/>
    </w:lvl>
  </w:abstractNum>
  <w:abstractNum w:abstractNumId="146">
    <w:nsid w:val="16CF80F1"/>
    <w:multiLevelType w:val="hybridMultilevel"/>
    <w:lvl w:ilvl="0">
      <w:lvlJc w:val="left"/>
      <w:lvlText w:val="u"/>
      <w:numFmt w:val="bullet"/>
      <w:start w:val="1"/>
    </w:lvl>
  </w:abstractNum>
  <w:abstractNum w:abstractNumId="147">
    <w:nsid w:val="1C695DEC"/>
    <w:multiLevelType w:val="hybridMultilevel"/>
    <w:lvl w:ilvl="0">
      <w:lvlJc w:val="left"/>
      <w:lvlText w:val="u"/>
      <w:numFmt w:val="bullet"/>
      <w:start w:val="1"/>
    </w:lvl>
  </w:abstractNum>
  <w:abstractNum w:abstractNumId="148">
    <w:nsid w:val="3FCFAED9"/>
    <w:multiLevelType w:val="hybridMultilevel"/>
    <w:lvl w:ilvl="0">
      <w:lvlJc w:val="left"/>
      <w:lvlText w:val="u"/>
      <w:numFmt w:val="bullet"/>
      <w:start w:val="1"/>
    </w:lvl>
  </w:abstractNum>
  <w:abstractNum w:abstractNumId="149">
    <w:nsid w:val="F856867"/>
    <w:multiLevelType w:val="hybridMultilevel"/>
    <w:lvl w:ilvl="0">
      <w:lvlJc w:val="left"/>
      <w:lvlText w:val="•"/>
      <w:numFmt w:val="bullet"/>
      <w:start w:val="1"/>
    </w:lvl>
  </w:abstractNum>
  <w:abstractNum w:abstractNumId="150">
    <w:nsid w:val="11B1CC33"/>
    <w:multiLevelType w:val="hybridMultilevel"/>
    <w:lvl w:ilvl="0">
      <w:lvlJc w:val="left"/>
      <w:lvlText w:val="•"/>
      <w:numFmt w:val="bullet"/>
      <w:start w:val="1"/>
    </w:lvl>
  </w:abstractNum>
  <w:abstractNum w:abstractNumId="151">
    <w:nsid w:val="2E22FBB7"/>
    <w:multiLevelType w:val="hybridMultilevel"/>
    <w:lvl w:ilvl="0">
      <w:lvlJc w:val="left"/>
      <w:lvlText w:val="•"/>
      <w:numFmt w:val="bullet"/>
      <w:start w:val="1"/>
    </w:lvl>
  </w:abstractNum>
  <w:abstractNum w:abstractNumId="152">
    <w:nsid w:val="29934699"/>
    <w:multiLevelType w:val="hybridMultilevel"/>
    <w:lvl w:ilvl="0">
      <w:lvlJc w:val="left"/>
      <w:lvlText w:val="•"/>
      <w:numFmt w:val="bullet"/>
      <w:start w:val="1"/>
    </w:lvl>
    <w:lvl w:ilvl="1">
      <w:lvlJc w:val="left"/>
      <w:lvlText w:val="•"/>
      <w:numFmt w:val="bullet"/>
      <w:start w:val="1"/>
    </w:lvl>
  </w:abstractNum>
  <w:abstractNum w:abstractNumId="153">
    <w:nsid w:val="77485850"/>
    <w:multiLevelType w:val="hybridMultilevel"/>
    <w:lvl w:ilvl="0">
      <w:lvlJc w:val="left"/>
      <w:lvlText w:val="u"/>
      <w:numFmt w:val="bullet"/>
      <w:start w:val="1"/>
    </w:lvl>
  </w:abstractNum>
  <w:abstractNum w:abstractNumId="154">
    <w:nsid w:val="744939A3"/>
    <w:multiLevelType w:val="hybridMultilevel"/>
    <w:lvl w:ilvl="0">
      <w:lvlJc w:val="left"/>
      <w:lvlText w:val="*"/>
      <w:numFmt w:val="bullet"/>
      <w:start w:val="1"/>
    </w:lvl>
  </w:abstractNum>
  <w:abstractNum w:abstractNumId="155">
    <w:nsid w:val="4FA0D2E3"/>
    <w:multiLevelType w:val="hybridMultilevel"/>
    <w:lvl w:ilvl="0">
      <w:lvlJc w:val="left"/>
      <w:lvlText w:val="u"/>
      <w:numFmt w:val="bullet"/>
      <w:start w:val="1"/>
    </w:lvl>
  </w:abstractNum>
  <w:abstractNum w:abstractNumId="156">
    <w:nsid w:val="6B1D2C14"/>
    <w:multiLevelType w:val="hybridMultilevel"/>
    <w:lvl w:ilvl="0">
      <w:lvlJc w:val="left"/>
      <w:lvlText w:val="u"/>
      <w:numFmt w:val="bullet"/>
      <w:start w:val="1"/>
    </w:lvl>
  </w:abstractNum>
  <w:abstractNum w:abstractNumId="157">
    <w:nsid w:val="68B867D3"/>
    <w:multiLevelType w:val="hybridMultilevel"/>
    <w:lvl w:ilvl="0">
      <w:lvlJc w:val="left"/>
      <w:lvlText w:val="u"/>
      <w:numFmt w:val="bullet"/>
      <w:start w:val="1"/>
    </w:lvl>
  </w:abstractNum>
  <w:abstractNum w:abstractNumId="158">
    <w:nsid w:val="3F7F5DD9"/>
    <w:multiLevelType w:val="hybridMultilevel"/>
    <w:lvl w:ilvl="0">
      <w:lvlJc w:val="left"/>
      <w:lvlText w:val="u"/>
      <w:numFmt w:val="bullet"/>
      <w:start w:val="1"/>
    </w:lvl>
  </w:abstractNum>
  <w:abstractNum w:abstractNumId="159">
    <w:nsid w:val="2AE05A34"/>
    <w:multiLevelType w:val="hybridMultilevel"/>
    <w:lvl w:ilvl="0">
      <w:lvlJc w:val="left"/>
      <w:lvlText w:val="u"/>
      <w:numFmt w:val="bullet"/>
      <w:start w:val="1"/>
    </w:lvl>
  </w:abstractNum>
  <w:abstractNum w:abstractNumId="160">
    <w:nsid w:val="32794FF7"/>
    <w:multiLevelType w:val="hybridMultilevel"/>
    <w:lvl w:ilvl="0">
      <w:lvlJc w:val="left"/>
      <w:lvlText w:val="u"/>
      <w:numFmt w:val="bullet"/>
      <w:start w:val="1"/>
    </w:lvl>
  </w:abstractNum>
  <w:abstractNum w:abstractNumId="161">
    <w:nsid w:val="5454945E"/>
    <w:multiLevelType w:val="hybridMultilevel"/>
    <w:lvl w:ilvl="0">
      <w:lvlJc w:val="left"/>
      <w:lvlText w:val="u"/>
      <w:numFmt w:val="bullet"/>
      <w:start w:val="1"/>
    </w:lvl>
  </w:abstractNum>
  <w:abstractNum w:abstractNumId="162">
    <w:nsid w:val="4DEFDFA0"/>
    <w:multiLevelType w:val="hybridMultilevel"/>
    <w:lvl w:ilvl="0">
      <w:lvlJc w:val="left"/>
      <w:lvlText w:val="u"/>
      <w:numFmt w:val="bullet"/>
      <w:start w:val="1"/>
    </w:lvl>
  </w:abstractNum>
  <w:abstractNum w:abstractNumId="163">
    <w:nsid w:val="2123D5F2"/>
    <w:multiLevelType w:val="hybridMultilevel"/>
    <w:lvl w:ilvl="0">
      <w:lvlJc w:val="left"/>
      <w:lvlText w:val="u"/>
      <w:numFmt w:val="bullet"/>
      <w:start w:val="1"/>
    </w:lvl>
  </w:abstractNum>
  <w:abstractNum w:abstractNumId="164">
    <w:nsid w:val="135B8110"/>
    <w:multiLevelType w:val="hybridMultilevel"/>
    <w:lvl w:ilvl="0">
      <w:lvlJc w:val="left"/>
      <w:lvlText w:val="u"/>
      <w:numFmt w:val="bullet"/>
      <w:start w:val="1"/>
    </w:lvl>
  </w:abstractNum>
  <w:abstractNum w:abstractNumId="165">
    <w:nsid w:val="94927A8"/>
    <w:multiLevelType w:val="hybridMultilevel"/>
    <w:lvl w:ilvl="0">
      <w:lvlJc w:val="left"/>
      <w:lvlText w:val="u"/>
      <w:numFmt w:val="bullet"/>
      <w:start w:val="1"/>
    </w:lvl>
  </w:abstractNum>
  <w:abstractNum w:abstractNumId="166">
    <w:nsid w:val="DCDF8F6"/>
    <w:multiLevelType w:val="hybridMultilevel"/>
    <w:lvl w:ilvl="0">
      <w:lvlJc w:val="left"/>
      <w:lvlText w:val="u"/>
      <w:numFmt w:val="bullet"/>
      <w:start w:val="1"/>
    </w:lvl>
  </w:abstractNum>
  <w:abstractNum w:abstractNumId="167">
    <w:nsid w:val="52D7B105"/>
    <w:multiLevelType w:val="hybridMultilevel"/>
    <w:lvl w:ilvl="0">
      <w:lvlJc w:val="left"/>
      <w:lvlText w:val="u"/>
      <w:numFmt w:val="bullet"/>
      <w:start w:val="1"/>
    </w:lvl>
  </w:abstractNum>
  <w:abstractNum w:abstractNumId="168">
    <w:nsid w:val="2E8A6394"/>
    <w:multiLevelType w:val="hybridMultilevel"/>
    <w:lvl w:ilvl="0">
      <w:lvlJc w:val="left"/>
      <w:lvlText w:val="u"/>
      <w:numFmt w:val="bullet"/>
      <w:start w:val="1"/>
    </w:lvl>
  </w:abstractNum>
  <w:abstractNum w:abstractNumId="169">
    <w:nsid w:val="24E60401"/>
    <w:multiLevelType w:val="hybridMultilevel"/>
    <w:lvl w:ilvl="0">
      <w:lvlJc w:val="left"/>
      <w:lvlText w:val="u"/>
      <w:numFmt w:val="bullet"/>
      <w:start w:val="1"/>
    </w:lvl>
  </w:abstractNum>
  <w:abstractNum w:abstractNumId="170">
    <w:nsid w:val="2A6AD9BE"/>
    <w:multiLevelType w:val="hybridMultilevel"/>
    <w:lvl w:ilvl="0">
      <w:lvlJc w:val="left"/>
      <w:lvlText w:val="(%1)"/>
      <w:numFmt w:val="decimal"/>
      <w:start w:val="1"/>
    </w:lvl>
  </w:abstractNum>
  <w:abstractNum w:abstractNumId="171">
    <w:nsid w:val="BAAC1B4"/>
    <w:multiLevelType w:val="hybridMultilevel"/>
    <w:lvl w:ilvl="0">
      <w:lvlJc w:val="left"/>
      <w:lvlText w:val="(%1)"/>
      <w:numFmt w:val="decimal"/>
      <w:start w:val="1"/>
    </w:lvl>
  </w:abstractNum>
  <w:abstractNum w:abstractNumId="172">
    <w:nsid w:val="36B2ACBC"/>
    <w:multiLevelType w:val="hybridMultilevel"/>
    <w:lvl w:ilvl="0">
      <w:lvlJc w:val="left"/>
      <w:lvlText w:val="(%1)"/>
      <w:numFmt w:val="decimal"/>
      <w:start w:val="1"/>
    </w:lvl>
  </w:abstractNum>
  <w:abstractNum w:abstractNumId="173">
    <w:nsid w:val="779D8544"/>
    <w:multiLevelType w:val="hybridMultilevel"/>
    <w:lvl w:ilvl="0">
      <w:lvlJc w:val="left"/>
      <w:lvlText w:val="(%1)"/>
      <w:numFmt w:val="decimal"/>
      <w:start w:val="1"/>
    </w:lvl>
  </w:abstractNum>
  <w:abstractNum w:abstractNumId="174">
    <w:nsid w:val="4AB26E78"/>
    <w:multiLevelType w:val="hybridMultilevel"/>
    <w:lvl w:ilvl="0">
      <w:lvlJc w:val="left"/>
      <w:lvlText w:val="(%1)"/>
      <w:numFmt w:val="lowerRoman"/>
      <w:start w:val="2"/>
    </w:lvl>
    <w:lvl w:ilvl="1">
      <w:lvlJc w:val="left"/>
      <w:lvlText w:val="%2."/>
      <w:numFmt w:val="decimal"/>
      <w:start w:val="2"/>
    </w:lvl>
  </w:abstractNum>
  <w:abstractNum w:abstractNumId="175">
    <w:nsid w:val="21FAA2FA"/>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jpeg"/><Relationship Id="rId45" Type="http://schemas.openxmlformats.org/officeDocument/2006/relationships/image" Target="media/image38.jpeg"/><Relationship Id="rId46" Type="http://schemas.openxmlformats.org/officeDocument/2006/relationships/image" Target="media/image39.jpeg"/><Relationship Id="rId47" Type="http://schemas.openxmlformats.org/officeDocument/2006/relationships/image" Target="media/image40.jpeg"/><Relationship Id="rId48" Type="http://schemas.openxmlformats.org/officeDocument/2006/relationships/image" Target="media/image41.jpeg"/><Relationship Id="rId49" Type="http://schemas.openxmlformats.org/officeDocument/2006/relationships/image" Target="media/image42.jpeg"/><Relationship Id="rId50" Type="http://schemas.openxmlformats.org/officeDocument/2006/relationships/image" Target="media/image43.jpeg"/><Relationship Id="rId51" Type="http://schemas.openxmlformats.org/officeDocument/2006/relationships/image" Target="media/image44.jpeg"/><Relationship Id="rId52" Type="http://schemas.openxmlformats.org/officeDocument/2006/relationships/image" Target="media/image45.jpe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jpe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jpe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jpe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jpe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jpe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jpeg"/><Relationship Id="rId81" Type="http://schemas.openxmlformats.org/officeDocument/2006/relationships/image" Target="media/image74.jpe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jpe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jpe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jpe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jpe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jpeg"/><Relationship Id="rId98" Type="http://schemas.openxmlformats.org/officeDocument/2006/relationships/image" Target="media/image91.png"/><Relationship Id="rId99" Type="http://schemas.openxmlformats.org/officeDocument/2006/relationships/image" Target="media/image92.jpe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jpeg"/><Relationship Id="rId104" Type="http://schemas.openxmlformats.org/officeDocument/2006/relationships/image" Target="media/image97.jpe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jpeg"/><Relationship Id="rId111" Type="http://schemas.openxmlformats.org/officeDocument/2006/relationships/image" Target="media/image104.jpe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jpe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jpe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jpe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jpe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jpe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jpeg"/><Relationship Id="rId132" Type="http://schemas.openxmlformats.org/officeDocument/2006/relationships/image" Target="media/image125.jpeg"/><Relationship Id="rId133" Type="http://schemas.openxmlformats.org/officeDocument/2006/relationships/image" Target="media/image126.jpe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jpeg"/><Relationship Id="rId139" Type="http://schemas.openxmlformats.org/officeDocument/2006/relationships/image" Target="media/image132.jpe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jpe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jpe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jpeg"/><Relationship Id="rId152" Type="http://schemas.openxmlformats.org/officeDocument/2006/relationships/image" Target="media/image145.png"/><Relationship Id="rId153" Type="http://schemas.openxmlformats.org/officeDocument/2006/relationships/image" Target="media/image146.jpeg"/><Relationship Id="rId154" Type="http://schemas.openxmlformats.org/officeDocument/2006/relationships/image" Target="media/image147.png"/><Relationship Id="rId155" Type="http://schemas.openxmlformats.org/officeDocument/2006/relationships/image" Target="media/image148.jpe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jpeg"/><Relationship Id="rId160" Type="http://schemas.openxmlformats.org/officeDocument/2006/relationships/image" Target="media/image153.jpe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jpeg"/><Relationship Id="rId164" Type="http://schemas.openxmlformats.org/officeDocument/2006/relationships/image" Target="media/image157.jpeg"/><Relationship Id="rId165" Type="http://schemas.openxmlformats.org/officeDocument/2006/relationships/image" Target="media/image158.png"/><Relationship Id="rId166" Type="http://schemas.openxmlformats.org/officeDocument/2006/relationships/image" Target="media/image159.jpeg"/><Relationship Id="rId167" Type="http://schemas.openxmlformats.org/officeDocument/2006/relationships/image" Target="media/image160.png"/><Relationship Id="rId168" Type="http://schemas.openxmlformats.org/officeDocument/2006/relationships/image" Target="media/image161.jpeg"/><Relationship Id="rId169" Type="http://schemas.openxmlformats.org/officeDocument/2006/relationships/image" Target="media/image162.jpeg"/><Relationship Id="rId170" Type="http://schemas.openxmlformats.org/officeDocument/2006/relationships/image" Target="media/image163.png"/><Relationship Id="rId171" Type="http://schemas.openxmlformats.org/officeDocument/2006/relationships/image" Target="media/image164.jpe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jpeg"/><Relationship Id="rId175" Type="http://schemas.openxmlformats.org/officeDocument/2006/relationships/image" Target="media/image168.png"/><Relationship Id="rId176" Type="http://schemas.openxmlformats.org/officeDocument/2006/relationships/image" Target="media/image169.jpeg"/><Relationship Id="rId177" Type="http://schemas.openxmlformats.org/officeDocument/2006/relationships/image" Target="media/image170.jpe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jpeg"/><Relationship Id="rId182" Type="http://schemas.openxmlformats.org/officeDocument/2006/relationships/image" Target="media/image175.png"/><Relationship Id="rId183" Type="http://schemas.openxmlformats.org/officeDocument/2006/relationships/image" Target="media/image176.jpeg"/><Relationship Id="rId184" Type="http://schemas.openxmlformats.org/officeDocument/2006/relationships/image" Target="media/image177.png"/><Relationship Id="rId185" Type="http://schemas.openxmlformats.org/officeDocument/2006/relationships/image" Target="media/image178.jpeg"/><Relationship Id="rId186" Type="http://schemas.openxmlformats.org/officeDocument/2006/relationships/image" Target="media/image179.jpeg"/><Relationship Id="rId187" Type="http://schemas.openxmlformats.org/officeDocument/2006/relationships/image" Target="media/image180.png"/><Relationship Id="rId188" Type="http://schemas.openxmlformats.org/officeDocument/2006/relationships/image" Target="media/image181.jpeg"/><Relationship Id="rId189" Type="http://schemas.openxmlformats.org/officeDocument/2006/relationships/image" Target="media/image182.png"/><Relationship Id="rId190" Type="http://schemas.openxmlformats.org/officeDocument/2006/relationships/image" Target="media/image183.jpeg"/><Relationship Id="rId191" Type="http://schemas.openxmlformats.org/officeDocument/2006/relationships/image" Target="media/image184.png"/><Relationship Id="rId192" Type="http://schemas.openxmlformats.org/officeDocument/2006/relationships/image" Target="media/image185.jpe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jpe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jpe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jpeg"/><Relationship Id="rId204" Type="http://schemas.openxmlformats.org/officeDocument/2006/relationships/image" Target="media/image197.png"/><Relationship Id="rId205" Type="http://schemas.openxmlformats.org/officeDocument/2006/relationships/image" Target="media/image198.jpeg"/><Relationship Id="rId206" Type="http://schemas.openxmlformats.org/officeDocument/2006/relationships/image" Target="media/image199.png"/><Relationship Id="rId207" Type="http://schemas.openxmlformats.org/officeDocument/2006/relationships/image" Target="media/image200.jpe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jpeg"/><Relationship Id="rId212" Type="http://schemas.openxmlformats.org/officeDocument/2006/relationships/image" Target="media/image205.png"/><Relationship Id="rId213" Type="http://schemas.openxmlformats.org/officeDocument/2006/relationships/image" Target="media/image206.jpe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jpeg"/><Relationship Id="rId217" Type="http://schemas.openxmlformats.org/officeDocument/2006/relationships/image" Target="media/image210.jpe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jpeg"/><Relationship Id="rId221" Type="http://schemas.openxmlformats.org/officeDocument/2006/relationships/image" Target="media/image214.png"/><Relationship Id="rId222" Type="http://schemas.openxmlformats.org/officeDocument/2006/relationships/image" Target="media/image215.jpeg"/><Relationship Id="rId223" Type="http://schemas.openxmlformats.org/officeDocument/2006/relationships/image" Target="media/image216.jpeg"/><Relationship Id="rId224" Type="http://schemas.openxmlformats.org/officeDocument/2006/relationships/image" Target="media/image217.jpeg"/><Relationship Id="rId225" Type="http://schemas.openxmlformats.org/officeDocument/2006/relationships/image" Target="media/image218.jpeg"/><Relationship Id="rId226" Type="http://schemas.openxmlformats.org/officeDocument/2006/relationships/image" Target="media/image219.jpeg"/><Relationship Id="rId227" Type="http://schemas.openxmlformats.org/officeDocument/2006/relationships/image" Target="media/image220.jpeg"/><Relationship Id="rId228" Type="http://schemas.openxmlformats.org/officeDocument/2006/relationships/image" Target="media/image221.jpeg"/><Relationship Id="rId229" Type="http://schemas.openxmlformats.org/officeDocument/2006/relationships/image" Target="media/image222.jpeg"/><Relationship Id="rId230" Type="http://schemas.openxmlformats.org/officeDocument/2006/relationships/image" Target="media/image223.jpeg"/><Relationship Id="rId231" Type="http://schemas.openxmlformats.org/officeDocument/2006/relationships/image" Target="media/image224.jpeg"/><Relationship Id="rId232" Type="http://schemas.openxmlformats.org/officeDocument/2006/relationships/image" Target="media/image225.jpeg"/><Relationship Id="rId233" Type="http://schemas.openxmlformats.org/officeDocument/2006/relationships/image" Target="media/image226.jpeg"/><Relationship Id="rId234" Type="http://schemas.openxmlformats.org/officeDocument/2006/relationships/image" Target="media/image227.jpeg"/><Relationship Id="rId235" Type="http://schemas.openxmlformats.org/officeDocument/2006/relationships/image" Target="media/image228.jpeg"/><Relationship Id="rId236" Type="http://schemas.openxmlformats.org/officeDocument/2006/relationships/image" Target="media/image229.jpeg"/><Relationship Id="rId237" Type="http://schemas.openxmlformats.org/officeDocument/2006/relationships/image" Target="media/image230.jpeg"/><Relationship Id="rId238" Type="http://schemas.openxmlformats.org/officeDocument/2006/relationships/image" Target="media/image231.jpeg"/><Relationship Id="rId239" Type="http://schemas.openxmlformats.org/officeDocument/2006/relationships/image" Target="media/image232.jpeg"/><Relationship Id="rId240" Type="http://schemas.openxmlformats.org/officeDocument/2006/relationships/image" Target="media/image233.jpeg"/><Relationship Id="rId241" Type="http://schemas.openxmlformats.org/officeDocument/2006/relationships/image" Target="media/image234.jpeg"/><Relationship Id="rId242" Type="http://schemas.openxmlformats.org/officeDocument/2006/relationships/image" Target="media/image235.jpeg"/><Relationship Id="rId243" Type="http://schemas.openxmlformats.org/officeDocument/2006/relationships/image" Target="media/image236.jpeg"/><Relationship Id="rId244" Type="http://schemas.openxmlformats.org/officeDocument/2006/relationships/image" Target="media/image237.jpeg"/><Relationship Id="rId245" Type="http://schemas.openxmlformats.org/officeDocument/2006/relationships/image" Target="media/image238.jpeg"/><Relationship Id="rId246" Type="http://schemas.openxmlformats.org/officeDocument/2006/relationships/image" Target="media/image239.jpeg"/><Relationship Id="rId247" Type="http://schemas.openxmlformats.org/officeDocument/2006/relationships/image" Target="media/image240.jpeg"/><Relationship Id="rId248" Type="http://schemas.openxmlformats.org/officeDocument/2006/relationships/image" Target="media/image241.jpeg"/><Relationship Id="rId249" Type="http://schemas.openxmlformats.org/officeDocument/2006/relationships/image" Target="media/image242.png"/><Relationship Id="rId250" Type="http://schemas.openxmlformats.org/officeDocument/2006/relationships/image" Target="media/image243.jpeg"/><Relationship Id="rId251" Type="http://schemas.openxmlformats.org/officeDocument/2006/relationships/image" Target="media/image244.jpeg"/><Relationship Id="rId252" Type="http://schemas.openxmlformats.org/officeDocument/2006/relationships/image" Target="media/image245.jpeg"/><Relationship Id="rId253" Type="http://schemas.openxmlformats.org/officeDocument/2006/relationships/image" Target="media/image246.jpeg"/><Relationship Id="rId254" Type="http://schemas.openxmlformats.org/officeDocument/2006/relationships/image" Target="media/image247.jpeg"/><Relationship Id="rId255" Type="http://schemas.openxmlformats.org/officeDocument/2006/relationships/image" Target="media/image248.png"/><Relationship Id="rId256" Type="http://schemas.openxmlformats.org/officeDocument/2006/relationships/image" Target="media/image249.jpeg"/><Relationship Id="rId257" Type="http://schemas.openxmlformats.org/officeDocument/2006/relationships/image" Target="media/image250.jpe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jpe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jpe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jpeg"/><Relationship Id="rId275" Type="http://schemas.openxmlformats.org/officeDocument/2006/relationships/image" Target="media/image268.png"/><Relationship Id="rId276" Type="http://schemas.openxmlformats.org/officeDocument/2006/relationships/image" Target="media/image269.jpeg"/><Relationship Id="rId277" Type="http://schemas.openxmlformats.org/officeDocument/2006/relationships/image" Target="media/image270.png"/><Relationship Id="rId278" Type="http://schemas.openxmlformats.org/officeDocument/2006/relationships/image" Target="media/image271.jpeg"/><Relationship Id="rId279" Type="http://schemas.openxmlformats.org/officeDocument/2006/relationships/image" Target="media/image272.png"/><Relationship Id="rId280" Type="http://schemas.openxmlformats.org/officeDocument/2006/relationships/image" Target="media/image273.jpe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jpe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jpeg"/><Relationship Id="rId289" Type="http://schemas.openxmlformats.org/officeDocument/2006/relationships/image" Target="media/image282.png"/><Relationship Id="rId290" Type="http://schemas.openxmlformats.org/officeDocument/2006/relationships/image" Target="media/image283.jpeg"/><Relationship Id="rId291" Type="http://schemas.openxmlformats.org/officeDocument/2006/relationships/image" Target="media/image284.jpe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jpe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jpeg"/><Relationship Id="rId298" Type="http://schemas.openxmlformats.org/officeDocument/2006/relationships/image" Target="media/image291.jpeg"/><Relationship Id="rId299" Type="http://schemas.openxmlformats.org/officeDocument/2006/relationships/image" Target="media/image292.jpeg"/><Relationship Id="rId300" Type="http://schemas.openxmlformats.org/officeDocument/2006/relationships/image" Target="media/image293.jpeg"/><Relationship Id="rId301" Type="http://schemas.openxmlformats.org/officeDocument/2006/relationships/image" Target="media/image294.jpeg"/><Relationship Id="rId302" Type="http://schemas.openxmlformats.org/officeDocument/2006/relationships/image" Target="media/image295.jpeg"/><Relationship Id="rId303" Type="http://schemas.openxmlformats.org/officeDocument/2006/relationships/image" Target="media/image296.jpeg"/><Relationship Id="rId304" Type="http://schemas.openxmlformats.org/officeDocument/2006/relationships/image" Target="media/image297.jpeg"/><Relationship Id="rId305" Type="http://schemas.openxmlformats.org/officeDocument/2006/relationships/image" Target="media/image298.jpeg"/><Relationship Id="rId306" Type="http://schemas.openxmlformats.org/officeDocument/2006/relationships/image" Target="media/image299.jpe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jpe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jpeg"/><Relationship Id="rId314" Type="http://schemas.openxmlformats.org/officeDocument/2006/relationships/image" Target="media/image307.jpeg"/><Relationship Id="rId315" Type="http://schemas.openxmlformats.org/officeDocument/2006/relationships/image" Target="media/image308.jpeg"/><Relationship Id="rId316" Type="http://schemas.openxmlformats.org/officeDocument/2006/relationships/image" Target="media/image309.jpeg"/><Relationship Id="rId317" Type="http://schemas.openxmlformats.org/officeDocument/2006/relationships/image" Target="media/image310.jpeg"/><Relationship Id="rId318" Type="http://schemas.openxmlformats.org/officeDocument/2006/relationships/image" Target="media/image311.jpeg"/><Relationship Id="rId319" Type="http://schemas.openxmlformats.org/officeDocument/2006/relationships/image" Target="media/image312.jpe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jpeg"/><Relationship Id="rId324" Type="http://schemas.openxmlformats.org/officeDocument/2006/relationships/image" Target="media/image317.jpe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jpeg"/><Relationship Id="rId328" Type="http://schemas.openxmlformats.org/officeDocument/2006/relationships/image" Target="media/image321.jpeg"/><Relationship Id="rId329" Type="http://schemas.openxmlformats.org/officeDocument/2006/relationships/image" Target="media/image322.jpeg"/><Relationship Id="rId330" Type="http://schemas.openxmlformats.org/officeDocument/2006/relationships/image" Target="media/image323.jpeg"/><Relationship Id="rId331" Type="http://schemas.openxmlformats.org/officeDocument/2006/relationships/image" Target="media/image324.jpeg"/><Relationship Id="rId332" Type="http://schemas.openxmlformats.org/officeDocument/2006/relationships/image" Target="media/image325.jpeg"/><Relationship Id="rId333" Type="http://schemas.openxmlformats.org/officeDocument/2006/relationships/image" Target="media/image326.jpeg"/><Relationship Id="rId334" Type="http://schemas.openxmlformats.org/officeDocument/2006/relationships/image" Target="media/image327.jpe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jpe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jpeg"/><Relationship Id="rId342" Type="http://schemas.openxmlformats.org/officeDocument/2006/relationships/image" Target="media/image335.jpeg"/><Relationship Id="rId343" Type="http://schemas.openxmlformats.org/officeDocument/2006/relationships/image" Target="media/image336.jpeg"/><Relationship Id="rId344" Type="http://schemas.openxmlformats.org/officeDocument/2006/relationships/image" Target="media/image337.jpeg"/><Relationship Id="rId345" Type="http://schemas.openxmlformats.org/officeDocument/2006/relationships/image" Target="media/image338.jpeg"/><Relationship Id="rId346" Type="http://schemas.openxmlformats.org/officeDocument/2006/relationships/image" Target="media/image339.jpeg"/><Relationship Id="rId347" Type="http://schemas.openxmlformats.org/officeDocument/2006/relationships/image" Target="media/image340.jpeg"/><Relationship Id="rId348" Type="http://schemas.openxmlformats.org/officeDocument/2006/relationships/image" Target="media/image341.jpeg"/><Relationship Id="rId349" Type="http://schemas.openxmlformats.org/officeDocument/2006/relationships/image" Target="media/image342.jpeg"/><Relationship Id="rId350" Type="http://schemas.openxmlformats.org/officeDocument/2006/relationships/image" Target="media/image343.jpeg"/><Relationship Id="rId351" Type="http://schemas.openxmlformats.org/officeDocument/2006/relationships/image" Target="media/image344.jpeg"/><Relationship Id="rId352" Type="http://schemas.openxmlformats.org/officeDocument/2006/relationships/image" Target="media/image345.jpe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jpeg"/><Relationship Id="rId356" Type="http://schemas.openxmlformats.org/officeDocument/2006/relationships/image" Target="media/image349.png"/><Relationship Id="rId357" Type="http://schemas.openxmlformats.org/officeDocument/2006/relationships/image" Target="media/image350.jpe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jpeg"/><Relationship Id="rId361" Type="http://schemas.openxmlformats.org/officeDocument/2006/relationships/image" Target="media/image354.jpeg"/><Relationship Id="rId362" Type="http://schemas.openxmlformats.org/officeDocument/2006/relationships/image" Target="media/image355.jpeg"/><Relationship Id="rId363" Type="http://schemas.openxmlformats.org/officeDocument/2006/relationships/image" Target="media/image356.jpeg"/><Relationship Id="rId364" Type="http://schemas.openxmlformats.org/officeDocument/2006/relationships/image" Target="media/image357.jpeg"/><Relationship Id="rId365" Type="http://schemas.openxmlformats.org/officeDocument/2006/relationships/image" Target="media/image358.jpeg"/><Relationship Id="rId366" Type="http://schemas.openxmlformats.org/officeDocument/2006/relationships/image" Target="media/image359.jpe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jpeg"/><Relationship Id="rId371" Type="http://schemas.openxmlformats.org/officeDocument/2006/relationships/image" Target="media/image364.png"/><Relationship Id="rId372" Type="http://schemas.openxmlformats.org/officeDocument/2006/relationships/image" Target="media/image365.jpeg"/><Relationship Id="rId373" Type="http://schemas.openxmlformats.org/officeDocument/2006/relationships/image" Target="media/image366.jpe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jpe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jpe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jpe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jpe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jpe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jpe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jpe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jpe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jpe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jpe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jpe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jpe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jpe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jpe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jpe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jpe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jpe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jpe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jpe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jpe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jpe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jpe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jpeg"/><Relationship Id="rId489" Type="http://schemas.openxmlformats.org/officeDocument/2006/relationships/image" Target="media/image482.png"/><Relationship Id="rId490" Type="http://schemas.openxmlformats.org/officeDocument/2006/relationships/image" Target="media/image483.jpeg"/><Relationship Id="rId491" Type="http://schemas.openxmlformats.org/officeDocument/2006/relationships/image" Target="media/image484.png"/><Relationship Id="rId492" Type="http://schemas.openxmlformats.org/officeDocument/2006/relationships/image" Target="media/image485.jpeg"/><Relationship Id="rId493" Type="http://schemas.openxmlformats.org/officeDocument/2006/relationships/image" Target="media/image486.png"/><Relationship Id="rId494" Type="http://schemas.openxmlformats.org/officeDocument/2006/relationships/image" Target="media/image48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2023-04-28T14:57:18Z</dcterms:created>
  <dcterms:modified xsi:type="dcterms:W3CDTF">2023-04-28T14:57:18Z</dcterms:modified>
</cp:coreProperties>
</file>