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285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2851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Jacobson Paul 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80"/>
        <w:spacing w:after="0" w:line="324" w:lineRule="auto"/>
        <w:rPr>
          <w:sz w:val="20"/>
          <w:szCs w:val="20"/>
          <w:color w:val="auto"/>
        </w:rPr>
      </w:pPr>
      <w:r>
        <w:rPr>
          <w:rFonts w:ascii="Times New Roman" w:cs="Times New Roman" w:eastAsia="Times New Roman" w:hAnsi="Times New Roman"/>
          <w:sz w:val="16"/>
          <w:szCs w:val="16"/>
          <w:color w:val="0000FF"/>
        </w:rPr>
        <w:t>1240 WOODWARD AVENUE M/C: 482-22381-1003</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48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2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20" w:type="dxa"/>
            <w:vAlign w:val="bottom"/>
            <w:gridSpan w:val="6"/>
          </w:tcPr>
          <w:p>
            <w:pPr>
              <w:jc w:val="center"/>
              <w:ind w:right="13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59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02/06/2026</w:t>
            </w:r>
          </w:p>
        </w:tc>
        <w:tc>
          <w:tcPr>
            <w:tcW w:w="10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8"/>
              </w:rPr>
              <w:t>20,379</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7"/>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354,373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02/06/2026</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0000FF"/>
                <w:w w:val="99"/>
              </w:rPr>
              <w:t>9,251</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84.24</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345,122</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02/07/2026</w:t>
            </w:r>
          </w:p>
        </w:tc>
        <w:tc>
          <w:tcPr>
            <w:tcW w:w="10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7"/>
              </w:rPr>
              <w:t>220,753</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7"/>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565,875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02/07/2026</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0000FF"/>
                <w:w w:val="97"/>
              </w:rPr>
              <w:t>100,200</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84.24</w:t>
            </w:r>
          </w:p>
        </w:tc>
        <w:tc>
          <w:tcPr>
            <w:tcW w:w="1300" w:type="dxa"/>
            <w:vAlign w:val="bottom"/>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465,675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jc w:val="center"/>
              <w:ind w:left="45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of (D) (Instr. 3,</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20,379</w:t>
            </w:r>
            <w:r>
              <w:rPr>
                <w:rFonts w:ascii="Times New Roman" w:cs="Times New Roman" w:eastAsia="Times New Roman" w:hAnsi="Times New Roman"/>
                <w:sz w:val="21"/>
                <w:szCs w:val="21"/>
                <w:color w:val="008000"/>
                <w:vertAlign w:val="superscript"/>
              </w:rPr>
              <w:t>(4)</w:t>
            </w:r>
          </w:p>
        </w:tc>
        <w:tc>
          <w:tcPr>
            <w:tcW w:w="78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20,379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02/06/2026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20,378</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converts into common stock on a one-for-one basis.</w:t>
      </w:r>
    </w:p>
    <w:p>
      <w:pPr>
        <w:spacing w:after="0" w:line="41" w:lineRule="exact"/>
        <w:rPr>
          <w:rFonts w:ascii="Times New Roman" w:cs="Times New Roman" w:eastAsia="Times New Roman" w:hAnsi="Times New Roman"/>
          <w:sz w:val="13"/>
          <w:szCs w:val="13"/>
          <w:color w:val="008000"/>
        </w:rPr>
      </w:pPr>
    </w:p>
    <w:p>
      <w:pPr>
        <w:ind w:left="40" w:right="3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7, 2023, the Reporting Person received a grant of Performance Stock Units ("PSUs"). Under the grant, the PSUs could be earned based on the achievement of certain financial targets. The PSUs vested on February 7, 2026, and were awarded in shares of common stock.</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do not have a conversion or exercise price.</w:t>
      </w:r>
    </w:p>
    <w:p>
      <w:pPr>
        <w:spacing w:after="0" w:line="41" w:lineRule="exact"/>
        <w:rPr>
          <w:rFonts w:ascii="Times New Roman" w:cs="Times New Roman" w:eastAsia="Times New Roman" w:hAnsi="Times New Roman"/>
          <w:sz w:val="13"/>
          <w:szCs w:val="13"/>
          <w:color w:val="008000"/>
        </w:rPr>
      </w:pPr>
    </w:p>
    <w:p>
      <w:pPr>
        <w:ind w:left="40" w:right="4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awarded on February 6, 2024. Two-thirds of the RSUs vested on February 6, 2025 and on February 6, 2026, respectively. The remaining one-third will vest on February 6, 2027. Each RSU represents a right to receive one share of the Company's common stock upon settlement.</w:t>
      </w:r>
    </w:p>
    <w:p>
      <w:pPr>
        <w:sectPr>
          <w:pgSz w:w="11900" w:h="16838" w:orient="portrait"/>
          <w:cols w:equalWidth="0" w:num="1">
            <w:col w:w="11080"/>
          </w:cols>
          <w:pgMar w:left="460" w:top="216" w:right="359" w:bottom="144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5. The RSUs do not have a date on which they become exercisable or expire.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Tia Y. Turk,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for Mr. Jacobson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711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4"/>
          <w:szCs w:val="24"/>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3655"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2026-02-10T15:11:20Z</dcterms:created>
  <dcterms:modified xsi:type="dcterms:W3CDTF">2026-02-10T15:11:20Z</dcterms:modified>
</cp:coreProperties>
</file>