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SEC Form 4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if no longer subject to Section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-17780</wp:posOffset>
            </wp:positionV>
            <wp:extent cx="105410" cy="1054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10" cy="105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0" w:right="160" w:hanging="7"/>
        <w:spacing w:after="0" w:line="260" w:lineRule="auto"/>
        <w:tabs>
          <w:tab w:leader="none" w:pos="456" w:val="left"/>
        </w:tabs>
        <w:numPr>
          <w:ilvl w:val="0"/>
          <w:numId w:val="1"/>
        </w:numPr>
        <w:rPr>
          <w:rFonts w:ascii="Arial" w:cs="Arial" w:eastAsia="Arial" w:hAnsi="Arial"/>
          <w:sz w:val="9"/>
          <w:szCs w:val="9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9"/>
          <w:szCs w:val="9"/>
          <w:color w:val="auto"/>
        </w:rPr>
        <w:t>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1"/>
        </w:trPr>
        <w:tc>
          <w:tcPr>
            <w:tcW w:w="5740" w:type="dxa"/>
            <w:vAlign w:val="bottom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6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40" w:type="dxa"/>
            <w:vAlign w:val="bottom"/>
            <w:vMerge w:val="restart"/>
          </w:tcPr>
          <w:p>
            <w:pPr>
              <w:jc w:val="center"/>
              <w:ind w:right="8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5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4936490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3627120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-2004060</wp:posOffset>
            </wp:positionH>
            <wp:positionV relativeFrom="paragraph">
              <wp:posOffset>13335</wp:posOffset>
            </wp:positionV>
            <wp:extent cx="7019290" cy="3104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104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20" w:space="720"/>
            <w:col w:w="7880"/>
          </w:cols>
          <w:pgMar w:left="440" w:top="206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17"/>
                <w:szCs w:val="17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17"/>
                  <w:szCs w:val="17"/>
                  <w:color w:val="0000EE"/>
                  <w:w w:val="94"/>
                </w:rPr>
                <w:t>WENIG DEVIN</w:t>
              </w:r>
            </w:hyperlink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45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GM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300 RENAISSANCE CENTER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12/31/2021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M/C: 482-C24-A68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56" w:lineRule="auto"/>
        <w:tabs>
          <w:tab w:leader="none" w:pos="122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tbl>
      <w:tblPr>
        <w:tblLayout w:type="fixed"/>
        <w:tblInd w:w="20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7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6" w:right="4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shd w:val="clear" w:color="auto" w:fill="9A9A9A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DETROIT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MI</w:t>
            </w:r>
          </w:p>
        </w:tc>
        <w:tc>
          <w:tcPr>
            <w:tcW w:w="1740" w:type="dxa"/>
            <w:vAlign w:val="bottom"/>
            <w:gridSpan w:val="2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48265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jc w:val="right"/>
              <w:ind w:righ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   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7"/>
              </w:rPr>
              <w:t>Code</w:t>
            </w: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center"/>
              <w:ind w:left="1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2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Deferred Share Units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12/31/2021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5,995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  <w:w w:val="72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8000"/>
              </w:rPr>
              <w:t>(1)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5,995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$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55.88</w:t>
            </w:r>
            <w:r>
              <w:rPr>
                <w:rFonts w:ascii="Arial" w:cs="Arial" w:eastAsia="Arial" w:hAnsi="Arial"/>
                <w:sz w:val="17"/>
                <w:szCs w:val="17"/>
                <w:color w:val="008000"/>
                <w:vertAlign w:val="superscript"/>
              </w:rPr>
              <w:t>(3)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30,456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Amounts credited as DSUs will be paid in cash after the non-employee director leaves the Board, valued at the average closing price of the Company's Common Stock during the quarter immediately preceding payment.</w:t>
      </w:r>
    </w:p>
    <w:p>
      <w:pPr>
        <w:spacing w:after="0" w:line="40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40" w:right="180" w:hanging="6"/>
        <w:spacing w:after="0" w:line="269" w:lineRule="auto"/>
        <w:tabs>
          <w:tab w:leader="none" w:pos="144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Deferred Share Units ("DSUs") were awarded pursuant to the General Motors Company Deferred Compensation Plan for Non-Employee Directors (the ("Plan"). Under the Plan, each non-employee director is required to defer one-half of the $305,000 annual retainer fee for service on the Board of Directors into DSUs and may elect to defer more.</w:t>
      </w:r>
    </w:p>
    <w:p>
      <w:pPr>
        <w:spacing w:after="0" w:line="11" w:lineRule="exact"/>
        <w:rPr>
          <w:rFonts w:ascii="Arial" w:cs="Arial" w:eastAsia="Arial" w:hAnsi="Arial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008000"/>
        </w:rPr>
      </w:pPr>
      <w:r>
        <w:rPr>
          <w:rFonts w:ascii="Arial" w:cs="Arial" w:eastAsia="Arial" w:hAnsi="Arial"/>
          <w:sz w:val="10"/>
          <w:szCs w:val="10"/>
          <w:color w:val="008000"/>
        </w:rPr>
        <w:t>The price of the DSUs is the average closing price of the Company's Common Stock during the previous calendar year.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15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/s/ Tia Y. Turk, attorney-in-fact for Mr.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2540</wp:posOffset>
            </wp:positionV>
            <wp:extent cx="132969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Wenig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4199255</wp:posOffset>
            </wp:positionH>
            <wp:positionV relativeFrom="paragraph">
              <wp:posOffset>-7620</wp:posOffset>
            </wp:positionV>
            <wp:extent cx="220980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6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00FF"/>
        </w:rPr>
        <w:t>01/04/2022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2540</wp:posOffset>
            </wp:positionV>
            <wp:extent cx="389890" cy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89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20"/>
            <w:col w:w="2200"/>
          </w:cols>
          <w:pgMar w:left="440" w:top="206" w:right="4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4 (b)(v).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jc w:val="both"/>
        <w:ind w:left="40" w:right="5000" w:hanging="6"/>
        <w:spacing w:after="0" w:line="322" w:lineRule="auto"/>
        <w:tabs>
          <w:tab w:leader="none" w:pos="149" w:val="left"/>
        </w:tabs>
        <w:numPr>
          <w:ilvl w:val="0"/>
          <w:numId w:val="4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6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16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95983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2022-01-04T16:40:40Z</dcterms:created>
  <dcterms:modified xsi:type="dcterms:W3CDTF">2022-01-04T16:40:40Z</dcterms:modified>
</cp:coreProperties>
</file>