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536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53644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Ammann Daniel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020"/>
        <w:spacing w:after="0" w:line="313"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07/28/2015</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6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40" w:type="dxa"/>
            <w:vAlign w:val="bottom"/>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40" w:type="dxa"/>
            <w:vAlign w:val="bottom"/>
          </w:tcPr>
          <w:p>
            <w:pPr>
              <w:ind w:left="1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6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25"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3800" w:type="dxa"/>
            <w:vAlign w:val="bottom"/>
            <w:gridSpan w:val="7"/>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820" w:type="dxa"/>
            <w:vAlign w:val="bottom"/>
            <w:gridSpan w:val="10"/>
          </w:tcPr>
          <w:p>
            <w:pPr>
              <w:ind w:left="34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976,139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gridSpan w:val="2"/>
          </w:tcPr>
          <w:p>
            <w:pPr>
              <w:ind w:left="60"/>
              <w:spacing w:after="0" w:line="141" w:lineRule="exact"/>
              <w:rPr>
                <w:sz w:val="20"/>
                <w:szCs w:val="20"/>
                <w:color w:val="auto"/>
              </w:rPr>
            </w:pPr>
            <w:r>
              <w:rPr>
                <w:rFonts w:ascii="Arial" w:cs="Arial" w:eastAsia="Arial" w:hAnsi="Arial"/>
                <w:sz w:val="13"/>
                <w:szCs w:val="13"/>
                <w:color w:val="0000FF"/>
              </w:rPr>
              <w:t>Stock</w:t>
            </w:r>
          </w:p>
        </w:tc>
        <w:tc>
          <w:tcPr>
            <w:tcW w:w="660" w:type="dxa"/>
            <w:vAlign w:val="bottom"/>
          </w:tcPr>
          <w:p>
            <w:pPr>
              <w:ind w:left="22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40" w:type="dxa"/>
            <w:vAlign w:val="bottom"/>
          </w:tcPr>
          <w:p>
            <w:pPr>
              <w:spacing w:after="0"/>
              <w:rPr>
                <w:sz w:val="12"/>
                <w:szCs w:val="12"/>
                <w:color w:val="auto"/>
              </w:rPr>
            </w:pPr>
          </w:p>
        </w:tc>
        <w:tc>
          <w:tcPr>
            <w:tcW w:w="1100" w:type="dxa"/>
            <w:vAlign w:val="bottom"/>
          </w:tcPr>
          <w:p>
            <w:pPr>
              <w:ind w:left="260"/>
              <w:spacing w:after="0" w:line="141" w:lineRule="exact"/>
              <w:rPr>
                <w:sz w:val="20"/>
                <w:szCs w:val="20"/>
                <w:color w:val="auto"/>
              </w:rPr>
            </w:pPr>
            <w:r>
              <w:rPr>
                <w:rFonts w:ascii="Arial" w:cs="Arial" w:eastAsia="Arial" w:hAnsi="Arial"/>
                <w:sz w:val="13"/>
                <w:szCs w:val="13"/>
                <w:color w:val="0000FF"/>
              </w:rPr>
              <w:t>07/28/2015</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20"/>
              <w:spacing w:after="0" w:line="141" w:lineRule="exact"/>
              <w:rPr>
                <w:sz w:val="20"/>
                <w:szCs w:val="20"/>
                <w:color w:val="auto"/>
              </w:rPr>
            </w:pPr>
            <w:r>
              <w:rPr>
                <w:rFonts w:ascii="Arial" w:cs="Arial" w:eastAsia="Arial" w:hAnsi="Arial"/>
                <w:sz w:val="13"/>
                <w:szCs w:val="13"/>
                <w:color w:val="0000FF"/>
              </w:rPr>
              <w:t>A</w:t>
            </w:r>
          </w:p>
        </w:tc>
        <w:tc>
          <w:tcPr>
            <w:tcW w:w="680" w:type="dxa"/>
            <w:vAlign w:val="bottom"/>
          </w:tcPr>
          <w:p>
            <w:pPr>
              <w:ind w:left="120"/>
              <w:spacing w:after="0" w:line="141" w:lineRule="exact"/>
              <w:rPr>
                <w:sz w:val="20"/>
                <w:szCs w:val="20"/>
                <w:color w:val="auto"/>
              </w:rPr>
            </w:pPr>
            <w:r>
              <w:rPr>
                <w:rFonts w:ascii="Arial" w:cs="Arial" w:eastAsia="Arial" w:hAnsi="Arial"/>
                <w:sz w:val="13"/>
                <w:szCs w:val="13"/>
                <w:color w:val="0000FF"/>
              </w:rPr>
              <w:t>976,139</w:t>
            </w:r>
          </w:p>
        </w:tc>
        <w:tc>
          <w:tcPr>
            <w:tcW w:w="280" w:type="dxa"/>
            <w:vAlign w:val="bottom"/>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line="141" w:lineRule="exact"/>
              <w:rPr>
                <w:sz w:val="20"/>
                <w:szCs w:val="20"/>
                <w:color w:val="auto"/>
              </w:rPr>
            </w:pPr>
            <w:r>
              <w:rPr>
                <w:rFonts w:ascii="Arial" w:cs="Arial" w:eastAsia="Arial" w:hAnsi="Arial"/>
                <w:sz w:val="13"/>
                <w:szCs w:val="13"/>
                <w:color w:val="0000FF"/>
              </w:rPr>
              <w:t>07/28/2025</w:t>
            </w: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6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line="141" w:lineRule="exact"/>
              <w:rPr>
                <w:sz w:val="20"/>
                <w:szCs w:val="20"/>
                <w:color w:val="auto"/>
              </w:rPr>
            </w:pPr>
            <w:r>
              <w:rPr>
                <w:rFonts w:ascii="Arial" w:cs="Arial" w:eastAsia="Arial" w:hAnsi="Arial"/>
                <w:sz w:val="13"/>
                <w:szCs w:val="13"/>
                <w:color w:val="0000FF"/>
              </w:rPr>
              <w:t>976,139</w:t>
            </w:r>
          </w:p>
        </w:tc>
        <w:tc>
          <w:tcPr>
            <w:tcW w:w="680" w:type="dxa"/>
            <w:vAlign w:val="bottom"/>
          </w:tcPr>
          <w:p>
            <w:pPr>
              <w:ind w:left="340"/>
              <w:spacing w:after="0" w:line="14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r>
              <w:rPr>
                <w:rFonts w:ascii="Arial" w:cs="Arial" w:eastAsia="Arial" w:hAnsi="Arial"/>
                <w:sz w:val="22"/>
                <w:szCs w:val="22"/>
                <w:color w:val="008000"/>
                <w:vertAlign w:val="superscript"/>
              </w:rPr>
              <w:t>(1)</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6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options were granted under the 2014 General Motors Long-Term Incentive Plan and vest as follows: 40% on February 15, 2017; 20% on February 15, 2018 upon meeting or exceeding the median Total Shareholder Return ("TSR") of the original equipment manufacturers, other than GM, as of the grant date in the Dow Jones Automobiles and Parts Titan 30 Index ("OEM Peer Group") for the period July 28, 2015 through December 31, 2017; 20% on February 15, 2019 upon meeting or exceeding the median TSR of the OEM Peer Group for the period July 28, 2015 through December 31, 2018; and 20% on February 15, 2020 upon meeting or exceeding the median TSR of the OEM Peer Group for the period July 28, 2015 through December 31,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046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2"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07/30/2015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1950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Ammann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406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6400" cy="8255"/>
                    </a:xfrm>
                    <a:prstGeom prst="rect">
                      <a:avLst/>
                    </a:prstGeom>
                    <a:noFill/>
                  </pic:spPr>
                </pic:pic>
              </a:graphicData>
            </a:graphic>
          </wp:anchor>
        </w:drawing>
      </w:r>
    </w:p>
    <w:p>
      <w:pPr>
        <w:spacing w:after="0" w:line="5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490220</wp:posOffset>
            </wp:positionH>
            <wp:positionV relativeFrom="page">
              <wp:posOffset>357505</wp:posOffset>
            </wp:positionV>
            <wp:extent cx="6715760" cy="8839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715760" cy="883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92931"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2019-12-08T21:50:37Z</dcterms:created>
  <dcterms:modified xsi:type="dcterms:W3CDTF">2019-12-08T21:50:37Z</dcterms:modified>
</cp:coreProperties>
</file>