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757604.xml.htm"/>
      <w:bookmarkStart w:id="1" w:name="kswkform4_17707576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Harvey Rory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 WOODWARD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482-22381-1003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1012"/>
        <w:gridCol w:w="448"/>
        <w:gridCol w:w="751"/>
        <w:gridCol w:w="1152"/>
        <w:gridCol w:w="989"/>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32,926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84.24</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26,519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24,083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50,602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84.24</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40,101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152,459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192,560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66,547</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84.24</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126,013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15,531</w:t>
            </w:r>
            <w:r>
              <w:rPr>
                <w:rFonts w:ascii="Times;serif" w:hAnsi="Times;serif"/>
                <w:color w:val="008000"/>
                <w:position w:val="7"/>
                <w:sz w:val="16"/>
                <w:sz w:val="20"/>
                <w:shd w:fill="FFFFFF" w:val="clear"/>
              </w:rPr>
              <w:t>(5)</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converts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February 7, 2023, the Reporting Person received a grant of Performance Stock Units ("PSUs"). Under the grant, the PSUs could be earned based on the achievement of certain financial targets. The PSUs vested on February 7, 2026, and were awarded in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3, 2023, the Reporting Person received a grant of Performance Stock Units ("PSUs"). Under the grant, the PSUs could be earned based on the achievement of certain financial targets. The PSUs vested on February 7, 2026 and were awarded in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do not have a conversion or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were awarded on February 6, 2024. Two-thirds of the RSUs vested on February 6, 2025 and on February 6, 2026, respectively. The remaining one-third will vest on February 6, 2027. Each RSU represents a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do not have a date on which they become exercisable or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Harvey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6795"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4233</Characters>
  <CharactersWithSpaces>4931</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