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6573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57352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21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Barra Mary T</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06/30/2015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3"/>
        <w:spacing w:after="0"/>
        <w:rPr>
          <w:sz w:val="20"/>
          <w:szCs w:val="20"/>
          <w:color w:val="auto"/>
        </w:rPr>
      </w:pPr>
      <w:r>
        <w:rPr>
          <w:rFonts w:ascii="Arial" w:cs="Arial" w:eastAsia="Arial" w:hAnsi="Arial"/>
          <w:sz w:val="17"/>
          <w:szCs w:val="17"/>
          <w:color w:val="0000FF"/>
        </w:rPr>
        <w:t>Chief Executive Officer</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211"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7"/>
          </w:tcPr>
          <w:p>
            <w:pPr>
              <w:jc w:val="center"/>
              <w:ind w:right="49"/>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740" w:type="dxa"/>
            <w:vAlign w:val="bottom"/>
            <w:tcBorders>
              <w:bottom w:val="single" w:sz="8" w:color="2C2C2C"/>
            </w:tcBorders>
            <w:gridSpan w:val="4"/>
          </w:tcPr>
          <w:p>
            <w:pPr>
              <w:spacing w:after="0"/>
              <w:rPr>
                <w:sz w:val="11"/>
                <w:szCs w:val="11"/>
                <w:color w:val="auto"/>
              </w:rPr>
            </w:pPr>
          </w:p>
        </w:tc>
        <w:tc>
          <w:tcPr>
            <w:tcW w:w="780" w:type="dxa"/>
            <w:vAlign w:val="bottom"/>
            <w:tcBorders>
              <w:bottom w:val="single" w:sz="8" w:color="2C2C2C"/>
            </w:tcBorders>
            <w:gridSpan w:val="3"/>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20" w:type="dxa"/>
            <w:vAlign w:val="bottom"/>
            <w:gridSpan w:val="3"/>
          </w:tcPr>
          <w:p>
            <w:pPr>
              <w:jc w:val="center"/>
              <w:ind w:left="585"/>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jc w:val="center"/>
              <w:ind w:right="8"/>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(1)</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5"/>
              <w:spacing w:after="0"/>
              <w:rPr>
                <w:sz w:val="20"/>
                <w:szCs w:val="20"/>
                <w:color w:val="auto"/>
              </w:rPr>
            </w:pPr>
            <w:r>
              <w:rPr>
                <w:rFonts w:ascii="Arial" w:cs="Arial" w:eastAsia="Arial" w:hAnsi="Arial"/>
                <w:sz w:val="17"/>
                <w:szCs w:val="17"/>
                <w:color w:val="0000FF"/>
                <w:w w:val="93"/>
              </w:rPr>
              <w:t>06/30/2015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0000FF"/>
                <w:w w:val="92"/>
              </w:rPr>
              <w:t>10,618</w:t>
            </w:r>
          </w:p>
        </w:tc>
        <w:tc>
          <w:tcPr>
            <w:tcW w:w="680" w:type="dxa"/>
            <w:vAlign w:val="bottom"/>
            <w:tcBorders>
              <w:bottom w:val="single" w:sz="8" w:color="2C2C2C"/>
            </w:tcBorders>
          </w:tcPr>
          <w:p>
            <w:pPr>
              <w:jc w:val="right"/>
              <w:ind w:right="169"/>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49"/>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78,283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5"/>
              <w:spacing w:after="0"/>
              <w:rPr>
                <w:sz w:val="20"/>
                <w:szCs w:val="20"/>
                <w:color w:val="auto"/>
              </w:rPr>
            </w:pPr>
            <w:r>
              <w:rPr>
                <w:rFonts w:ascii="Arial" w:cs="Arial" w:eastAsia="Arial" w:hAnsi="Arial"/>
                <w:sz w:val="17"/>
                <w:szCs w:val="17"/>
                <w:color w:val="0000FF"/>
                <w:w w:val="93"/>
              </w:rPr>
              <w:t>06/30/2015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0000FF"/>
                <w:w w:val="93"/>
              </w:rPr>
              <w:t>5,585</w:t>
            </w:r>
          </w:p>
        </w:tc>
        <w:tc>
          <w:tcPr>
            <w:tcW w:w="680" w:type="dxa"/>
            <w:vAlign w:val="bottom"/>
            <w:tcBorders>
              <w:bottom w:val="single" w:sz="8" w:color="2C2C2C"/>
            </w:tcBorders>
          </w:tcPr>
          <w:p>
            <w:pPr>
              <w:jc w:val="right"/>
              <w:ind w:right="169"/>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33.32</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72,698</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5"/>
              <w:spacing w:after="0"/>
              <w:rPr>
                <w:sz w:val="20"/>
                <w:szCs w:val="20"/>
                <w:color w:val="auto"/>
              </w:rPr>
            </w:pPr>
            <w:r>
              <w:rPr>
                <w:rFonts w:ascii="Arial" w:cs="Arial" w:eastAsia="Arial" w:hAnsi="Arial"/>
                <w:sz w:val="17"/>
                <w:szCs w:val="17"/>
                <w:color w:val="0000FF"/>
                <w:w w:val="93"/>
              </w:rPr>
              <w:t>06/30/2015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0000FF"/>
                <w:w w:val="93"/>
              </w:rPr>
              <w:t>5,033</w:t>
            </w:r>
          </w:p>
        </w:tc>
        <w:tc>
          <w:tcPr>
            <w:tcW w:w="680" w:type="dxa"/>
            <w:vAlign w:val="bottom"/>
            <w:tcBorders>
              <w:bottom w:val="single" w:sz="8" w:color="2C2C2C"/>
            </w:tcBorders>
          </w:tcPr>
          <w:p>
            <w:pPr>
              <w:jc w:val="right"/>
              <w:ind w:right="169"/>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33.32</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67,665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6"/>
              </w:rPr>
              <w:t>Common Stock</w:t>
            </w:r>
            <w:r>
              <w:rPr>
                <w:rFonts w:ascii="Arial" w:cs="Arial" w:eastAsia="Arial" w:hAnsi="Arial"/>
                <w:sz w:val="22"/>
                <w:szCs w:val="22"/>
                <w:color w:val="008000"/>
                <w:w w:val="96"/>
                <w:vertAlign w:val="superscript"/>
              </w:rPr>
              <w:t>(3)</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5"/>
              <w:spacing w:after="0"/>
              <w:rPr>
                <w:sz w:val="20"/>
                <w:szCs w:val="20"/>
                <w:color w:val="auto"/>
              </w:rPr>
            </w:pPr>
            <w:r>
              <w:rPr>
                <w:rFonts w:ascii="Arial" w:cs="Arial" w:eastAsia="Arial" w:hAnsi="Arial"/>
                <w:sz w:val="17"/>
                <w:szCs w:val="17"/>
                <w:color w:val="0000FF"/>
                <w:w w:val="93"/>
              </w:rPr>
              <w:t>06/30/2015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0000FF"/>
                <w:w w:val="89"/>
              </w:rPr>
              <w:t>7,116</w:t>
            </w:r>
          </w:p>
        </w:tc>
        <w:tc>
          <w:tcPr>
            <w:tcW w:w="680" w:type="dxa"/>
            <w:vAlign w:val="bottom"/>
            <w:tcBorders>
              <w:bottom w:val="single" w:sz="8" w:color="2C2C2C"/>
            </w:tcBorders>
          </w:tcPr>
          <w:p>
            <w:pPr>
              <w:jc w:val="right"/>
              <w:ind w:right="169"/>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49"/>
              <w:spacing w:after="0" w:line="321" w:lineRule="exact"/>
              <w:rPr>
                <w:sz w:val="20"/>
                <w:szCs w:val="20"/>
                <w:color w:val="auto"/>
              </w:rPr>
            </w:pPr>
            <w:r>
              <w:rPr>
                <w:rFonts w:ascii="Arial" w:cs="Arial" w:eastAsia="Arial" w:hAnsi="Arial"/>
                <w:sz w:val="34"/>
                <w:szCs w:val="34"/>
                <w:color w:val="000000"/>
                <w:w w:val="82"/>
                <w:vertAlign w:val="subscript"/>
              </w:rPr>
              <w:t>$</w:t>
            </w:r>
            <w:r>
              <w:rPr>
                <w:rFonts w:ascii="Arial" w:cs="Arial" w:eastAsia="Arial" w:hAnsi="Arial"/>
                <w:sz w:val="34"/>
                <w:szCs w:val="34"/>
                <w:color w:val="0000FF"/>
                <w:w w:val="82"/>
                <w:vertAlign w:val="subscript"/>
              </w:rPr>
              <w:t>0</w:t>
            </w:r>
            <w:r>
              <w:rPr>
                <w:rFonts w:ascii="Arial" w:cs="Arial" w:eastAsia="Arial" w:hAnsi="Arial"/>
                <w:sz w:val="11"/>
                <w:szCs w:val="11"/>
                <w:color w:val="008000"/>
                <w:w w:val="82"/>
              </w:rPr>
              <w:t>(2)</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74,781</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5"/>
              <w:spacing w:after="0"/>
              <w:rPr>
                <w:sz w:val="20"/>
                <w:szCs w:val="20"/>
                <w:color w:val="auto"/>
              </w:rPr>
            </w:pPr>
            <w:r>
              <w:rPr>
                <w:rFonts w:ascii="Arial" w:cs="Arial" w:eastAsia="Arial" w:hAnsi="Arial"/>
                <w:sz w:val="17"/>
                <w:szCs w:val="17"/>
                <w:color w:val="0000FF"/>
                <w:w w:val="93"/>
              </w:rPr>
              <w:t>06/30/2015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0000FF"/>
                <w:w w:val="93"/>
              </w:rPr>
              <w:t>3,743</w:t>
            </w:r>
          </w:p>
        </w:tc>
        <w:tc>
          <w:tcPr>
            <w:tcW w:w="680" w:type="dxa"/>
            <w:vAlign w:val="bottom"/>
            <w:tcBorders>
              <w:bottom w:val="single" w:sz="8" w:color="2C2C2C"/>
            </w:tcBorders>
          </w:tcPr>
          <w:p>
            <w:pPr>
              <w:jc w:val="right"/>
              <w:ind w:right="169"/>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33.32</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71,038</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585"/>
              <w:spacing w:after="0"/>
              <w:rPr>
                <w:sz w:val="20"/>
                <w:szCs w:val="20"/>
                <w:color w:val="auto"/>
              </w:rPr>
            </w:pPr>
            <w:r>
              <w:rPr>
                <w:rFonts w:ascii="Arial" w:cs="Arial" w:eastAsia="Arial" w:hAnsi="Arial"/>
                <w:sz w:val="17"/>
                <w:szCs w:val="17"/>
                <w:color w:val="0000FF"/>
                <w:w w:val="93"/>
              </w:rPr>
              <w:t>06/30/2015</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left="108"/>
              <w:spacing w:after="0"/>
              <w:rPr>
                <w:sz w:val="20"/>
                <w:szCs w:val="20"/>
                <w:color w:val="auto"/>
              </w:rPr>
            </w:pPr>
            <w:r>
              <w:rPr>
                <w:rFonts w:ascii="Arial" w:cs="Arial" w:eastAsia="Arial" w:hAnsi="Arial"/>
                <w:sz w:val="17"/>
                <w:szCs w:val="17"/>
                <w:color w:val="0000FF"/>
                <w:w w:val="93"/>
              </w:rPr>
              <w:t>3,373</w:t>
            </w:r>
          </w:p>
        </w:tc>
        <w:tc>
          <w:tcPr>
            <w:tcW w:w="680" w:type="dxa"/>
            <w:vAlign w:val="bottom"/>
            <w:tcBorders>
              <w:bottom w:val="single" w:sz="8" w:color="2C2C2C"/>
            </w:tcBorders>
          </w:tcPr>
          <w:p>
            <w:pPr>
              <w:jc w:val="right"/>
              <w:ind w:right="169"/>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33.32</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67,665</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jc w:val="center"/>
              <w:ind w:right="10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1"/>
          </w:tcPr>
          <w:p>
            <w:pPr>
              <w:jc w:val="center"/>
              <w:ind w:left="50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ind w:right="8"/>
              <w:spacing w:after="0" w:line="134"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(4)</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9"/>
              <w:spacing w:after="0"/>
              <w:rPr>
                <w:sz w:val="20"/>
                <w:szCs w:val="20"/>
                <w:color w:val="auto"/>
              </w:rPr>
            </w:pPr>
            <w:r>
              <w:rPr>
                <w:rFonts w:ascii="Arial" w:cs="Arial" w:eastAsia="Arial" w:hAnsi="Arial"/>
                <w:sz w:val="17"/>
                <w:szCs w:val="17"/>
                <w:color w:val="0000FF"/>
                <w:w w:val="88"/>
              </w:rPr>
              <w:t>10,618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jc w:val="right"/>
              <w:ind w:right="133"/>
              <w:spacing w:after="0" w:line="145" w:lineRule="exact"/>
              <w:rPr>
                <w:sz w:val="20"/>
                <w:szCs w:val="20"/>
                <w:color w:val="auto"/>
              </w:rPr>
            </w:pPr>
            <w:r>
              <w:rPr>
                <w:rFonts w:ascii="Arial" w:cs="Arial" w:eastAsia="Arial" w:hAnsi="Arial"/>
                <w:sz w:val="13"/>
                <w:szCs w:val="13"/>
                <w:color w:val="0000FF"/>
              </w:rPr>
              <w:t>06/30/2015</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ind w:left="60"/>
              <w:spacing w:after="0" w:line="145"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12"/>
                <w:szCs w:val="12"/>
                <w:color w:val="auto"/>
              </w:rPr>
            </w:pPr>
          </w:p>
        </w:tc>
        <w:tc>
          <w:tcPr>
            <w:tcW w:w="860" w:type="dxa"/>
            <w:vAlign w:val="bottom"/>
          </w:tcPr>
          <w:p>
            <w:pPr>
              <w:jc w:val="right"/>
              <w:ind w:right="38"/>
              <w:spacing w:after="0" w:line="145" w:lineRule="exact"/>
              <w:rPr>
                <w:sz w:val="20"/>
                <w:szCs w:val="20"/>
                <w:color w:val="auto"/>
              </w:rPr>
            </w:pPr>
            <w:r>
              <w:rPr>
                <w:rFonts w:ascii="Arial" w:cs="Arial" w:eastAsia="Arial" w:hAnsi="Arial"/>
                <w:sz w:val="13"/>
                <w:szCs w:val="13"/>
                <w:color w:val="0000FF"/>
              </w:rPr>
              <w:t>10,618</w:t>
            </w:r>
          </w:p>
        </w:tc>
        <w:tc>
          <w:tcPr>
            <w:tcW w:w="820" w:type="dxa"/>
            <w:vAlign w:val="bottom"/>
            <w:gridSpan w:val="2"/>
          </w:tcPr>
          <w:p>
            <w:pPr>
              <w:ind w:left="320"/>
              <w:spacing w:after="0"/>
              <w:rPr>
                <w:sz w:val="20"/>
                <w:szCs w:val="20"/>
                <w:color w:val="auto"/>
              </w:rPr>
            </w:pPr>
            <w:r>
              <w:rPr>
                <w:rFonts w:ascii="Arial" w:cs="Arial" w:eastAsia="Arial" w:hAnsi="Arial"/>
                <w:sz w:val="11"/>
                <w:szCs w:val="11"/>
                <w:color w:val="008000"/>
              </w:rPr>
              <w:t>(4)</w:t>
            </w:r>
          </w:p>
        </w:tc>
        <w:tc>
          <w:tcPr>
            <w:tcW w:w="740" w:type="dxa"/>
            <w:vAlign w:val="bottom"/>
          </w:tcPr>
          <w:p>
            <w:pPr>
              <w:jc w:val="center"/>
              <w:spacing w:after="0"/>
              <w:rPr>
                <w:sz w:val="20"/>
                <w:szCs w:val="20"/>
                <w:color w:val="auto"/>
              </w:rPr>
            </w:pPr>
            <w:r>
              <w:rPr>
                <w:rFonts w:ascii="Arial" w:cs="Arial" w:eastAsia="Arial" w:hAnsi="Arial"/>
                <w:sz w:val="11"/>
                <w:szCs w:val="11"/>
                <w:color w:val="008000"/>
                <w:w w:val="88"/>
              </w:rPr>
              <w:t>(4)</w:t>
            </w:r>
          </w:p>
        </w:tc>
        <w:tc>
          <w:tcPr>
            <w:tcW w:w="68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ind w:left="1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jc w:val="right"/>
              <w:ind w:right="78"/>
              <w:spacing w:after="0" w:line="145"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line="242" w:lineRule="exact"/>
              <w:rPr>
                <w:sz w:val="20"/>
                <w:szCs w:val="20"/>
                <w:color w:val="auto"/>
              </w:rPr>
            </w:pPr>
            <w:r>
              <w:rPr>
                <w:rFonts w:ascii="Arial" w:cs="Arial" w:eastAsia="Arial" w:hAnsi="Arial"/>
                <w:sz w:val="26"/>
                <w:szCs w:val="26"/>
                <w:color w:val="0000FF"/>
                <w:w w:val="96"/>
                <w:vertAlign w:val="subscript"/>
              </w:rPr>
              <w:t>Units</w:t>
            </w:r>
            <w:r>
              <w:rPr>
                <w:rFonts w:ascii="Arial" w:cs="Arial" w:eastAsia="Arial" w:hAnsi="Arial"/>
                <w:sz w:val="11"/>
                <w:szCs w:val="11"/>
                <w:color w:val="008000"/>
                <w:w w:val="96"/>
              </w:rPr>
              <w:t>(1)(2)</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right"/>
              <w:ind w:right="169"/>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Borders>
              <w:bottom w:val="single" w:sz="8" w:color="2C2C2C"/>
            </w:tcBorders>
            <w:gridSpan w:val="2"/>
            <w:vMerge w:val="continue"/>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1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w w:val="98"/>
              </w:rPr>
              <w:t>$</w:t>
            </w:r>
            <w:r>
              <w:rPr>
                <w:rFonts w:ascii="Arial" w:cs="Arial" w:eastAsia="Arial" w:hAnsi="Arial"/>
                <w:sz w:val="13"/>
                <w:szCs w:val="13"/>
                <w:color w:val="0000FF"/>
                <w:w w:val="98"/>
              </w:rPr>
              <w:t>0.0</w:t>
            </w:r>
            <w:r>
              <w:rPr>
                <w:rFonts w:ascii="Arial" w:cs="Arial" w:eastAsia="Arial" w:hAnsi="Arial"/>
                <w:sz w:val="22"/>
                <w:szCs w:val="22"/>
                <w:color w:val="008000"/>
                <w:w w:val="98"/>
                <w:vertAlign w:val="superscript"/>
              </w:rPr>
              <w:t>(4)</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jc w:val="right"/>
              <w:ind w:right="49"/>
              <w:spacing w:after="0"/>
              <w:rPr>
                <w:sz w:val="20"/>
                <w:szCs w:val="20"/>
                <w:color w:val="auto"/>
              </w:rPr>
            </w:pPr>
            <w:r>
              <w:rPr>
                <w:rFonts w:ascii="Arial" w:cs="Arial" w:eastAsia="Arial" w:hAnsi="Arial"/>
                <w:sz w:val="17"/>
                <w:szCs w:val="17"/>
                <w:color w:val="0000FF"/>
                <w:w w:val="98"/>
              </w:rPr>
              <w:t>7,116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vMerge w:val="restart"/>
          </w:tcPr>
          <w:p>
            <w:pPr>
              <w:jc w:val="right"/>
              <w:ind w:right="133"/>
              <w:spacing w:after="0" w:line="145" w:lineRule="exact"/>
              <w:rPr>
                <w:sz w:val="20"/>
                <w:szCs w:val="20"/>
                <w:color w:val="auto"/>
              </w:rPr>
            </w:pPr>
            <w:r>
              <w:rPr>
                <w:rFonts w:ascii="Arial" w:cs="Arial" w:eastAsia="Arial" w:hAnsi="Arial"/>
                <w:sz w:val="13"/>
                <w:szCs w:val="13"/>
                <w:color w:val="0000FF"/>
              </w:rPr>
              <w:t>06/30/2015</w:t>
            </w: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M</w:t>
            </w:r>
          </w:p>
        </w:tc>
        <w:tc>
          <w:tcPr>
            <w:tcW w:w="200" w:type="dxa"/>
            <w:vAlign w:val="bottom"/>
          </w:tcPr>
          <w:p>
            <w:pPr>
              <w:spacing w:after="0"/>
              <w:rPr>
                <w:sz w:val="7"/>
                <w:szCs w:val="7"/>
                <w:color w:val="auto"/>
              </w:rPr>
            </w:pPr>
          </w:p>
        </w:tc>
        <w:tc>
          <w:tcPr>
            <w:tcW w:w="860" w:type="dxa"/>
            <w:vAlign w:val="bottom"/>
            <w:vMerge w:val="restart"/>
          </w:tcPr>
          <w:p>
            <w:pPr>
              <w:jc w:val="right"/>
              <w:ind w:right="78"/>
              <w:spacing w:after="0" w:line="145" w:lineRule="exact"/>
              <w:rPr>
                <w:sz w:val="20"/>
                <w:szCs w:val="20"/>
                <w:color w:val="auto"/>
              </w:rPr>
            </w:pPr>
            <w:r>
              <w:rPr>
                <w:rFonts w:ascii="Arial" w:cs="Arial" w:eastAsia="Arial" w:hAnsi="Arial"/>
                <w:sz w:val="13"/>
                <w:szCs w:val="13"/>
                <w:color w:val="0000FF"/>
              </w:rPr>
              <w:t>7,116</w:t>
            </w:r>
          </w:p>
        </w:tc>
        <w:tc>
          <w:tcPr>
            <w:tcW w:w="820" w:type="dxa"/>
            <w:vAlign w:val="bottom"/>
            <w:gridSpan w:val="2"/>
            <w:vMerge w:val="restart"/>
          </w:tcPr>
          <w:p>
            <w:pPr>
              <w:ind w:left="32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restart"/>
          </w:tcPr>
          <w:p>
            <w:pPr>
              <w:ind w:left="12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jc w:val="right"/>
              <w:spacing w:after="0" w:line="145" w:lineRule="exact"/>
              <w:rPr>
                <w:sz w:val="20"/>
                <w:szCs w:val="20"/>
                <w:color w:val="auto"/>
              </w:rPr>
            </w:pPr>
            <w:r>
              <w:rPr>
                <w:rFonts w:ascii="Arial" w:cs="Arial" w:eastAsia="Arial" w:hAnsi="Arial"/>
                <w:sz w:val="13"/>
                <w:szCs w:val="13"/>
                <w:color w:val="0000FF"/>
              </w:rPr>
              <w:t>7,115</w:t>
            </w:r>
          </w:p>
        </w:tc>
        <w:tc>
          <w:tcPr>
            <w:tcW w:w="300" w:type="dxa"/>
            <w:vAlign w:val="bottom"/>
          </w:tcPr>
          <w:p>
            <w:pPr>
              <w:spacing w:after="0"/>
              <w:rPr>
                <w:sz w:val="7"/>
                <w:szCs w:val="7"/>
                <w:color w:val="auto"/>
              </w:rPr>
            </w:pPr>
          </w:p>
        </w:tc>
        <w:tc>
          <w:tcPr>
            <w:tcW w:w="700" w:type="dxa"/>
            <w:vAlign w:val="bottom"/>
            <w:vMerge w:val="restart"/>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restart"/>
          </w:tcPr>
          <w:p>
            <w:pPr>
              <w:jc w:val="right"/>
              <w:ind w:right="169"/>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26"/>
                <w:szCs w:val="26"/>
                <w:color w:val="0000FF"/>
                <w:w w:val="96"/>
                <w:vertAlign w:val="subscript"/>
              </w:rPr>
              <w:t>Units</w:t>
            </w:r>
            <w:r>
              <w:rPr>
                <w:rFonts w:ascii="Arial" w:cs="Arial" w:eastAsia="Arial" w:hAnsi="Arial"/>
                <w:sz w:val="11"/>
                <w:szCs w:val="11"/>
                <w:color w:val="008000"/>
                <w:w w:val="96"/>
              </w:rPr>
              <w:t>(2)(3)</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June 30, 2012 pursuant to the Company's Salary Stock Plan (the "GMSSP") and vested upon grant. The portion of this award currently payable was settled on June 30, 2015 in cash, less a portion withheld for taxes.</w:t>
      </w:r>
    </w:p>
    <w:p>
      <w:pPr>
        <w:spacing w:after="0" w:line="10" w:lineRule="exact"/>
        <w:rPr>
          <w:rFonts w:ascii="Arial" w:cs="Arial" w:eastAsia="Arial" w:hAnsi="Arial"/>
          <w:sz w:val="13"/>
          <w:szCs w:val="13"/>
          <w:color w:val="008000"/>
        </w:rPr>
      </w:pPr>
    </w:p>
    <w:p>
      <w:pPr>
        <w:ind w:left="40" w:right="200" w:firstLine="8"/>
        <w:spacing w:after="0" w:line="27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Grants of SSUs are fully vested when made and will be settled in three equal, annual installments beginning one year after the date of grant. The GMSSP gives the Reporting Person the option of having a settlement made by delivery of shares of the Company's common stock or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$33.32.</w:t>
      </w:r>
    </w:p>
    <w:p>
      <w:pPr>
        <w:spacing w:after="0" w:line="9" w:lineRule="exact"/>
        <w:rPr>
          <w:rFonts w:ascii="Arial" w:cs="Arial" w:eastAsia="Arial" w:hAnsi="Arial"/>
          <w:sz w:val="12"/>
          <w:szCs w:val="12"/>
          <w:color w:val="008000"/>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June 30, 2013 pursuant to the GMSSP. The portion of this award currently payable was settled on June 30, 2015 in cash, less a portion withheld for taxes.</w:t>
      </w:r>
    </w:p>
    <w:p>
      <w:pPr>
        <w:sectPr>
          <w:pgSz w:w="11900" w:h="16838" w:orient="portrait"/>
          <w:cols w:equalWidth="0" w:num="1">
            <w:col w:w="11520"/>
          </w:cols>
          <w:pgMar w:left="240" w:top="225" w:right="139" w:bottom="211" w:gutter="0" w:footer="0" w:header="0"/>
          <w:type w:val="continuous"/>
        </w:sectPr>
      </w:pPr>
    </w:p>
    <w:p>
      <w:pPr>
        <w:spacing w:after="0" w:line="10"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4. The SSUs do not have an expiration or exercise date or carry a conversion or exercise price.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062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spacing w:after="0" w:line="6"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Attorney-In-Fact for Ms. Barra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-4445</wp:posOffset>
            </wp:positionV>
            <wp:extent cx="13785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78585" cy="8255"/>
                    </a:xfrm>
                    <a:prstGeom prst="rect">
                      <a:avLst/>
                    </a:prstGeom>
                    <a:noFill/>
                  </pic:spPr>
                </pic:pic>
              </a:graphicData>
            </a:graphic>
          </wp:anchor>
        </w:drawing>
      </w:r>
    </w:p>
    <w:p>
      <w:pPr>
        <w:spacing w:after="0" w:line="66"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12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5"/>
          <w:szCs w:val="15"/>
          <w:color w:val="0000FF"/>
        </w:rPr>
        <w:t>07/02/2015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504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825" cy="8255"/>
                    </a:xfrm>
                    <a:prstGeom prst="rect">
                      <a:avLst/>
                    </a:prstGeom>
                    <a:noFill/>
                  </pic:spPr>
                </pic:pic>
              </a:graphicData>
            </a:graphic>
          </wp:anchor>
        </w:drawing>
      </w:r>
    </w:p>
    <w:p>
      <w:pPr>
        <w:spacing w:after="0" w:line="191"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41" w:lineRule="exact"/>
        <w:rPr>
          <w:sz w:val="24"/>
          <w:szCs w:val="24"/>
          <w:color w:val="auto"/>
        </w:rPr>
      </w:pPr>
    </w:p>
    <w:p>
      <w:pPr>
        <w:sectPr>
          <w:pgSz w:w="11900" w:h="16838" w:orient="portrait"/>
          <w:cols w:equalWidth="0" w:num="2">
            <w:col w:w="9040" w:space="120"/>
            <w:col w:w="2360"/>
          </w:cols>
          <w:pgMar w:left="240" w:top="225" w:right="139" w:bottom="211"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21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154"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2019-12-08T22:00:06Z</dcterms:created>
  <dcterms:modified xsi:type="dcterms:W3CDTF">2019-12-08T22:00:06Z</dcterms:modified>
</cp:coreProperties>
</file>