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6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8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Pursuant to Section 13 or 15(d) of</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July 26, 2022</w:t>
      </w:r>
    </w:p>
    <w:p>
      <w:pPr>
        <w:spacing w:after="0" w:line="2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4"/>
          <w:szCs w:val="34"/>
          <w:b w:val="1"/>
          <w:bCs w:val="1"/>
          <w:color w:val="auto"/>
        </w:rPr>
        <w:t>GENERAL MOTORS COMPANY</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ectPr>
          <w:pgSz w:w="11900" w:h="16838" w:orient="portrait"/>
          <w:cols w:equalWidth="0" w:num="1">
            <w:col w:w="11040"/>
          </w:cols>
          <w:pgMar w:left="300" w:top="1178" w:right="559" w:bottom="1440" w:gutter="0" w:footer="0" w:header="0"/>
        </w:sectPr>
      </w:pPr>
    </w:p>
    <w:p>
      <w:pPr>
        <w:spacing w:after="0" w:line="96"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3"/>
          <w:szCs w:val="13"/>
          <w:b w:val="1"/>
          <w:bCs w:val="1"/>
          <w:color w:val="auto"/>
        </w:rPr>
        <w:t>001-34960</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27-0756180</w:t>
      </w:r>
    </w:p>
    <w:p>
      <w:pPr>
        <w:spacing w:after="0" w:line="53" w:lineRule="exact"/>
        <w:rPr>
          <w:sz w:val="24"/>
          <w:szCs w:val="24"/>
          <w:color w:val="auto"/>
        </w:rPr>
      </w:pPr>
    </w:p>
    <w:p>
      <w:pPr>
        <w:sectPr>
          <w:pgSz w:w="11900" w:h="16838" w:orient="portrait"/>
          <w:cols w:equalWidth="0" w:num="3">
            <w:col w:w="4780" w:space="720"/>
            <w:col w:w="2820" w:space="720"/>
            <w:col w:w="2000"/>
          </w:cols>
          <w:pgMar w:left="300" w:top="1178" w:right="5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34" w:lineRule="exact"/>
        <w:rPr>
          <w:sz w:val="24"/>
          <w:szCs w:val="24"/>
          <w:color w:val="auto"/>
        </w:rPr>
      </w:pPr>
    </w:p>
    <w:p>
      <w:pPr>
        <w:sectPr>
          <w:pgSz w:w="11900" w:h="16838" w:orient="portrait"/>
          <w:cols w:equalWidth="0" w:num="3">
            <w:col w:w="4300" w:space="720"/>
            <w:col w:w="2620" w:space="720"/>
            <w:col w:w="2680"/>
          </w:cols>
          <w:pgMar w:left="300" w:top="1178"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Times New Roman" w:cs="Times New Roman" w:eastAsia="Times New Roman" w:hAnsi="Times New Roman"/>
          <w:sz w:val="14"/>
          <w:szCs w:val="14"/>
          <w:b w:val="1"/>
          <w:bCs w:val="1"/>
          <w:color w:val="auto"/>
        </w:rPr>
        <w:t>300 Renaissance Center,</w:t>
      </w:r>
      <w:r>
        <w:rPr>
          <w:sz w:val="20"/>
          <w:szCs w:val="20"/>
          <w:color w:val="auto"/>
        </w:rPr>
        <w:tab/>
      </w:r>
      <w:r>
        <w:rPr>
          <w:rFonts w:ascii="Times New Roman" w:cs="Times New Roman" w:eastAsia="Times New Roman" w:hAnsi="Times New Roman"/>
          <w:sz w:val="14"/>
          <w:szCs w:val="14"/>
          <w:b w:val="1"/>
          <w:bCs w:val="1"/>
          <w:color w:val="auto"/>
        </w:rPr>
        <w:t>Detroit,</w:t>
      </w:r>
      <w:r>
        <w:rPr>
          <w:sz w:val="20"/>
          <w:szCs w:val="20"/>
          <w:color w:val="auto"/>
        </w:rPr>
        <w:tab/>
      </w:r>
      <w:r>
        <w:rPr>
          <w:rFonts w:ascii="Times New Roman" w:cs="Times New Roman" w:eastAsia="Times New Roman" w:hAnsi="Times New Roman"/>
          <w:sz w:val="14"/>
          <w:szCs w:val="14"/>
          <w:b w:val="1"/>
          <w:bCs w:val="1"/>
          <w:color w:val="auto"/>
        </w:rPr>
        <w:t>Michigan</w:t>
      </w:r>
    </w:p>
    <w:p>
      <w:pPr>
        <w:spacing w:after="0" w:line="25" w:lineRule="exact"/>
        <w:rPr>
          <w:sz w:val="24"/>
          <w:szCs w:val="24"/>
          <w:color w:val="auto"/>
        </w:rPr>
      </w:pPr>
    </w:p>
    <w:p>
      <w:pPr>
        <w:jc w:val="right"/>
        <w:ind w:right="3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Times New Roman" w:cs="Times New Roman" w:eastAsia="Times New Roman" w:hAnsi="Times New Roman"/>
          <w:sz w:val="13"/>
          <w:szCs w:val="13"/>
          <w:b w:val="1"/>
          <w:bCs w:val="1"/>
          <w:color w:val="auto"/>
        </w:rPr>
        <w:t>48265 -3000</w:t>
      </w:r>
    </w:p>
    <w:p>
      <w:pPr>
        <w:spacing w:after="0" w:line="37"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178" w:right="559" w:bottom="1440" w:gutter="0" w:footer="0" w:header="0"/>
          <w:type w:val="continuous"/>
        </w:sectPr>
      </w:pPr>
    </w:p>
    <w:p>
      <w:pPr>
        <w:spacing w:after="0" w:line="6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(313) 667-1500</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360" w:type="dxa"/>
            <w:vAlign w:val="bottom"/>
          </w:tcPr>
          <w:p>
            <w:pPr>
              <w:spacing w:after="0"/>
              <w:rPr>
                <w:sz w:val="23"/>
                <w:szCs w:val="23"/>
                <w:color w:val="auto"/>
              </w:rPr>
            </w:pP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460" w:type="dxa"/>
            <w:vAlign w:val="bottom"/>
          </w:tcPr>
          <w:p>
            <w:pPr>
              <w:spacing w:after="0"/>
              <w:rPr>
                <w:sz w:val="23"/>
                <w:szCs w:val="23"/>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w w:val="97"/>
              </w:rPr>
              <w:t>Trading Symbol(s)</w:t>
            </w:r>
          </w:p>
        </w:tc>
        <w:tc>
          <w:tcPr>
            <w:tcW w:w="2600" w:type="dxa"/>
            <w:vAlign w:val="bottom"/>
            <w:gridSpan w:val="2"/>
          </w:tcPr>
          <w:p>
            <w:pPr>
              <w:jc w:val="center"/>
              <w:ind w:left="276"/>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New York Stock Exchange</w:t>
            </w:r>
          </w:p>
        </w:tc>
      </w:tr>
    </w:tbl>
    <w:p>
      <w:pPr>
        <w:spacing w:after="0" w:line="163" w:lineRule="exact"/>
        <w:rPr>
          <w:sz w:val="24"/>
          <w:szCs w:val="24"/>
          <w:color w:val="auto"/>
        </w:rPr>
      </w:pPr>
    </w:p>
    <w:p>
      <w:pPr>
        <w:ind w:right="52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39"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574675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178"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202" w:lineRule="exact"/>
        <w:rPr>
          <w:sz w:val="20"/>
          <w:szCs w:val="20"/>
          <w:color w:val="auto"/>
        </w:rPr>
      </w:pPr>
    </w:p>
    <w:p>
      <w:pPr>
        <w:ind w:firstLine="127"/>
        <w:spacing w:after="0" w:line="287" w:lineRule="auto"/>
        <w:rPr>
          <w:sz w:val="20"/>
          <w:szCs w:val="20"/>
          <w:color w:val="auto"/>
        </w:rPr>
      </w:pPr>
      <w:r>
        <w:rPr>
          <w:rFonts w:ascii="Times New Roman" w:cs="Times New Roman" w:eastAsia="Times New Roman" w:hAnsi="Times New Roman"/>
          <w:sz w:val="14"/>
          <w:szCs w:val="14"/>
          <w:color w:val="auto"/>
        </w:rPr>
        <w:t>On July 26, 2022 General Motors Company (GM) issued a news release and supplemental materials on the subject of its 2022 second quarter earnings. The news release and supplemental materials are attached as Exhibit 99.1 and Exhibit 99.2.</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Charts furnished to securities analysts in connection with GM's 2022 second quarter earnings release are available on GM's website at www.gm.com/investors/earnings-releases.html.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24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0" w:type="dxa"/>
            <w:vAlign w:val="bottom"/>
            <w:tcBorders>
              <w:top w:val="single" w:sz="8" w:color="auto"/>
            </w:tcBorders>
          </w:tcPr>
          <w:p>
            <w:pPr>
              <w:spacing w:after="0"/>
              <w:rPr>
                <w:sz w:val="15"/>
                <w:szCs w:val="15"/>
                <w:color w:val="auto"/>
              </w:rPr>
            </w:pPr>
          </w:p>
        </w:tc>
        <w:tc>
          <w:tcPr>
            <w:tcW w:w="5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99.1</w:t>
            </w:r>
          </w:p>
        </w:tc>
        <w:tc>
          <w:tcPr>
            <w:tcW w:w="84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News Release Dated July 26, 2022</w:t>
            </w:r>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99.2</w:t>
            </w:r>
          </w:p>
        </w:tc>
        <w:tc>
          <w:tcPr>
            <w:tcW w:w="84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Financial Highlights Dated July 26, 2022</w:t>
            </w:r>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104</w:t>
            </w:r>
          </w:p>
        </w:tc>
        <w:tc>
          <w:tcPr>
            <w:tcW w:w="84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Times New Roman" w:cs="Times New Roman" w:eastAsia="Times New Roman" w:hAnsi="Times New Roman"/>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CHRISTOPHER T. HATTO</w:t>
            </w:r>
          </w:p>
        </w:tc>
      </w:tr>
      <w:tr>
        <w:trPr>
          <w:trHeight w:val="129"/>
        </w:trPr>
        <w:tc>
          <w:tcPr>
            <w:tcW w:w="60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Date: July 26, 2022</w:t>
            </w:r>
          </w:p>
        </w:tc>
        <w:tc>
          <w:tcPr>
            <w:tcW w:w="51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Christopher T. Hatto, Vice President, Global Business Solutions and Chief Accounting</w:t>
            </w:r>
          </w:p>
        </w:tc>
      </w:tr>
      <w:tr>
        <w:trPr>
          <w:trHeight w:val="184"/>
        </w:trPr>
        <w:tc>
          <w:tcPr>
            <w:tcW w:w="60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w:t>
            </w:r>
          </w:p>
        </w:tc>
      </w:tr>
    </w:tbl>
    <w:p>
      <w:pPr>
        <w:sectPr>
          <w:pgSz w:w="11900" w:h="16838" w:orient="portrait"/>
          <w:cols w:equalWidth="0" w:num="1">
            <w:col w:w="11220"/>
          </w:cols>
          <w:pgMar w:left="340" w:top="91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Exhibit 99.2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jc w:val="center"/>
        <w:spacing w:after="0" w:line="208" w:lineRule="auto"/>
        <w:rPr>
          <w:sz w:val="20"/>
          <w:szCs w:val="20"/>
          <w:color w:val="auto"/>
        </w:rPr>
      </w:pPr>
      <w:r>
        <w:rPr>
          <w:rFonts w:ascii="Arial" w:cs="Arial" w:eastAsia="Arial" w:hAnsi="Arial"/>
          <w:sz w:val="13"/>
          <w:szCs w:val="13"/>
          <w:b w:val="1"/>
          <w:bCs w:val="1"/>
          <w:color w:val="auto"/>
        </w:rPr>
        <w:t>Supplemental Material</w:t>
      </w:r>
      <w:r>
        <w:rPr>
          <w:rFonts w:ascii="Arial" w:cs="Arial" w:eastAsia="Arial" w:hAnsi="Arial"/>
          <w:sz w:val="16"/>
          <w:szCs w:val="16"/>
          <w:b w:val="1"/>
          <w:bCs w:val="1"/>
          <w:color w:val="auto"/>
          <w:vertAlign w:val="superscript"/>
        </w:rPr>
        <w:t>1</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05" w:lineRule="exact"/>
        <w:rPr>
          <w:sz w:val="20"/>
          <w:szCs w:val="20"/>
          <w:color w:val="auto"/>
        </w:rPr>
      </w:pPr>
    </w:p>
    <w:p>
      <w:pPr>
        <w:jc w:val="both"/>
        <w:ind w:firstLine="127"/>
        <w:spacing w:after="0" w:line="254"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64" w:lineRule="exact"/>
        <w:rPr>
          <w:sz w:val="20"/>
          <w:szCs w:val="20"/>
          <w:color w:val="auto"/>
        </w:rPr>
      </w:pPr>
    </w:p>
    <w:p>
      <w:pPr>
        <w:jc w:val="both"/>
        <w:ind w:firstLine="127"/>
        <w:spacing w:after="0" w:line="250"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69" w:lineRule="exact"/>
        <w:rPr>
          <w:sz w:val="20"/>
          <w:szCs w:val="20"/>
          <w:color w:val="auto"/>
        </w:rPr>
      </w:pPr>
    </w:p>
    <w:p>
      <w:pPr>
        <w:jc w:val="both"/>
        <w:ind w:firstLine="127"/>
        <w:spacing w:after="0" w:line="275" w:lineRule="auto"/>
        <w:rPr>
          <w:sz w:val="20"/>
          <w:szCs w:val="20"/>
          <w:color w:val="auto"/>
        </w:rPr>
      </w:pPr>
      <w:r>
        <w:rPr>
          <w:rFonts w:ascii="Arial" w:cs="Arial" w:eastAsia="Arial" w:hAnsi="Arial"/>
          <w:sz w:val="12"/>
          <w:szCs w:val="12"/>
          <w:b w:val="1"/>
          <w:bCs w:val="1"/>
          <w:i w:val="1"/>
          <w:iCs w:val="1"/>
          <w:color w:val="auto"/>
        </w:rPr>
        <w:t xml:space="preserve">EBIT-adjusted </w:t>
      </w:r>
      <w:r>
        <w:rPr>
          <w:rFonts w:ascii="Arial" w:cs="Arial" w:eastAsia="Arial" w:hAnsi="Arial"/>
          <w:sz w:val="12"/>
          <w:szCs w:val="12"/>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65"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76" w:lineRule="exact"/>
        <w:rPr>
          <w:sz w:val="20"/>
          <w:szCs w:val="20"/>
          <w:color w:val="auto"/>
        </w:rPr>
      </w:pPr>
    </w:p>
    <w:p>
      <w:pPr>
        <w:jc w:val="both"/>
        <w:ind w:firstLine="127"/>
        <w:spacing w:after="0" w:line="253"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65" w:lineRule="exact"/>
        <w:rPr>
          <w:sz w:val="20"/>
          <w:szCs w:val="20"/>
          <w:color w:val="auto"/>
        </w:rPr>
      </w:pPr>
    </w:p>
    <w:p>
      <w:pPr>
        <w:jc w:val="both"/>
        <w:ind w:firstLine="127"/>
        <w:spacing w:after="0" w:line="261"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70" w:lineRule="exact"/>
        <w:rPr>
          <w:sz w:val="20"/>
          <w:szCs w:val="20"/>
          <w:color w:val="auto"/>
        </w:rPr>
      </w:pPr>
    </w:p>
    <w:p>
      <w:pPr>
        <w:jc w:val="both"/>
        <w:ind w:firstLine="127"/>
        <w:spacing w:after="0" w:line="253"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________</w:t>
      </w:r>
    </w:p>
    <w:p>
      <w:pPr>
        <w:spacing w:after="0" w:line="172" w:lineRule="exact"/>
        <w:rPr>
          <w:sz w:val="20"/>
          <w:szCs w:val="20"/>
          <w:color w:val="auto"/>
        </w:rPr>
      </w:pPr>
    </w:p>
    <w:p>
      <w:pPr>
        <w:ind w:left="80" w:hanging="75"/>
        <w:spacing w:after="0"/>
        <w:tabs>
          <w:tab w:leader="none" w:pos="80"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Certain columns and rows may not add due to rounding.</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22"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segment profit (loss)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0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0"/>
                <w:szCs w:val="10"/>
                <w:b w:val="1"/>
                <w:bCs w:val="1"/>
                <w:color w:val="auto"/>
              </w:rPr>
              <w:t>Six Months Ended</w:t>
            </w:r>
          </w:p>
        </w:tc>
      </w:tr>
      <w:tr>
        <w:trPr>
          <w:trHeight w:val="131"/>
        </w:trPr>
        <w:tc>
          <w:tcPr>
            <w:tcW w:w="5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ind w:left="220"/>
              <w:spacing w:after="0"/>
              <w:rPr>
                <w:sz w:val="20"/>
                <w:szCs w:val="20"/>
                <w:color w:val="auto"/>
              </w:rPr>
            </w:pPr>
            <w:r>
              <w:rPr>
                <w:rFonts w:ascii="Arial" w:cs="Arial" w:eastAsia="Arial" w:hAnsi="Arial"/>
                <w:sz w:val="10"/>
                <w:szCs w:val="10"/>
                <w:b w:val="1"/>
                <w:bCs w:val="1"/>
                <w:color w:val="auto"/>
              </w:rPr>
              <w:t>June 30, 2022</w:t>
            </w:r>
          </w:p>
        </w:tc>
        <w:tc>
          <w:tcPr>
            <w:tcW w:w="460" w:type="dxa"/>
            <w:vAlign w:val="bottom"/>
          </w:tcPr>
          <w:p>
            <w:pPr>
              <w:spacing w:after="0"/>
              <w:rPr>
                <w:sz w:val="11"/>
                <w:szCs w:val="11"/>
                <w:color w:val="auto"/>
              </w:rPr>
            </w:pPr>
          </w:p>
        </w:tc>
        <w:tc>
          <w:tcPr>
            <w:tcW w:w="1180" w:type="dxa"/>
            <w:vAlign w:val="bottom"/>
          </w:tcPr>
          <w:p>
            <w:pPr>
              <w:jc w:val="right"/>
              <w:ind w:right="437"/>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2022</w:t>
            </w:r>
          </w:p>
        </w:tc>
        <w:tc>
          <w:tcPr>
            <w:tcW w:w="220" w:type="dxa"/>
            <w:vAlign w:val="bottom"/>
          </w:tcPr>
          <w:p>
            <w:pPr>
              <w:spacing w:after="0"/>
              <w:rPr>
                <w:sz w:val="11"/>
                <w:szCs w:val="11"/>
                <w:color w:val="auto"/>
              </w:rPr>
            </w:pPr>
          </w:p>
        </w:tc>
        <w:tc>
          <w:tcPr>
            <w:tcW w:w="1120" w:type="dxa"/>
            <w:vAlign w:val="bottom"/>
          </w:tcPr>
          <w:p>
            <w:pPr>
              <w:jc w:val="right"/>
              <w:ind w:right="277"/>
              <w:spacing w:after="0"/>
              <w:rPr>
                <w:sz w:val="20"/>
                <w:szCs w:val="20"/>
                <w:color w:val="auto"/>
              </w:rPr>
            </w:pPr>
            <w:r>
              <w:rPr>
                <w:rFonts w:ascii="Arial" w:cs="Arial" w:eastAsia="Arial" w:hAnsi="Arial"/>
                <w:sz w:val="10"/>
                <w:szCs w:val="10"/>
                <w:b w:val="1"/>
                <w:bCs w:val="1"/>
                <w:color w:val="auto"/>
              </w:rPr>
              <w:t>June 30, 2021</w:t>
            </w:r>
          </w:p>
        </w:tc>
      </w:tr>
      <w:tr>
        <w:trPr>
          <w:trHeight w:val="16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stockholders(a)</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1,692</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5,858</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2,148</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5040" w:type="dxa"/>
            <w:vAlign w:val="bottom"/>
          </w:tcPr>
          <w:p>
            <w:pPr>
              <w:ind w:left="120"/>
              <w:spacing w:after="0"/>
              <w:rPr>
                <w:sz w:val="20"/>
                <w:szCs w:val="20"/>
                <w:color w:val="auto"/>
              </w:rPr>
            </w:pPr>
            <w:r>
              <w:rPr>
                <w:rFonts w:ascii="Arial" w:cs="Arial" w:eastAsia="Arial" w:hAnsi="Arial"/>
                <w:sz w:val="13"/>
                <w:szCs w:val="13"/>
                <w:color w:val="auto"/>
              </w:rPr>
              <w:t>Cruise compensation modifications(b)</w:t>
            </w:r>
          </w:p>
        </w:tc>
        <w:tc>
          <w:tcPr>
            <w:tcW w:w="2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1,057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Patent royalty matters(c)</w:t>
            </w:r>
          </w:p>
        </w:tc>
        <w:tc>
          <w:tcPr>
            <w:tcW w:w="2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5040" w:type="dxa"/>
            <w:vAlign w:val="bottom"/>
          </w:tcPr>
          <w:p>
            <w:pPr>
              <w:ind w:left="120"/>
              <w:spacing w:after="0"/>
              <w:rPr>
                <w:sz w:val="20"/>
                <w:szCs w:val="20"/>
                <w:color w:val="auto"/>
              </w:rPr>
            </w:pPr>
            <w:r>
              <w:rPr>
                <w:rFonts w:ascii="Arial" w:cs="Arial" w:eastAsia="Arial" w:hAnsi="Arial"/>
                <w:sz w:val="13"/>
                <w:szCs w:val="13"/>
                <w:color w:val="auto"/>
              </w:rPr>
              <w:t>Cadillac dealer strategy(d)</w:t>
            </w:r>
          </w:p>
        </w:tc>
        <w:tc>
          <w:tcPr>
            <w:tcW w:w="28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80"/>
        </w:trPr>
        <w:tc>
          <w:tcPr>
            <w:tcW w:w="5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Korea wage litigation(e)</w:t>
            </w: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59"/>
        </w:trPr>
        <w:tc>
          <w:tcPr>
            <w:tcW w:w="504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280" w:type="dxa"/>
            <w:vAlign w:val="bottom"/>
          </w:tcPr>
          <w:p>
            <w:pPr>
              <w:spacing w:after="0"/>
              <w:rPr>
                <w:sz w:val="13"/>
                <w:szCs w:val="1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6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EBIT(loss)-adjusted</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2,343</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8,534</w:t>
            </w:r>
          </w:p>
        </w:tc>
      </w:tr>
      <w:tr>
        <w:trPr>
          <w:trHeight w:val="149"/>
        </w:trPr>
        <w:tc>
          <w:tcPr>
            <w:tcW w:w="5040" w:type="dxa"/>
            <w:vAlign w:val="bottom"/>
          </w:tcPr>
          <w:p>
            <w:pPr>
              <w:ind w:left="20"/>
              <w:spacing w:after="0" w:line="148" w:lineRule="exact"/>
              <w:rPr>
                <w:sz w:val="20"/>
                <w:szCs w:val="20"/>
                <w:color w:val="auto"/>
              </w:rPr>
            </w:pPr>
            <w:r>
              <w:rPr>
                <w:rFonts w:ascii="Arial" w:cs="Arial" w:eastAsia="Arial" w:hAnsi="Arial"/>
                <w:sz w:val="13"/>
                <w:szCs w:val="13"/>
                <w:color w:val="auto"/>
              </w:rPr>
              <w:t>Operating segments</w:t>
            </w: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1"/>
        </w:trPr>
        <w:tc>
          <w:tcPr>
            <w:tcW w:w="5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North America (GMNA)</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6,028</w:t>
            </w:r>
          </w:p>
        </w:tc>
      </w:tr>
      <w:tr>
        <w:trPr>
          <w:trHeight w:val="169"/>
        </w:trPr>
        <w:tc>
          <w:tcPr>
            <w:tcW w:w="5040" w:type="dxa"/>
            <w:vAlign w:val="bottom"/>
          </w:tcPr>
          <w:p>
            <w:pPr>
              <w:ind w:left="100"/>
              <w:spacing w:after="0"/>
              <w:rPr>
                <w:sz w:val="20"/>
                <w:szCs w:val="20"/>
                <w:color w:val="auto"/>
              </w:rPr>
            </w:pPr>
            <w:r>
              <w:rPr>
                <w:rFonts w:ascii="Arial" w:cs="Arial" w:eastAsia="Arial" w:hAnsi="Arial"/>
                <w:sz w:val="13"/>
                <w:szCs w:val="13"/>
                <w:color w:val="auto"/>
              </w:rPr>
              <w:t>GM International (GMI)</w:t>
            </w: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323</w:t>
            </w: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Cruise</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r>
      <w:tr>
        <w:trPr>
          <w:trHeight w:val="169"/>
        </w:trPr>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GM Financial(f)</w:t>
            </w: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2,763</w:t>
            </w:r>
          </w:p>
        </w:tc>
      </w:tr>
      <w:tr>
        <w:trPr>
          <w:trHeight w:val="162"/>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8,553</w:t>
            </w:r>
          </w:p>
        </w:tc>
      </w:tr>
      <w:tr>
        <w:trPr>
          <w:trHeight w:val="16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eliminations(g)</w:t>
            </w: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r>
      <w:tr>
        <w:trPr>
          <w:trHeight w:val="18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EBIT(loss)-adjusted</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2,343</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one-time modification of Cruise stock incentive awards.</w:t>
      </w:r>
    </w:p>
    <w:p>
      <w:pPr>
        <w:spacing w:after="0" w:line="11" w:lineRule="exact"/>
        <w:rPr>
          <w:rFonts w:ascii="Arial" w:cs="Arial" w:eastAsia="Arial" w:hAnsi="Arial"/>
          <w:sz w:val="11"/>
          <w:szCs w:val="11"/>
          <w:color w:val="auto"/>
        </w:rPr>
      </w:pPr>
    </w:p>
    <w:p>
      <w:pPr>
        <w:ind w:left="260" w:hanging="255"/>
        <w:spacing w:after="0" w:line="237" w:lineRule="auto"/>
        <w:tabs>
          <w:tab w:leader="none" w:pos="260" w:val="left"/>
        </w:tabs>
        <w:numPr>
          <w:ilvl w:val="0"/>
          <w:numId w:val="3"/>
        </w:numPr>
        <w:rPr>
          <w:rFonts w:ascii="Arial" w:cs="Arial" w:eastAsia="Arial" w:hAnsi="Arial"/>
          <w:sz w:val="13"/>
          <w:szCs w:val="13"/>
          <w:color w:val="auto"/>
        </w:rPr>
      </w:pPr>
      <w:r>
        <w:rPr>
          <w:rFonts w:ascii="Arial" w:cs="Arial" w:eastAsia="Arial" w:hAnsi="Arial"/>
          <w:sz w:val="11"/>
          <w:szCs w:val="11"/>
          <w:color w:val="auto"/>
        </w:rPr>
        <w:t>This adjustment was excluded because it relates to the resolution of royalty matters accrued with respect to past-year vehicle sales in the three months ended March 31, 2022</w:t>
      </w:r>
      <w:r>
        <w:rPr>
          <w:rFonts w:ascii="Times New Roman" w:cs="Times New Roman" w:eastAsia="Times New Roman" w:hAnsi="Times New Roman"/>
          <w:sz w:val="12"/>
          <w:szCs w:val="12"/>
          <w:color w:val="auto"/>
        </w:rPr>
        <w:t>.</w:t>
      </w: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strategic activities to transition certain Cadillac dealers from the network as part of Cadillac's electric vehicle strategy.</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Supreme Court of Korea decisions related to our salaried workers.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spacing w:after="0" w:line="11" w:lineRule="exact"/>
        <w:rPr>
          <w:rFonts w:ascii="Arial" w:cs="Arial" w:eastAsia="Arial" w:hAnsi="Arial"/>
          <w:sz w:val="11"/>
          <w:szCs w:val="11"/>
          <w:color w:val="auto"/>
        </w:rPr>
      </w:pPr>
    </w:p>
    <w:p>
      <w:pPr>
        <w:ind w:left="260" w:hanging="255"/>
        <w:spacing w:after="0" w:line="284"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Opel/Vauxhall Business (primarily pension costs), corporate expenditures and certain nonsegment specific revenues and expenses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702"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 (loss)-adjusted (dollars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Three Months Ended</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1"/>
                <w:szCs w:val="11"/>
                <w:color w:val="auto"/>
              </w:rPr>
            </w:pPr>
          </w:p>
        </w:tc>
        <w:tc>
          <w:tcPr>
            <w:tcW w:w="1360" w:type="dxa"/>
            <w:vAlign w:val="bottom"/>
            <w:gridSpan w:val="4"/>
          </w:tcPr>
          <w:p>
            <w:pPr>
              <w:jc w:val="right"/>
              <w:ind w:right="357"/>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29"/>
        </w:trPr>
        <w:tc>
          <w:tcPr>
            <w:tcW w:w="45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w w:val="98"/>
              </w:rPr>
              <w:t>2021</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887</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Pr>
          <w:p>
            <w:pPr>
              <w:ind w:left="120"/>
              <w:spacing w:after="0"/>
              <w:rPr>
                <w:sz w:val="20"/>
                <w:szCs w:val="20"/>
                <w:color w:val="auto"/>
              </w:rPr>
            </w:pPr>
            <w:r>
              <w:rPr>
                <w:rFonts w:ascii="Arial" w:cs="Arial" w:eastAsia="Arial" w:hAnsi="Arial"/>
                <w:sz w:val="13"/>
                <w:szCs w:val="13"/>
                <w:color w:val="auto"/>
              </w:rPr>
              <w:t>Cruise compensation modifications(a)</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Patent royalty matters(b)</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540" w:type="dxa"/>
            <w:vAlign w:val="bottom"/>
          </w:tcPr>
          <w:p>
            <w:pPr>
              <w:ind w:left="120"/>
              <w:spacing w:after="0"/>
              <w:rPr>
                <w:sz w:val="20"/>
                <w:szCs w:val="20"/>
                <w:color w:val="auto"/>
              </w:rPr>
            </w:pPr>
            <w:r>
              <w:rPr>
                <w:rFonts w:ascii="Arial" w:cs="Arial" w:eastAsia="Arial" w:hAnsi="Arial"/>
                <w:sz w:val="13"/>
                <w:szCs w:val="13"/>
                <w:color w:val="auto"/>
              </w:rPr>
              <w:t>GM Brazil indirect tax matters(c)</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Cadillac dealer strategy(d)</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540" w:type="dxa"/>
            <w:vAlign w:val="bottom"/>
          </w:tcPr>
          <w:p>
            <w:pPr>
              <w:ind w:left="120"/>
              <w:spacing w:after="0"/>
              <w:rPr>
                <w:sz w:val="20"/>
                <w:szCs w:val="20"/>
                <w:color w:val="auto"/>
              </w:rPr>
            </w:pPr>
            <w:r>
              <w:rPr>
                <w:rFonts w:ascii="Arial" w:cs="Arial" w:eastAsia="Arial" w:hAnsi="Arial"/>
                <w:sz w:val="13"/>
                <w:szCs w:val="13"/>
                <w:color w:val="auto"/>
              </w:rPr>
              <w:t>GMI restructuring(e)</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Korea wage litigation(f)</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4540" w:type="dxa"/>
            <w:vAlign w:val="bottom"/>
          </w:tcPr>
          <w:p>
            <w:pPr>
              <w:ind w:left="120"/>
              <w:spacing w:after="0" w:line="128" w:lineRule="exact"/>
              <w:rPr>
                <w:sz w:val="20"/>
                <w:szCs w:val="20"/>
                <w:color w:val="auto"/>
              </w:rPr>
            </w:pPr>
            <w:r>
              <w:rPr>
                <w:rFonts w:ascii="Arial" w:cs="Arial" w:eastAsia="Arial" w:hAnsi="Arial"/>
                <w:sz w:val="13"/>
                <w:szCs w:val="13"/>
                <w:color w:val="auto"/>
              </w:rPr>
              <w:t>Ignition switch recall and related legal</w:t>
            </w: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matters(g)</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adjustments</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2"/>
        </w:trPr>
        <w:tc>
          <w:tcPr>
            <w:tcW w:w="4540" w:type="dxa"/>
            <w:vAlign w:val="bottom"/>
          </w:tcPr>
          <w:p>
            <w:pPr>
              <w:ind w:left="180"/>
              <w:spacing w:after="0"/>
              <w:rPr>
                <w:sz w:val="20"/>
                <w:szCs w:val="20"/>
                <w:color w:val="auto"/>
              </w:rPr>
            </w:pPr>
            <w:r>
              <w:rPr>
                <w:rFonts w:ascii="Arial" w:cs="Arial" w:eastAsia="Arial" w:hAnsi="Arial"/>
                <w:sz w:val="13"/>
                <w:szCs w:val="13"/>
                <w:color w:val="auto"/>
              </w:rPr>
              <w:t>EBIT (loss)-adjusted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2,343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4,117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3,712</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5,284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one-time modification of Cruise stock incentive awards.</w:t>
      </w:r>
    </w:p>
    <w:p>
      <w:pPr>
        <w:spacing w:after="0" w:line="11" w:lineRule="exact"/>
        <w:rPr>
          <w:rFonts w:ascii="Arial" w:cs="Arial" w:eastAsia="Arial" w:hAnsi="Arial"/>
          <w:sz w:val="11"/>
          <w:szCs w:val="11"/>
          <w:color w:val="auto"/>
        </w:rPr>
      </w:pPr>
    </w:p>
    <w:p>
      <w:pPr>
        <w:ind w:left="260" w:hanging="255"/>
        <w:spacing w:after="0" w:line="251" w:lineRule="auto"/>
        <w:tabs>
          <w:tab w:leader="none" w:pos="249"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certain royalties accrued with respect to past-year vehicle sales in the three months ended December 31, 2021, and the resolution of substantially all of these matters in the three months ended March 31, 2022.</w:t>
      </w:r>
    </w:p>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a settlement with third parties in the three months ended December 31, 2021 relating to retrospective recoveries of indirect taxes in Brazil realized in prior periods.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from the network as part of Cadillac's electric vehicle strategy.</w:t>
      </w:r>
    </w:p>
    <w:p>
      <w:pPr>
        <w:spacing w:after="0" w:line="11" w:lineRule="exact"/>
        <w:rPr>
          <w:rFonts w:ascii="Arial" w:cs="Arial" w:eastAsia="Arial" w:hAnsi="Arial"/>
          <w:sz w:val="11"/>
          <w:szCs w:val="11"/>
          <w:color w:val="auto"/>
        </w:rPr>
      </w:pPr>
    </w:p>
    <w:p>
      <w:pPr>
        <w:ind w:left="260" w:hanging="255"/>
        <w:spacing w:after="0" w:line="251" w:lineRule="auto"/>
        <w:tabs>
          <w:tab w:leader="none" w:pos="249"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employee separation charges in the three months ended December 31, 2020 and supplier claims in the three months ended September 30, 2020.</w:t>
      </w: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Supreme Court of Korea decisions related to our salaried workers.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702"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diluted earnings (loss) per common share under U.S. GAAP to EPS-diluted-adjusted (dollars in millions, except per share amounts):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3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5"/>
          </w:tcPr>
          <w:p>
            <w:pPr>
              <w:ind w:left="22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5"/>
          </w:tcPr>
          <w:p>
            <w:pPr>
              <w:ind w:left="300"/>
              <w:spacing w:after="0"/>
              <w:rPr>
                <w:sz w:val="20"/>
                <w:szCs w:val="20"/>
                <w:color w:val="auto"/>
              </w:rPr>
            </w:pPr>
            <w:r>
              <w:rPr>
                <w:rFonts w:ascii="Arial" w:cs="Arial" w:eastAsia="Arial" w:hAnsi="Arial"/>
                <w:sz w:val="10"/>
                <w:szCs w:val="10"/>
                <w:b w:val="1"/>
                <w:bCs w:val="1"/>
                <w:color w:val="auto"/>
              </w:rPr>
              <w:t>Six Months Ended</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31"/>
        </w:trPr>
        <w:tc>
          <w:tcPr>
            <w:tcW w:w="39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rPr>
              <w:t>June 30, 2022</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0"/>
                <w:szCs w:val="10"/>
                <w:b w:val="1"/>
                <w:bCs w:val="1"/>
                <w:color w:val="auto"/>
              </w:rPr>
              <w:t>June 30, 2021</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ind w:left="380"/>
              <w:spacing w:after="0"/>
              <w:rPr>
                <w:sz w:val="20"/>
                <w:szCs w:val="20"/>
                <w:color w:val="auto"/>
              </w:rPr>
            </w:pPr>
            <w:r>
              <w:rPr>
                <w:rFonts w:ascii="Arial" w:cs="Arial" w:eastAsia="Arial" w:hAnsi="Arial"/>
                <w:sz w:val="10"/>
                <w:szCs w:val="10"/>
                <w:b w:val="1"/>
                <w:bCs w:val="1"/>
                <w:color w:val="auto"/>
              </w:rPr>
              <w:t>June 30, 2022</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0"/>
                <w:szCs w:val="10"/>
                <w:b w:val="1"/>
                <w:bCs w:val="1"/>
                <w:color w:val="auto"/>
              </w:rPr>
              <w:t>June 30, 2021</w:t>
            </w:r>
          </w:p>
        </w:tc>
      </w:tr>
      <w:tr>
        <w:trPr>
          <w:trHeight w:val="113"/>
        </w:trPr>
        <w:tc>
          <w:tcPr>
            <w:tcW w:w="3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9"/>
                <w:szCs w:val="9"/>
                <w:color w:val="auto"/>
              </w:rPr>
            </w:pPr>
          </w:p>
        </w:tc>
        <w:tc>
          <w:tcPr>
            <w:tcW w:w="760" w:type="dxa"/>
            <w:vAlign w:val="bottom"/>
            <w:gridSpan w:val="2"/>
          </w:tcPr>
          <w:p>
            <w:pPr>
              <w:ind w:left="60"/>
              <w:spacing w:after="0"/>
              <w:rPr>
                <w:sz w:val="20"/>
                <w:szCs w:val="20"/>
                <w:color w:val="auto"/>
              </w:rPr>
            </w:pPr>
            <w:r>
              <w:rPr>
                <w:rFonts w:ascii="Arial" w:cs="Arial" w:eastAsia="Arial" w:hAnsi="Arial"/>
                <w:sz w:val="8"/>
                <w:szCs w:val="8"/>
                <w:b w:val="1"/>
                <w:bCs w:val="1"/>
                <w:color w:val="auto"/>
              </w:rPr>
              <w:t>Per Share</w:t>
            </w:r>
          </w:p>
        </w:tc>
        <w:tc>
          <w:tcPr>
            <w:tcW w:w="180" w:type="dxa"/>
            <w:vAlign w:val="bottom"/>
          </w:tcPr>
          <w:p>
            <w:pPr>
              <w:spacing w:after="0"/>
              <w:rPr>
                <w:sz w:val="9"/>
                <w:szCs w:val="9"/>
                <w:color w:val="auto"/>
              </w:rPr>
            </w:pPr>
          </w:p>
        </w:tc>
        <w:tc>
          <w:tcPr>
            <w:tcW w:w="74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9"/>
                <w:szCs w:val="9"/>
                <w:color w:val="auto"/>
              </w:rPr>
            </w:pP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Per Share</w:t>
            </w:r>
          </w:p>
        </w:tc>
        <w:tc>
          <w:tcPr>
            <w:tcW w:w="180" w:type="dxa"/>
            <w:vAlign w:val="bottom"/>
          </w:tcPr>
          <w:p>
            <w:pPr>
              <w:spacing w:after="0"/>
              <w:rPr>
                <w:sz w:val="9"/>
                <w:szCs w:val="9"/>
                <w:color w:val="auto"/>
              </w:rPr>
            </w:pPr>
          </w:p>
        </w:tc>
        <w:tc>
          <w:tcPr>
            <w:tcW w:w="74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9"/>
                <w:szCs w:val="9"/>
                <w:color w:val="auto"/>
              </w:rPr>
            </w:pPr>
          </w:p>
        </w:tc>
        <w:tc>
          <w:tcPr>
            <w:tcW w:w="780" w:type="dxa"/>
            <w:vAlign w:val="bottom"/>
            <w:gridSpan w:val="2"/>
          </w:tcPr>
          <w:p>
            <w:pPr>
              <w:ind w:left="80"/>
              <w:spacing w:after="0"/>
              <w:rPr>
                <w:sz w:val="20"/>
                <w:szCs w:val="20"/>
                <w:color w:val="auto"/>
              </w:rPr>
            </w:pPr>
            <w:r>
              <w:rPr>
                <w:rFonts w:ascii="Arial" w:cs="Arial" w:eastAsia="Arial" w:hAnsi="Arial"/>
                <w:sz w:val="8"/>
                <w:szCs w:val="8"/>
                <w:b w:val="1"/>
                <w:bCs w:val="1"/>
                <w:color w:val="auto"/>
              </w:rPr>
              <w:t>Per Share</w:t>
            </w:r>
          </w:p>
        </w:tc>
        <w:tc>
          <w:tcPr>
            <w:tcW w:w="160" w:type="dxa"/>
            <w:vAlign w:val="bottom"/>
          </w:tcPr>
          <w:p>
            <w:pPr>
              <w:spacing w:after="0"/>
              <w:rPr>
                <w:sz w:val="9"/>
                <w:szCs w:val="9"/>
                <w:color w:val="auto"/>
              </w:rPr>
            </w:pPr>
          </w:p>
        </w:tc>
        <w:tc>
          <w:tcPr>
            <w:tcW w:w="74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60" w:type="dxa"/>
            <w:vAlign w:val="bottom"/>
          </w:tcPr>
          <w:p>
            <w:pPr>
              <w:spacing w:after="0"/>
              <w:rPr>
                <w:sz w:val="9"/>
                <w:szCs w:val="9"/>
                <w:color w:val="auto"/>
              </w:rPr>
            </w:pPr>
          </w:p>
        </w:tc>
        <w:tc>
          <w:tcPr>
            <w:tcW w:w="680" w:type="dxa"/>
            <w:vAlign w:val="bottom"/>
          </w:tcPr>
          <w:p>
            <w:pPr>
              <w:jc w:val="right"/>
              <w:ind w:right="158"/>
              <w:spacing w:after="0"/>
              <w:rPr>
                <w:sz w:val="20"/>
                <w:szCs w:val="20"/>
                <w:color w:val="auto"/>
              </w:rPr>
            </w:pPr>
            <w:r>
              <w:rPr>
                <w:rFonts w:ascii="Arial" w:cs="Arial" w:eastAsia="Arial" w:hAnsi="Arial"/>
                <w:sz w:val="8"/>
                <w:szCs w:val="8"/>
                <w:b w:val="1"/>
                <w:bCs w:val="1"/>
                <w:color w:val="auto"/>
              </w:rPr>
              <w:t>Per Share</w:t>
            </w:r>
          </w:p>
        </w:tc>
      </w:tr>
      <w:tr>
        <w:trPr>
          <w:trHeight w:val="167"/>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3,653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center"/>
              <w:ind w:left="261"/>
              <w:spacing w:after="0"/>
              <w:rPr>
                <w:sz w:val="20"/>
                <w:szCs w:val="20"/>
                <w:color w:val="auto"/>
              </w:rPr>
            </w:pPr>
            <w:r>
              <w:rPr>
                <w:rFonts w:ascii="Arial" w:cs="Arial" w:eastAsia="Arial" w:hAnsi="Arial"/>
                <w:sz w:val="13"/>
                <w:szCs w:val="13"/>
                <w:color w:val="auto"/>
                <w:w w:val="94"/>
              </w:rPr>
              <w:t>2.49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r>
      <w:tr>
        <w:trPr>
          <w:trHeight w:val="169"/>
        </w:trPr>
        <w:tc>
          <w:tcPr>
            <w:tcW w:w="3920" w:type="dxa"/>
            <w:vAlign w:val="bottom"/>
          </w:tcPr>
          <w:p>
            <w:pPr>
              <w:spacing w:after="0"/>
              <w:rPr>
                <w:sz w:val="20"/>
                <w:szCs w:val="20"/>
                <w:color w:val="auto"/>
              </w:rPr>
            </w:pPr>
            <w:r>
              <w:rPr>
                <w:rFonts w:ascii="Arial" w:cs="Arial" w:eastAsia="Arial" w:hAnsi="Arial"/>
                <w:sz w:val="13"/>
                <w:szCs w:val="13"/>
                <w:color w:val="auto"/>
              </w:rPr>
              <w:t>Adjustments(a)</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left="261"/>
              <w:spacing w:after="0"/>
              <w:rPr>
                <w:sz w:val="20"/>
                <w:szCs w:val="20"/>
                <w:color w:val="auto"/>
              </w:rPr>
            </w:pPr>
            <w:r>
              <w:rPr>
                <w:rFonts w:ascii="Arial" w:cs="Arial" w:eastAsia="Arial" w:hAnsi="Arial"/>
                <w:sz w:val="13"/>
                <w:szCs w:val="13"/>
                <w:color w:val="auto"/>
                <w:w w:val="94"/>
              </w:rPr>
              <w:t>0.65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0.06</w:t>
            </w:r>
          </w:p>
        </w:tc>
      </w:tr>
      <w:tr>
        <w:trPr>
          <w:trHeight w:val="171"/>
        </w:trPr>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Tax effect on adjustments(b)</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left="241"/>
              <w:spacing w:after="0"/>
              <w:rPr>
                <w:sz w:val="20"/>
                <w:szCs w:val="20"/>
                <w:color w:val="auto"/>
              </w:rPr>
            </w:pPr>
            <w:r>
              <w:rPr>
                <w:rFonts w:ascii="Arial" w:cs="Arial" w:eastAsia="Arial" w:hAnsi="Arial"/>
                <w:sz w:val="13"/>
                <w:szCs w:val="13"/>
                <w:color w:val="auto"/>
                <w:w w:val="99"/>
              </w:rPr>
              <w:t>(0.20)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920" w:type="dxa"/>
            <w:vAlign w:val="bottom"/>
          </w:tcPr>
          <w:p>
            <w:pPr>
              <w:spacing w:after="0"/>
              <w:rPr>
                <w:sz w:val="20"/>
                <w:szCs w:val="20"/>
                <w:color w:val="auto"/>
              </w:rPr>
            </w:pPr>
            <w:r>
              <w:rPr>
                <w:rFonts w:ascii="Arial" w:cs="Arial" w:eastAsia="Arial" w:hAnsi="Arial"/>
                <w:sz w:val="13"/>
                <w:szCs w:val="13"/>
                <w:color w:val="auto"/>
              </w:rPr>
              <w:t>Tax adjustments(c)</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left="241"/>
              <w:spacing w:after="0"/>
              <w:rPr>
                <w:sz w:val="20"/>
                <w:szCs w:val="20"/>
                <w:color w:val="auto"/>
              </w:rPr>
            </w:pPr>
            <w:r>
              <w:rPr>
                <w:rFonts w:ascii="Arial" w:cs="Arial" w:eastAsia="Arial" w:hAnsi="Arial"/>
                <w:sz w:val="13"/>
                <w:szCs w:val="13"/>
                <w:color w:val="auto"/>
                <w:w w:val="99"/>
              </w:rPr>
              <w:t>(0.33)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0.22</w:t>
            </w:r>
          </w:p>
        </w:tc>
      </w:tr>
      <w:tr>
        <w:trPr>
          <w:trHeight w:val="182"/>
        </w:trPr>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Deemed dividend adjustment(d)</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261"/>
              <w:spacing w:after="0"/>
              <w:rPr>
                <w:sz w:val="20"/>
                <w:szCs w:val="20"/>
                <w:color w:val="auto"/>
              </w:rPr>
            </w:pPr>
            <w:r>
              <w:rPr>
                <w:rFonts w:ascii="Arial" w:cs="Arial" w:eastAsia="Arial" w:hAnsi="Arial"/>
                <w:sz w:val="13"/>
                <w:szCs w:val="13"/>
                <w:color w:val="auto"/>
                <w:w w:val="94"/>
              </w:rPr>
              <w:t>0.62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920" w:type="dxa"/>
            <w:vAlign w:val="bottom"/>
          </w:tcPr>
          <w:p>
            <w:pPr>
              <w:spacing w:after="0"/>
              <w:rPr>
                <w:sz w:val="20"/>
                <w:szCs w:val="20"/>
                <w:color w:val="auto"/>
              </w:rPr>
            </w:pPr>
            <w:r>
              <w:rPr>
                <w:rFonts w:ascii="Arial" w:cs="Arial" w:eastAsia="Arial" w:hAnsi="Arial"/>
                <w:sz w:val="13"/>
                <w:szCs w:val="13"/>
                <w:color w:val="auto"/>
              </w:rPr>
              <w:t>EPS-diluted-adjusted</w:t>
            </w: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1,666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2,885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rPr>
              <w:t>4,741</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center"/>
              <w:ind w:left="261"/>
              <w:spacing w:after="0"/>
              <w:rPr>
                <w:sz w:val="20"/>
                <w:szCs w:val="20"/>
                <w:color w:val="auto"/>
              </w:rPr>
            </w:pPr>
            <w:r>
              <w:rPr>
                <w:rFonts w:ascii="Arial" w:cs="Arial" w:eastAsia="Arial" w:hAnsi="Arial"/>
                <w:sz w:val="13"/>
                <w:szCs w:val="13"/>
                <w:color w:val="auto"/>
                <w:w w:val="94"/>
              </w:rPr>
              <w:t>3.23</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6,178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4.21</w:t>
            </w: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segment profit (loss) for adjustment details.</w:t>
      </w: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11" w:lineRule="exact"/>
        <w:rPr>
          <w:rFonts w:ascii="Arial" w:cs="Arial" w:eastAsia="Arial" w:hAnsi="Arial"/>
          <w:sz w:val="11"/>
          <w:szCs w:val="11"/>
          <w:color w:val="auto"/>
        </w:rPr>
      </w:pPr>
    </w:p>
    <w:p>
      <w:pPr>
        <w:jc w:val="both"/>
        <w:ind w:left="260" w:hanging="255"/>
        <w:spacing w:after="0" w:line="248" w:lineRule="auto"/>
        <w:tabs>
          <w:tab w:leader="none" w:pos="254"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These adjustments consist of tax benefit related to the release of a valuation allowance against deferred tax assets that are considered realizable as a result of Cruise tax reconsolidation in the six months ended June 30, 2022, and tax expense related to the establishment of a valuation allowance against deferred tax assets that were considered no longer realizable for Cruise in the six months ended June 30, 2021. These adjustments were excluded because significant impacts of valuation allowances are not considered part of our core operations.</w:t>
      </w: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This adjustment consists of a deemed dividend related to the redemption of Cruise preferred shares from SoftBank in the six months ended June 30, 2022.</w:t>
      </w: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1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ind w:left="36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5"/>
          </w:tcPr>
          <w:p>
            <w:pPr>
              <w:ind w:left="420"/>
              <w:spacing w:after="0"/>
              <w:rPr>
                <w:sz w:val="20"/>
                <w:szCs w:val="20"/>
                <w:color w:val="auto"/>
              </w:rPr>
            </w:pPr>
            <w:r>
              <w:rPr>
                <w:rFonts w:ascii="Arial" w:cs="Arial" w:eastAsia="Arial" w:hAnsi="Arial"/>
                <w:sz w:val="10"/>
                <w:szCs w:val="10"/>
                <w:b w:val="1"/>
                <w:bCs w:val="1"/>
                <w:color w:val="auto"/>
              </w:rPr>
              <w:t>Six Months Ended</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June 30, 2022</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June 30, 2021</w:t>
            </w: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June 30, 2022</w:t>
            </w: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June 30, 2021</w:t>
            </w: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580" w:type="dxa"/>
            <w:vAlign w:val="bottom"/>
          </w:tcPr>
          <w:p>
            <w:pPr>
              <w:spacing w:after="0"/>
              <w:rPr>
                <w:sz w:val="6"/>
                <w:szCs w:val="6"/>
                <w:color w:val="auto"/>
              </w:rPr>
            </w:pP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8"/>
                <w:szCs w:val="8"/>
                <w:b w:val="1"/>
                <w:bCs w:val="1"/>
                <w:color w:val="auto"/>
              </w:rPr>
              <w:t>Income before</w:t>
            </w:r>
          </w:p>
        </w:tc>
        <w:tc>
          <w:tcPr>
            <w:tcW w:w="80" w:type="dxa"/>
            <w:vAlign w:val="bottom"/>
          </w:tcPr>
          <w:p>
            <w:pPr>
              <w:spacing w:after="0"/>
              <w:rPr>
                <w:sz w:val="6"/>
                <w:szCs w:val="6"/>
                <w:color w:val="auto"/>
              </w:rPr>
            </w:pPr>
          </w:p>
        </w:tc>
        <w:tc>
          <w:tcPr>
            <w:tcW w:w="660" w:type="dxa"/>
            <w:vAlign w:val="bottom"/>
            <w:gridSpan w:val="2"/>
          </w:tcPr>
          <w:p>
            <w:pPr>
              <w:jc w:val="center"/>
              <w:ind w:right="180"/>
              <w:spacing w:after="0" w:line="77" w:lineRule="exact"/>
              <w:rPr>
                <w:sz w:val="20"/>
                <w:szCs w:val="20"/>
                <w:color w:val="auto"/>
              </w:rPr>
            </w:pPr>
            <w:r>
              <w:rPr>
                <w:rFonts w:ascii="Arial" w:cs="Arial" w:eastAsia="Arial" w:hAnsi="Arial"/>
                <w:sz w:val="8"/>
                <w:szCs w:val="8"/>
                <w:b w:val="1"/>
                <w:bCs w:val="1"/>
                <w:color w:val="auto"/>
              </w:rPr>
              <w:t>Income tax</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8"/>
              </w:rPr>
              <w:t>Effective tax</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6"/>
                <w:szCs w:val="6"/>
                <w:color w:val="auto"/>
              </w:rPr>
            </w:pPr>
          </w:p>
        </w:tc>
        <w:tc>
          <w:tcPr>
            <w:tcW w:w="680" w:type="dxa"/>
            <w:vAlign w:val="bottom"/>
            <w:gridSpan w:val="2"/>
          </w:tcPr>
          <w:p>
            <w:pPr>
              <w:jc w:val="center"/>
              <w:ind w:right="200"/>
              <w:spacing w:after="0" w:line="77" w:lineRule="exact"/>
              <w:rPr>
                <w:sz w:val="20"/>
                <w:szCs w:val="20"/>
                <w:color w:val="auto"/>
              </w:rPr>
            </w:pPr>
            <w:r>
              <w:rPr>
                <w:rFonts w:ascii="Arial" w:cs="Arial" w:eastAsia="Arial" w:hAnsi="Arial"/>
                <w:sz w:val="8"/>
                <w:szCs w:val="8"/>
                <w:b w:val="1"/>
                <w:bCs w:val="1"/>
                <w:color w:val="auto"/>
              </w:rPr>
              <w:t>Income tax</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8"/>
              </w:rPr>
              <w:t>Effective tax</w:t>
            </w: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6"/>
                <w:szCs w:val="6"/>
                <w:color w:val="auto"/>
              </w:rPr>
            </w:pPr>
          </w:p>
        </w:tc>
        <w:tc>
          <w:tcPr>
            <w:tcW w:w="680" w:type="dxa"/>
            <w:vAlign w:val="bottom"/>
            <w:gridSpan w:val="2"/>
          </w:tcPr>
          <w:p>
            <w:pPr>
              <w:jc w:val="center"/>
              <w:ind w:right="200"/>
              <w:spacing w:after="0" w:line="77" w:lineRule="exact"/>
              <w:rPr>
                <w:sz w:val="20"/>
                <w:szCs w:val="20"/>
                <w:color w:val="auto"/>
              </w:rPr>
            </w:pPr>
            <w:r>
              <w:rPr>
                <w:rFonts w:ascii="Arial" w:cs="Arial" w:eastAsia="Arial" w:hAnsi="Arial"/>
                <w:sz w:val="8"/>
                <w:szCs w:val="8"/>
                <w:b w:val="1"/>
                <w:bCs w:val="1"/>
                <w:color w:val="auto"/>
              </w:rPr>
              <w:t>Income tax</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8"/>
              </w:rPr>
              <w:t>Effective tax</w:t>
            </w: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6"/>
                <w:szCs w:val="6"/>
                <w:color w:val="auto"/>
              </w:rPr>
            </w:pPr>
          </w:p>
        </w:tc>
        <w:tc>
          <w:tcPr>
            <w:tcW w:w="680" w:type="dxa"/>
            <w:vAlign w:val="bottom"/>
            <w:gridSpan w:val="2"/>
          </w:tcPr>
          <w:p>
            <w:pPr>
              <w:jc w:val="center"/>
              <w:ind w:right="200"/>
              <w:spacing w:after="0" w:line="77" w:lineRule="exact"/>
              <w:rPr>
                <w:sz w:val="20"/>
                <w:szCs w:val="20"/>
                <w:color w:val="auto"/>
              </w:rPr>
            </w:pPr>
            <w:r>
              <w:rPr>
                <w:rFonts w:ascii="Arial" w:cs="Arial" w:eastAsia="Arial" w:hAnsi="Arial"/>
                <w:sz w:val="8"/>
                <w:szCs w:val="8"/>
                <w:b w:val="1"/>
                <w:bCs w:val="1"/>
                <w:color w:val="auto"/>
              </w:rPr>
              <w:t>Income tax</w:t>
            </w:r>
          </w:p>
        </w:tc>
        <w:tc>
          <w:tcPr>
            <w:tcW w:w="800" w:type="dxa"/>
            <w:vAlign w:val="bottom"/>
            <w:vMerge w:val="restart"/>
          </w:tcPr>
          <w:p>
            <w:pPr>
              <w:jc w:val="right"/>
              <w:ind w:right="43"/>
              <w:spacing w:after="0"/>
              <w:rPr>
                <w:sz w:val="20"/>
                <w:szCs w:val="20"/>
                <w:color w:val="auto"/>
              </w:rPr>
            </w:pPr>
            <w:r>
              <w:rPr>
                <w:rFonts w:ascii="Arial" w:cs="Arial" w:eastAsia="Arial" w:hAnsi="Arial"/>
                <w:sz w:val="10"/>
                <w:szCs w:val="10"/>
                <w:b w:val="1"/>
                <w:bCs w:val="1"/>
                <w:color w:val="auto"/>
              </w:rPr>
              <w:t>Effective tax</w:t>
            </w:r>
          </w:p>
        </w:tc>
        <w:tc>
          <w:tcPr>
            <w:tcW w:w="0" w:type="dxa"/>
            <w:vAlign w:val="bottom"/>
          </w:tcPr>
          <w:p>
            <w:pPr>
              <w:spacing w:after="0"/>
              <w:rPr>
                <w:sz w:val="1"/>
                <w:szCs w:val="1"/>
                <w:color w:val="auto"/>
              </w:rPr>
            </w:pPr>
          </w:p>
        </w:tc>
      </w:tr>
      <w:tr>
        <w:trPr>
          <w:trHeight w:val="85"/>
        </w:trPr>
        <w:tc>
          <w:tcPr>
            <w:tcW w:w="15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rPr>
              <w:t>expense</w:t>
            </w:r>
          </w:p>
        </w:tc>
        <w:tc>
          <w:tcPr>
            <w:tcW w:w="90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expense</w:t>
            </w:r>
          </w:p>
        </w:tc>
        <w:tc>
          <w:tcPr>
            <w:tcW w:w="88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220"/>
              <w:spacing w:after="0" w:line="85" w:lineRule="exact"/>
              <w:rPr>
                <w:sz w:val="20"/>
                <w:szCs w:val="20"/>
                <w:color w:val="auto"/>
              </w:rPr>
            </w:pPr>
            <w:r>
              <w:rPr>
                <w:rFonts w:ascii="Arial" w:cs="Arial" w:eastAsia="Arial" w:hAnsi="Arial"/>
                <w:sz w:val="8"/>
                <w:szCs w:val="8"/>
                <w:b w:val="1"/>
                <w:bCs w:val="1"/>
                <w:color w:val="auto"/>
              </w:rPr>
              <w:t>expense</w:t>
            </w:r>
          </w:p>
        </w:tc>
        <w:tc>
          <w:tcPr>
            <w:tcW w:w="880" w:type="dxa"/>
            <w:vAlign w:val="bottom"/>
            <w:gridSpan w:val="2"/>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220"/>
              <w:spacing w:after="0" w:line="85" w:lineRule="exact"/>
              <w:rPr>
                <w:sz w:val="20"/>
                <w:szCs w:val="20"/>
                <w:color w:val="auto"/>
              </w:rPr>
            </w:pPr>
            <w:r>
              <w:rPr>
                <w:rFonts w:ascii="Arial" w:cs="Arial" w:eastAsia="Arial" w:hAnsi="Arial"/>
                <w:sz w:val="8"/>
                <w:szCs w:val="8"/>
                <w:b w:val="1"/>
                <w:bCs w:val="1"/>
                <w:color w:val="auto"/>
              </w:rPr>
              <w:t>expense</w:t>
            </w: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8"/>
                <w:szCs w:val="8"/>
                <w:b w:val="1"/>
                <w:bCs w:val="1"/>
                <w:color w:val="auto"/>
              </w:rPr>
              <w:t>income taxes</w:t>
            </w:r>
          </w:p>
        </w:tc>
        <w:tc>
          <w:tcPr>
            <w:tcW w:w="8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(benefit)</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rate</w:t>
            </w:r>
          </w:p>
        </w:tc>
        <w:tc>
          <w:tcPr>
            <w:tcW w:w="76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rPr>
              <w:t>income taxes</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(benefit)</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rate</w:t>
            </w:r>
          </w:p>
        </w:tc>
        <w:tc>
          <w:tcPr>
            <w:tcW w:w="780" w:type="dxa"/>
            <w:vAlign w:val="bottom"/>
            <w:gridSpan w:val="3"/>
          </w:tcPr>
          <w:p>
            <w:pPr>
              <w:jc w:val="center"/>
              <w:ind w:right="80"/>
              <w:spacing w:after="0"/>
              <w:rPr>
                <w:sz w:val="20"/>
                <w:szCs w:val="20"/>
                <w:color w:val="auto"/>
              </w:rPr>
            </w:pPr>
            <w:r>
              <w:rPr>
                <w:rFonts w:ascii="Arial" w:cs="Arial" w:eastAsia="Arial" w:hAnsi="Arial"/>
                <w:sz w:val="8"/>
                <w:szCs w:val="8"/>
                <w:b w:val="1"/>
                <w:bCs w:val="1"/>
                <w:color w:val="auto"/>
              </w:rPr>
              <w:t>income taxes</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(benefit)</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rate</w:t>
            </w:r>
          </w:p>
        </w:tc>
        <w:tc>
          <w:tcPr>
            <w:tcW w:w="800" w:type="dxa"/>
            <w:vAlign w:val="bottom"/>
            <w:gridSpan w:val="3"/>
          </w:tcPr>
          <w:p>
            <w:pPr>
              <w:jc w:val="center"/>
              <w:ind w:right="100"/>
              <w:spacing w:after="0"/>
              <w:rPr>
                <w:sz w:val="20"/>
                <w:szCs w:val="20"/>
                <w:color w:val="auto"/>
              </w:rPr>
            </w:pPr>
            <w:r>
              <w:rPr>
                <w:rFonts w:ascii="Arial" w:cs="Arial" w:eastAsia="Arial" w:hAnsi="Arial"/>
                <w:sz w:val="8"/>
                <w:szCs w:val="8"/>
                <w:b w:val="1"/>
                <w:bCs w:val="1"/>
                <w:color w:val="auto"/>
              </w:rPr>
              <w:t>income taxes</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(benefit)</w:t>
            </w:r>
          </w:p>
        </w:tc>
        <w:tc>
          <w:tcPr>
            <w:tcW w:w="800" w:type="dxa"/>
            <w:vAlign w:val="bottom"/>
          </w:tcPr>
          <w:p>
            <w:pPr>
              <w:jc w:val="right"/>
              <w:ind w:right="263"/>
              <w:spacing w:after="0"/>
              <w:rPr>
                <w:sz w:val="20"/>
                <w:szCs w:val="20"/>
                <w:color w:val="auto"/>
              </w:rPr>
            </w:pPr>
            <w:r>
              <w:rPr>
                <w:rFonts w:ascii="Arial" w:cs="Arial" w:eastAsia="Arial" w:hAnsi="Arial"/>
                <w:sz w:val="10"/>
                <w:szCs w:val="10"/>
                <w:b w:val="1"/>
                <w:bCs w:val="1"/>
                <w:color w:val="auto"/>
              </w:rPr>
              <w:t>rate</w:t>
            </w:r>
          </w:p>
        </w:tc>
        <w:tc>
          <w:tcPr>
            <w:tcW w:w="0" w:type="dxa"/>
            <w:vAlign w:val="bottom"/>
          </w:tcPr>
          <w:p>
            <w:pPr>
              <w:spacing w:after="0"/>
              <w:rPr>
                <w:sz w:val="1"/>
                <w:szCs w:val="1"/>
                <w:color w:val="auto"/>
              </w:rPr>
            </w:pPr>
          </w:p>
        </w:tc>
      </w:tr>
      <w:tr>
        <w:trPr>
          <w:trHeight w:val="160"/>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23.0 %</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3"/>
                <w:szCs w:val="13"/>
                <w:color w:val="auto"/>
              </w:rPr>
              <w:t>971</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25.9 %</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3"/>
                <w:szCs w:val="13"/>
                <w:color w:val="auto"/>
              </w:rPr>
              <w:t>462</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3"/>
                <w:szCs w:val="13"/>
                <w:color w:val="auto"/>
              </w:rPr>
              <w:t>2,148</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27.0 %</w:t>
            </w:r>
          </w:p>
        </w:tc>
        <w:tc>
          <w:tcPr>
            <w:tcW w:w="0" w:type="dxa"/>
            <w:vAlign w:val="bottom"/>
          </w:tcPr>
          <w:p>
            <w:pPr>
              <w:spacing w:after="0"/>
              <w:rPr>
                <w:sz w:val="1"/>
                <w:szCs w:val="1"/>
                <w:color w:val="auto"/>
              </w:rPr>
            </w:pPr>
          </w:p>
        </w:tc>
      </w:tr>
      <w:tr>
        <w:trPr>
          <w:trHeight w:val="169"/>
        </w:trPr>
        <w:tc>
          <w:tcPr>
            <w:tcW w:w="158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2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adjustment(b)</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3"/>
                <w:szCs w:val="13"/>
                <w:color w:val="auto"/>
              </w:rPr>
              <w:t>482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2,132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23.0 %</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3,874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3"/>
                <w:szCs w:val="13"/>
                <w:color w:val="auto"/>
              </w:rPr>
              <w:t>975</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25.2 %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5,965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3"/>
                <w:szCs w:val="13"/>
                <w:color w:val="auto"/>
              </w:rPr>
              <w:t>1,240</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20.8 %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8,065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3"/>
                <w:szCs w:val="13"/>
                <w:color w:val="auto"/>
              </w:rPr>
              <w:t>1,836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22.8 %</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1" w:lineRule="exact"/>
        <w:rPr>
          <w:sz w:val="20"/>
          <w:szCs w:val="20"/>
          <w:color w:val="auto"/>
        </w:rPr>
      </w:pPr>
    </w:p>
    <w:p>
      <w:pPr>
        <w:ind w:left="260" w:hanging="255"/>
        <w:spacing w:after="0" w:line="261" w:lineRule="auto"/>
        <w:tabs>
          <w:tab w:leader="none" w:pos="249"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EPS-diluted-adjusted for adjustment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702"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firstLine="127"/>
        <w:spacing w:after="0" w:line="266"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72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Four Quarters Ended</w:t>
            </w:r>
          </w:p>
        </w:tc>
        <w:tc>
          <w:tcPr>
            <w:tcW w:w="1240" w:type="dxa"/>
            <w:vAlign w:val="bottom"/>
            <w:tcBorders>
              <w:bottom w:val="single" w:sz="8" w:color="auto"/>
            </w:tcBorders>
          </w:tcPr>
          <w:p>
            <w:pPr>
              <w:spacing w:after="0"/>
              <w:rPr>
                <w:sz w:val="12"/>
                <w:szCs w:val="12"/>
                <w:color w:val="auto"/>
              </w:rPr>
            </w:pPr>
          </w:p>
        </w:tc>
      </w:tr>
      <w:tr>
        <w:trPr>
          <w:trHeight w:val="131"/>
        </w:trPr>
        <w:tc>
          <w:tcPr>
            <w:tcW w:w="77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2022</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June 30, 2021</w:t>
            </w:r>
          </w:p>
        </w:tc>
      </w:tr>
      <w:tr>
        <w:trPr>
          <w:trHeight w:val="16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240" w:type="dxa"/>
            <w:vAlign w:val="bottom"/>
            <w:shd w:val="clear" w:color="auto" w:fill="CCEEFF"/>
          </w:tcPr>
          <w:p>
            <w:pPr>
              <w:jc w:val="right"/>
              <w:ind w:right="1081"/>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ind w:left="840"/>
              <w:spacing w:after="0"/>
              <w:rPr>
                <w:sz w:val="20"/>
                <w:szCs w:val="20"/>
                <w:color w:val="auto"/>
              </w:rPr>
            </w:pPr>
            <w:r>
              <w:rPr>
                <w:rFonts w:ascii="Arial" w:cs="Arial" w:eastAsia="Arial" w:hAnsi="Arial"/>
                <w:sz w:val="13"/>
                <w:szCs w:val="13"/>
                <w:color w:val="auto"/>
              </w:rPr>
              <w:t>12.7</w:t>
            </w: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1240" w:type="dxa"/>
            <w:vAlign w:val="bottom"/>
          </w:tcPr>
          <w:p>
            <w:pPr>
              <w:jc w:val="right"/>
              <w:ind w:right="1081"/>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00"/>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Pr>
          <w:p>
            <w:pPr>
              <w:ind w:left="840"/>
              <w:spacing w:after="0"/>
              <w:rPr>
                <w:sz w:val="20"/>
                <w:szCs w:val="20"/>
                <w:color w:val="auto"/>
              </w:rPr>
            </w:pPr>
            <w:r>
              <w:rPr>
                <w:rFonts w:ascii="Arial" w:cs="Arial" w:eastAsia="Arial" w:hAnsi="Arial"/>
                <w:sz w:val="13"/>
                <w:szCs w:val="13"/>
                <w:color w:val="auto"/>
              </w:rPr>
              <w:t>49.2</w:t>
            </w: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ind w:left="840"/>
              <w:spacing w:after="0"/>
              <w:rPr>
                <w:sz w:val="20"/>
                <w:szCs w:val="20"/>
                <w:color w:val="auto"/>
              </w:rPr>
            </w:pPr>
            <w:r>
              <w:rPr>
                <w:rFonts w:ascii="Arial" w:cs="Arial" w:eastAsia="Arial" w:hAnsi="Arial"/>
                <w:sz w:val="13"/>
                <w:szCs w:val="13"/>
                <w:color w:val="auto"/>
                <w:w w:val="93"/>
              </w:rPr>
              <w:t>25.9 %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equity of noncontrolling interests where the corresponding earnings (loss) are included in Net income (loss) attributable to stockholders.</w:t>
      </w:r>
    </w:p>
    <w:p>
      <w:pPr>
        <w:spacing w:after="0" w:line="37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72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9"/>
              </w:rPr>
              <w:t>Four Quarters Ended</w:t>
            </w:r>
          </w:p>
        </w:tc>
        <w:tc>
          <w:tcPr>
            <w:tcW w:w="1240" w:type="dxa"/>
            <w:vAlign w:val="bottom"/>
            <w:tcBorders>
              <w:bottom w:val="single" w:sz="8" w:color="auto"/>
            </w:tcBorders>
          </w:tcPr>
          <w:p>
            <w:pPr>
              <w:spacing w:after="0"/>
              <w:rPr>
                <w:sz w:val="12"/>
                <w:szCs w:val="12"/>
                <w:color w:val="auto"/>
              </w:rPr>
            </w:pPr>
          </w:p>
        </w:tc>
      </w:tr>
      <w:tr>
        <w:trPr>
          <w:trHeight w:val="131"/>
        </w:trPr>
        <w:tc>
          <w:tcPr>
            <w:tcW w:w="77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2022</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0"/>
                <w:szCs w:val="10"/>
                <w:b w:val="1"/>
                <w:bCs w:val="1"/>
                <w:color w:val="auto"/>
              </w:rPr>
              <w:t>June 30, 2021</w:t>
            </w:r>
          </w:p>
        </w:tc>
      </w:tr>
      <w:tr>
        <w:trPr>
          <w:trHeight w:val="16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 (loss)-adjusted(a)</w:t>
            </w:r>
          </w:p>
        </w:tc>
        <w:tc>
          <w:tcPr>
            <w:tcW w:w="1240" w:type="dxa"/>
            <w:vAlign w:val="bottom"/>
            <w:shd w:val="clear" w:color="auto" w:fill="CCEEFF"/>
          </w:tcPr>
          <w:p>
            <w:pPr>
              <w:jc w:val="right"/>
              <w:ind w:right="10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17.5</w:t>
            </w: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1240" w:type="dxa"/>
            <w:vAlign w:val="bottom"/>
          </w:tcPr>
          <w:p>
            <w:pPr>
              <w:jc w:val="right"/>
              <w:ind w:right="1080"/>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98"/>
              <w:spacing w:after="0"/>
              <w:rPr>
                <w:sz w:val="20"/>
                <w:szCs w:val="20"/>
                <w:color w:val="auto"/>
              </w:rPr>
            </w:pPr>
            <w:r>
              <w:rPr>
                <w:rFonts w:ascii="Arial" w:cs="Arial" w:eastAsia="Arial" w:hAnsi="Arial"/>
                <w:sz w:val="13"/>
                <w:szCs w:val="13"/>
                <w:color w:val="auto"/>
              </w:rPr>
              <w:t>49.2</w:t>
            </w: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20.3</w:t>
            </w: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124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98"/>
              <w:spacing w:after="0"/>
              <w:rPr>
                <w:sz w:val="20"/>
                <w:szCs w:val="20"/>
                <w:color w:val="auto"/>
              </w:rPr>
            </w:pPr>
            <w:r>
              <w:rPr>
                <w:rFonts w:ascii="Arial" w:cs="Arial" w:eastAsia="Arial" w:hAnsi="Arial"/>
                <w:sz w:val="13"/>
                <w:szCs w:val="13"/>
                <w:color w:val="auto"/>
              </w:rPr>
              <w:t>17.8</w:t>
            </w: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12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(23.2)</w:t>
            </w:r>
          </w:p>
        </w:tc>
      </w:tr>
      <w:tr>
        <w:trPr>
          <w:trHeight w:val="162"/>
        </w:trPr>
        <w:tc>
          <w:tcPr>
            <w:tcW w:w="7720" w:type="dxa"/>
            <w:vAlign w:val="bottom"/>
          </w:tcPr>
          <w:p>
            <w:pPr>
              <w:ind w:left="20"/>
              <w:spacing w:after="0"/>
              <w:rPr>
                <w:sz w:val="20"/>
                <w:szCs w:val="20"/>
                <w:color w:val="auto"/>
              </w:rPr>
            </w:pPr>
            <w:r>
              <w:rPr>
                <w:rFonts w:ascii="Arial" w:cs="Arial" w:eastAsia="Arial" w:hAnsi="Arial"/>
                <w:sz w:val="13"/>
                <w:szCs w:val="13"/>
                <w:color w:val="auto"/>
              </w:rPr>
              <w:t>ROIC-adjusted average net assets</w:t>
            </w:r>
          </w:p>
        </w:tc>
        <w:tc>
          <w:tcPr>
            <w:tcW w:w="1240" w:type="dxa"/>
            <w:vAlign w:val="bottom"/>
            <w:tcBorders>
              <w:bottom w:val="single" w:sz="8" w:color="auto"/>
            </w:tcBorders>
          </w:tcPr>
          <w:p>
            <w:pPr>
              <w:jc w:val="right"/>
              <w:ind w:right="108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69.7</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64.1</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1240" w:type="dxa"/>
            <w:vAlign w:val="bottom"/>
            <w:shd w:val="clear" w:color="auto" w:fill="CCEEFF"/>
          </w:tcPr>
          <w:p>
            <w:pPr>
              <w:spacing w:after="0"/>
              <w:rPr>
                <w:sz w:val="13"/>
                <w:szCs w:val="13"/>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17.4 %</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27.3 %</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40" w:hanging="235"/>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 (loss)-adjusted for adjustment details.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 (loss)-adjusted.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702"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(used in) operating activities under U.S. GAAP to adjusted automotive free cash flow (dollars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0" w:type="dxa"/>
            <w:vAlign w:val="bottom"/>
            <w:gridSpan w:val="5"/>
          </w:tcPr>
          <w:p>
            <w:pPr>
              <w:ind w:left="76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Pr>
          <w:p>
            <w:pPr>
              <w:spacing w:after="0"/>
              <w:rPr>
                <w:sz w:val="12"/>
                <w:szCs w:val="12"/>
                <w:color w:val="auto"/>
              </w:rPr>
            </w:pPr>
          </w:p>
        </w:tc>
        <w:tc>
          <w:tcPr>
            <w:tcW w:w="2540" w:type="dxa"/>
            <w:vAlign w:val="bottom"/>
            <w:gridSpan w:val="4"/>
          </w:tcPr>
          <w:p>
            <w:pPr>
              <w:jc w:val="center"/>
              <w:ind w:right="138"/>
              <w:spacing w:after="0"/>
              <w:rPr>
                <w:sz w:val="20"/>
                <w:szCs w:val="20"/>
                <w:color w:val="auto"/>
              </w:rPr>
            </w:pPr>
            <w:r>
              <w:rPr>
                <w:rFonts w:ascii="Arial" w:cs="Arial" w:eastAsia="Arial" w:hAnsi="Arial"/>
                <w:sz w:val="10"/>
                <w:szCs w:val="10"/>
                <w:b w:val="1"/>
                <w:bCs w:val="1"/>
                <w:color w:val="auto"/>
                <w:w w:val="99"/>
              </w:rPr>
              <w:t>Six Months Ended</w:t>
            </w:r>
          </w:p>
        </w:tc>
      </w:tr>
      <w:tr>
        <w:trPr>
          <w:trHeight w:val="131"/>
        </w:trPr>
        <w:tc>
          <w:tcPr>
            <w:tcW w:w="55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June 30, 2022</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June 30, 2021</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June 30, 2022</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June 30, 2021</w:t>
            </w:r>
          </w:p>
        </w:tc>
      </w:tr>
      <w:tr>
        <w:trPr>
          <w:trHeight w:val="16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(used in) operating activities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center"/>
              <w:ind w:right="96"/>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2,911</w:t>
            </w:r>
          </w:p>
        </w:tc>
      </w:tr>
      <w:tr>
        <w:trPr>
          <w:trHeight w:val="169"/>
        </w:trPr>
        <w:tc>
          <w:tcPr>
            <w:tcW w:w="550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(2,406)</w:t>
            </w:r>
          </w:p>
        </w:tc>
      </w:tr>
      <w:tr>
        <w:trPr>
          <w:trHeight w:val="171"/>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9"/>
        </w:trPr>
        <w:tc>
          <w:tcPr>
            <w:tcW w:w="5500" w:type="dxa"/>
            <w:vAlign w:val="bottom"/>
          </w:tcPr>
          <w:p>
            <w:pPr>
              <w:ind w:left="20"/>
              <w:spacing w:after="0"/>
              <w:rPr>
                <w:sz w:val="20"/>
                <w:szCs w:val="20"/>
                <w:color w:val="auto"/>
              </w:rPr>
            </w:pPr>
            <w:r>
              <w:rPr>
                <w:rFonts w:ascii="Arial" w:cs="Arial" w:eastAsia="Arial" w:hAnsi="Arial"/>
                <w:sz w:val="13"/>
                <w:szCs w:val="13"/>
                <w:color w:val="auto"/>
              </w:rPr>
              <w:t>Add: Cadillac dealer strategy</w:t>
            </w:r>
          </w:p>
        </w:tc>
        <w:tc>
          <w:tcPr>
            <w:tcW w:w="2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70"/>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 Korea wage litigation</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5500" w:type="dxa"/>
            <w:vAlign w:val="bottom"/>
          </w:tcPr>
          <w:p>
            <w:pPr>
              <w:ind w:left="20"/>
              <w:spacing w:after="0"/>
              <w:rPr>
                <w:sz w:val="20"/>
                <w:szCs w:val="20"/>
                <w:color w:val="auto"/>
              </w:rPr>
            </w:pPr>
            <w:r>
              <w:rPr>
                <w:rFonts w:ascii="Arial" w:cs="Arial" w:eastAsia="Arial" w:hAnsi="Arial"/>
                <w:sz w:val="13"/>
                <w:szCs w:val="13"/>
                <w:color w:val="auto"/>
              </w:rPr>
              <w:t>Adjusted automotive free cash flow</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1,407</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center"/>
              <w:ind w:right="96"/>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546</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7"/>
                <w:szCs w:val="7"/>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7"/>
                <w:szCs w:val="7"/>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7"/>
                <w:szCs w:val="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7"/>
                <w:szCs w:val="7"/>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7"/>
                <w:szCs w:val="7"/>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60" w:type="dxa"/>
            <w:vAlign w:val="bottom"/>
          </w:tcPr>
          <w:p>
            <w:pPr>
              <w:spacing w:after="0"/>
              <w:rPr>
                <w:sz w:val="7"/>
                <w:szCs w:val="7"/>
                <w:color w:val="auto"/>
              </w:rPr>
            </w:pPr>
          </w:p>
        </w:tc>
        <w:tc>
          <w:tcPr>
            <w:tcW w:w="520" w:type="dxa"/>
            <w:vAlign w:val="bottom"/>
            <w:vMerge w:val="restart"/>
          </w:tcPr>
          <w:p>
            <w:pPr>
              <w:jc w:val="right"/>
              <w:ind w:right="19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00" w:type="dxa"/>
            <w:vAlign w:val="bottom"/>
          </w:tcPr>
          <w:p>
            <w:pPr>
              <w:ind w:left="20"/>
              <w:spacing w:after="0"/>
              <w:rPr>
                <w:sz w:val="20"/>
                <w:szCs w:val="20"/>
                <w:color w:val="auto"/>
              </w:rPr>
            </w:pPr>
            <w:r>
              <w:rPr>
                <w:rFonts w:ascii="Arial" w:cs="Arial" w:eastAsia="Arial" w:hAnsi="Arial"/>
                <w:sz w:val="8"/>
                <w:szCs w:val="8"/>
                <w:b w:val="1"/>
                <w:bCs w:val="1"/>
                <w:color w:val="auto"/>
              </w:rPr>
              <w:t>Three Months Ended June 30, 2022</w:t>
            </w: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28,760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32,614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3,146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35,759</w:t>
            </w:r>
          </w:p>
        </w:tc>
        <w:tc>
          <w:tcPr>
            <w:tcW w:w="0" w:type="dxa"/>
            <w:vAlign w:val="bottom"/>
          </w:tcPr>
          <w:p>
            <w:pPr>
              <w:spacing w:after="0"/>
              <w:rPr>
                <w:sz w:val="1"/>
                <w:szCs w:val="1"/>
                <w:color w:val="auto"/>
              </w:rPr>
            </w:pPr>
          </w:p>
        </w:tc>
      </w:tr>
      <w:tr>
        <w:trPr>
          <w:trHeight w:val="134"/>
        </w:trPr>
        <w:tc>
          <w:tcPr>
            <w:tcW w:w="310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0"/>
                <w:szCs w:val="10"/>
                <w:color w:val="auto"/>
              </w:rPr>
              <w:t>1,894</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178</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2,073</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87</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2,168</w:t>
            </w: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2,844</w:t>
            </w:r>
          </w:p>
        </w:tc>
        <w:tc>
          <w:tcPr>
            <w:tcW w:w="0" w:type="dxa"/>
            <w:vAlign w:val="bottom"/>
          </w:tcPr>
          <w:p>
            <w:pPr>
              <w:spacing w:after="0"/>
              <w:rPr>
                <w:sz w:val="1"/>
                <w:szCs w:val="1"/>
                <w:color w:val="auto"/>
              </w:rPr>
            </w:pPr>
          </w:p>
        </w:tc>
      </w:tr>
      <w:tr>
        <w:trPr>
          <w:trHeight w:val="134"/>
        </w:trPr>
        <w:tc>
          <w:tcPr>
            <w:tcW w:w="310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60" w:type="dxa"/>
            <w:vAlign w:val="bottom"/>
          </w:tcPr>
          <w:p>
            <w:pPr>
              <w:spacing w:after="0"/>
              <w:rPr>
                <w:sz w:val="24"/>
                <w:szCs w:val="24"/>
                <w:color w:val="auto"/>
              </w:rPr>
            </w:pPr>
          </w:p>
        </w:tc>
        <w:tc>
          <w:tcPr>
            <w:tcW w:w="520" w:type="dxa"/>
            <w:vAlign w:val="bottom"/>
            <w:vMerge w:val="restart"/>
          </w:tcPr>
          <w:p>
            <w:pPr>
              <w:jc w:val="right"/>
              <w:ind w:right="19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00" w:type="dxa"/>
            <w:vAlign w:val="bottom"/>
          </w:tcPr>
          <w:p>
            <w:pPr>
              <w:ind w:left="20"/>
              <w:spacing w:after="0"/>
              <w:rPr>
                <w:sz w:val="20"/>
                <w:szCs w:val="20"/>
                <w:color w:val="auto"/>
              </w:rPr>
            </w:pPr>
            <w:r>
              <w:rPr>
                <w:rFonts w:ascii="Arial" w:cs="Arial" w:eastAsia="Arial" w:hAnsi="Arial"/>
                <w:sz w:val="8"/>
                <w:szCs w:val="8"/>
                <w:b w:val="1"/>
                <w:bCs w:val="1"/>
                <w:color w:val="auto"/>
              </w:rPr>
              <w:t>Three Months Ended June 30, 2021</w:t>
            </w: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27,932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30,745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3,426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34,167</w:t>
            </w:r>
          </w:p>
        </w:tc>
        <w:tc>
          <w:tcPr>
            <w:tcW w:w="0" w:type="dxa"/>
            <w:vAlign w:val="bottom"/>
          </w:tcPr>
          <w:p>
            <w:pPr>
              <w:spacing w:after="0"/>
              <w:rPr>
                <w:sz w:val="1"/>
                <w:szCs w:val="1"/>
                <w:color w:val="auto"/>
              </w:rPr>
            </w:pPr>
          </w:p>
        </w:tc>
      </w:tr>
      <w:tr>
        <w:trPr>
          <w:trHeight w:val="134"/>
        </w:trPr>
        <w:tc>
          <w:tcPr>
            <w:tcW w:w="310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0"/>
                <w:szCs w:val="10"/>
                <w:color w:val="auto"/>
              </w:rPr>
              <w:t>1,412</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1,546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1,281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w:t>
            </w:r>
          </w:p>
        </w:tc>
        <w:tc>
          <w:tcPr>
            <w:tcW w:w="0" w:type="dxa"/>
            <w:vAlign w:val="bottom"/>
          </w:tcPr>
          <w:p>
            <w:pPr>
              <w:spacing w:after="0"/>
              <w:rPr>
                <w:sz w:val="1"/>
                <w:szCs w:val="1"/>
                <w:color w:val="auto"/>
              </w:rPr>
            </w:pPr>
          </w:p>
        </w:tc>
      </w:tr>
      <w:tr>
        <w:trPr>
          <w:trHeight w:val="134"/>
        </w:trPr>
        <w:tc>
          <w:tcPr>
            <w:tcW w:w="310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 (a)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w:t>
            </w:r>
          </w:p>
        </w:tc>
        <w:tc>
          <w:tcPr>
            <w:tcW w:w="0" w:type="dxa"/>
            <w:vAlign w:val="bottom"/>
          </w:tcPr>
          <w:p>
            <w:pPr>
              <w:spacing w:after="0"/>
              <w:rPr>
                <w:sz w:val="1"/>
                <w:szCs w:val="1"/>
                <w:color w:val="auto"/>
              </w:rPr>
            </w:pPr>
          </w:p>
        </w:tc>
      </w:tr>
      <w:tr>
        <w:trPr>
          <w:trHeight w:val="287"/>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60" w:type="dxa"/>
            <w:vAlign w:val="bottom"/>
          </w:tcPr>
          <w:p>
            <w:pPr>
              <w:spacing w:after="0"/>
              <w:rPr>
                <w:sz w:val="24"/>
                <w:szCs w:val="24"/>
                <w:color w:val="auto"/>
              </w:rPr>
            </w:pPr>
          </w:p>
        </w:tc>
        <w:tc>
          <w:tcPr>
            <w:tcW w:w="520" w:type="dxa"/>
            <w:vAlign w:val="bottom"/>
            <w:vMerge w:val="restart"/>
          </w:tcPr>
          <w:p>
            <w:pPr>
              <w:jc w:val="right"/>
              <w:ind w:right="19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00" w:type="dxa"/>
            <w:vAlign w:val="bottom"/>
          </w:tcPr>
          <w:p>
            <w:pPr>
              <w:ind w:left="20"/>
              <w:spacing w:after="0"/>
              <w:rPr>
                <w:sz w:val="20"/>
                <w:szCs w:val="20"/>
                <w:color w:val="auto"/>
              </w:rPr>
            </w:pPr>
            <w:r>
              <w:rPr>
                <w:rFonts w:ascii="Arial" w:cs="Arial" w:eastAsia="Arial" w:hAnsi="Arial"/>
                <w:sz w:val="8"/>
                <w:szCs w:val="8"/>
                <w:b w:val="1"/>
                <w:bCs w:val="1"/>
                <w:color w:val="auto"/>
              </w:rPr>
              <w:t>Six Months Ended June 30, 2022</w:t>
            </w: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58,216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65,437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6,302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71,738</w:t>
            </w:r>
          </w:p>
        </w:tc>
        <w:tc>
          <w:tcPr>
            <w:tcW w:w="0" w:type="dxa"/>
            <w:vAlign w:val="bottom"/>
          </w:tcPr>
          <w:p>
            <w:pPr>
              <w:spacing w:after="0"/>
              <w:rPr>
                <w:sz w:val="1"/>
                <w:szCs w:val="1"/>
                <w:color w:val="auto"/>
              </w:rPr>
            </w:pPr>
          </w:p>
        </w:tc>
      </w:tr>
      <w:tr>
        <w:trPr>
          <w:trHeight w:val="134"/>
        </w:trPr>
        <w:tc>
          <w:tcPr>
            <w:tcW w:w="310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0"/>
                <w:szCs w:val="10"/>
                <w:color w:val="auto"/>
              </w:rPr>
              <w:t>3,415</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299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3,717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91</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1"/>
                <w:szCs w:val="11"/>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3,829</w:t>
            </w: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5,735</w:t>
            </w:r>
          </w:p>
        </w:tc>
        <w:tc>
          <w:tcPr>
            <w:tcW w:w="0" w:type="dxa"/>
            <w:vAlign w:val="bottom"/>
          </w:tcPr>
          <w:p>
            <w:pPr>
              <w:spacing w:after="0"/>
              <w:rPr>
                <w:sz w:val="1"/>
                <w:szCs w:val="1"/>
                <w:color w:val="auto"/>
              </w:rPr>
            </w:pPr>
          </w:p>
        </w:tc>
      </w:tr>
      <w:tr>
        <w:trPr>
          <w:trHeight w:val="134"/>
        </w:trPr>
        <w:tc>
          <w:tcPr>
            <w:tcW w:w="310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247</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60" w:type="dxa"/>
            <w:vAlign w:val="bottom"/>
          </w:tcPr>
          <w:p>
            <w:pPr>
              <w:spacing w:after="0"/>
              <w:rPr>
                <w:sz w:val="24"/>
                <w:szCs w:val="24"/>
                <w:color w:val="auto"/>
              </w:rPr>
            </w:pPr>
          </w:p>
        </w:tc>
        <w:tc>
          <w:tcPr>
            <w:tcW w:w="520" w:type="dxa"/>
            <w:vAlign w:val="bottom"/>
            <w:vMerge w:val="restart"/>
          </w:tcPr>
          <w:p>
            <w:pPr>
              <w:jc w:val="right"/>
              <w:ind w:right="19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00" w:type="dxa"/>
            <w:vAlign w:val="bottom"/>
          </w:tcPr>
          <w:p>
            <w:pPr>
              <w:ind w:left="20"/>
              <w:spacing w:after="0"/>
              <w:rPr>
                <w:sz w:val="20"/>
                <w:szCs w:val="20"/>
                <w:color w:val="auto"/>
              </w:rPr>
            </w:pPr>
            <w:r>
              <w:rPr>
                <w:rFonts w:ascii="Arial" w:cs="Arial" w:eastAsia="Arial" w:hAnsi="Arial"/>
                <w:sz w:val="8"/>
                <w:szCs w:val="8"/>
                <w:b w:val="1"/>
                <w:bCs w:val="1"/>
                <w:color w:val="auto"/>
              </w:rPr>
              <w:t>Six Months Ended June 30, 2021</w:t>
            </w: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53,889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59,807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6,833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66,641</w:t>
            </w:r>
          </w:p>
        </w:tc>
        <w:tc>
          <w:tcPr>
            <w:tcW w:w="0" w:type="dxa"/>
            <w:vAlign w:val="bottom"/>
          </w:tcPr>
          <w:p>
            <w:pPr>
              <w:spacing w:after="0"/>
              <w:rPr>
                <w:sz w:val="1"/>
                <w:szCs w:val="1"/>
                <w:color w:val="auto"/>
              </w:rPr>
            </w:pPr>
          </w:p>
        </w:tc>
      </w:tr>
      <w:tr>
        <w:trPr>
          <w:trHeight w:val="134"/>
        </w:trPr>
        <w:tc>
          <w:tcPr>
            <w:tcW w:w="310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0"/>
                <w:szCs w:val="10"/>
                <w:color w:val="auto"/>
              </w:rPr>
              <w:t>2,176</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220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2,406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2,451</w:t>
            </w: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3,247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6,029</w:t>
            </w:r>
          </w:p>
        </w:tc>
        <w:tc>
          <w:tcPr>
            <w:tcW w:w="0" w:type="dxa"/>
            <w:vAlign w:val="bottom"/>
          </w:tcPr>
          <w:p>
            <w:pPr>
              <w:spacing w:after="0"/>
              <w:rPr>
                <w:sz w:val="1"/>
                <w:szCs w:val="1"/>
                <w:color w:val="auto"/>
              </w:rPr>
            </w:pPr>
          </w:p>
        </w:tc>
      </w:tr>
      <w:tr>
        <w:trPr>
          <w:trHeight w:val="134"/>
        </w:trPr>
        <w:tc>
          <w:tcPr>
            <w:tcW w:w="310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 (a)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692</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Automotive China equity income (loss) of ($87) million and $276 million in the three months ended June 30, 2022 and 2021 and $147 million and $584 million in the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702"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190" w:lineRule="exact"/>
        <w:rPr>
          <w:sz w:val="20"/>
          <w:szCs w:val="20"/>
          <w:color w:val="auto"/>
        </w:rPr>
      </w:pPr>
    </w:p>
    <w:p>
      <w:pPr>
        <w:jc w:val="both"/>
        <w:ind w:firstLine="127"/>
        <w:spacing w:after="0" w:line="261"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 Also, as of March 2022, GM is no longer importing vehicles or parts to Russia, Belarus and other sanctioned provinces in Ukraine.</w:t>
      </w:r>
    </w:p>
    <w:p>
      <w:pPr>
        <w:spacing w:after="0" w:line="17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six months ended June 30, 2022, 30.2% of our wholesale vehicle sales volume was generated outside the U.S. The following table summarizes wholesale vehicle sales by automotive segment (vehicles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Three Months Ended</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Six Months Ended</w:t>
            </w:r>
          </w:p>
        </w:tc>
        <w:tc>
          <w:tcPr>
            <w:tcW w:w="1200" w:type="dxa"/>
            <w:vAlign w:val="bottom"/>
            <w:tcBorders>
              <w:bottom w:val="single" w:sz="8" w:color="auto"/>
            </w:tcBorders>
          </w:tcPr>
          <w:p>
            <w:pPr>
              <w:spacing w:after="0"/>
              <w:rPr>
                <w:sz w:val="12"/>
                <w:szCs w:val="12"/>
                <w:color w:val="auto"/>
              </w:rPr>
            </w:pPr>
          </w:p>
        </w:tc>
      </w:tr>
      <w:tr>
        <w:trPr>
          <w:trHeight w:val="131"/>
        </w:trPr>
        <w:tc>
          <w:tcPr>
            <w:tcW w:w="442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June 30, 2022</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June 30, 2021</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June 30, 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June 30, 2021</w:t>
            </w:r>
          </w:p>
        </w:tc>
      </w:tr>
      <w:tr>
        <w:trPr>
          <w:trHeight w:val="162"/>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w:t>
            </w:r>
          </w:p>
        </w:tc>
      </w:tr>
      <w:tr>
        <w:trPr>
          <w:trHeight w:val="16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r>
      <w:tr>
        <w:trPr>
          <w:trHeight w:val="182"/>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702"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jc w:val="both"/>
        <w:ind w:firstLine="127"/>
        <w:spacing w:after="0" w:line="249" w:lineRule="auto"/>
        <w:rPr>
          <w:sz w:val="20"/>
          <w:szCs w:val="20"/>
          <w:color w:val="auto"/>
        </w:rPr>
      </w:pPr>
      <w:r>
        <w:rPr>
          <w:rFonts w:ascii="Arial" w:cs="Arial" w:eastAsia="Arial" w:hAnsi="Arial"/>
          <w:sz w:val="13"/>
          <w:szCs w:val="13"/>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 Total vehicle sales data for periods presented prior to 2022 reflect courtesy transportation vehicles used by U.S. dealers in their business; beginning in 2022, we stopped including such dealership courtesy transportation vehicles in total vehicle sales until such time as those vehicles were sold to the end customer.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9"/>
              </w:rPr>
              <w:t>Three Months Ended</w:t>
            </w: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Borders>
              <w:bottom w:val="single" w:sz="8" w:color="auto"/>
            </w:tcBorders>
            <w:gridSpan w:val="3"/>
          </w:tcPr>
          <w:p>
            <w:pPr>
              <w:ind w:left="1260"/>
              <w:spacing w:after="0"/>
              <w:rPr>
                <w:sz w:val="20"/>
                <w:szCs w:val="20"/>
                <w:color w:val="auto"/>
              </w:rPr>
            </w:pPr>
            <w:r>
              <w:rPr>
                <w:rFonts w:ascii="Arial" w:cs="Arial" w:eastAsia="Arial" w:hAnsi="Arial"/>
                <w:sz w:val="10"/>
                <w:szCs w:val="10"/>
                <w:b w:val="1"/>
                <w:bCs w:val="1"/>
                <w:color w:val="auto"/>
              </w:rPr>
              <w:t>Six Months Ended</w:t>
            </w:r>
          </w:p>
        </w:tc>
        <w:tc>
          <w:tcPr>
            <w:tcW w:w="1200" w:type="dxa"/>
            <w:vAlign w:val="bottom"/>
            <w:tcBorders>
              <w:bottom w:val="single" w:sz="8" w:color="auto"/>
            </w:tcBorders>
          </w:tcPr>
          <w:p>
            <w:pPr>
              <w:spacing w:after="0"/>
              <w:rPr>
                <w:sz w:val="12"/>
                <w:szCs w:val="12"/>
                <w:color w:val="auto"/>
              </w:rPr>
            </w:pPr>
          </w:p>
        </w:tc>
      </w:tr>
      <w:tr>
        <w:trPr>
          <w:trHeight w:val="131"/>
        </w:trPr>
        <w:tc>
          <w:tcPr>
            <w:tcW w:w="4420" w:type="dxa"/>
            <w:vAlign w:val="bottom"/>
          </w:tcPr>
          <w:p>
            <w:pPr>
              <w:spacing w:after="0"/>
              <w:rPr>
                <w:sz w:val="11"/>
                <w:szCs w:val="11"/>
                <w:color w:val="auto"/>
              </w:rPr>
            </w:pPr>
          </w:p>
        </w:tc>
        <w:tc>
          <w:tcPr>
            <w:tcW w:w="1180" w:type="dxa"/>
            <w:vAlign w:val="bottom"/>
          </w:tcPr>
          <w:p>
            <w:pPr>
              <w:ind w:left="500"/>
              <w:spacing w:after="0"/>
              <w:rPr>
                <w:sz w:val="20"/>
                <w:szCs w:val="20"/>
                <w:color w:val="auto"/>
              </w:rPr>
            </w:pPr>
            <w:r>
              <w:rPr>
                <w:rFonts w:ascii="Arial" w:cs="Arial" w:eastAsia="Arial" w:hAnsi="Arial"/>
                <w:sz w:val="10"/>
                <w:szCs w:val="10"/>
                <w:b w:val="1"/>
                <w:bCs w:val="1"/>
                <w:color w:val="auto"/>
              </w:rPr>
              <w:t>June 30, 2022</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jc w:val="right"/>
              <w:ind w:right="437"/>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Pr>
          <w:p>
            <w:pPr>
              <w:spacing w:after="0"/>
              <w:rPr>
                <w:sz w:val="11"/>
                <w:szCs w:val="11"/>
                <w:color w:val="auto"/>
              </w:rPr>
            </w:pPr>
          </w:p>
        </w:tc>
        <w:tc>
          <w:tcPr>
            <w:tcW w:w="2180" w:type="dxa"/>
            <w:vAlign w:val="bottom"/>
            <w:gridSpan w:val="3"/>
          </w:tcPr>
          <w:p>
            <w:pPr>
              <w:ind w:left="500"/>
              <w:spacing w:after="0"/>
              <w:rPr>
                <w:sz w:val="20"/>
                <w:szCs w:val="20"/>
                <w:color w:val="auto"/>
              </w:rPr>
            </w:pPr>
            <w:r>
              <w:rPr>
                <w:rFonts w:ascii="Arial" w:cs="Arial" w:eastAsia="Arial" w:hAnsi="Arial"/>
                <w:sz w:val="10"/>
                <w:szCs w:val="10"/>
                <w:b w:val="1"/>
                <w:bCs w:val="1"/>
                <w:color w:val="auto"/>
              </w:rPr>
              <w:t>June 30, 2022</w:t>
            </w:r>
          </w:p>
        </w:tc>
        <w:tc>
          <w:tcPr>
            <w:tcW w:w="1200" w:type="dxa"/>
            <w:vAlign w:val="bottom"/>
          </w:tcPr>
          <w:p>
            <w:pPr>
              <w:jc w:val="right"/>
              <w:ind w:right="437"/>
              <w:spacing w:after="0"/>
              <w:rPr>
                <w:sz w:val="20"/>
                <w:szCs w:val="20"/>
                <w:color w:val="auto"/>
              </w:rPr>
            </w:pPr>
            <w:r>
              <w:rPr>
                <w:rFonts w:ascii="Arial" w:cs="Arial" w:eastAsia="Arial" w:hAnsi="Arial"/>
                <w:sz w:val="10"/>
                <w:szCs w:val="10"/>
                <w:b w:val="1"/>
                <w:bCs w:val="1"/>
                <w:color w:val="auto"/>
              </w:rPr>
              <w:t>June 30, 2021</w:t>
            </w:r>
          </w:p>
        </w:tc>
      </w:tr>
      <w:tr>
        <w:trPr>
          <w:trHeight w:val="150"/>
        </w:trPr>
        <w:tc>
          <w:tcPr>
            <w:tcW w:w="4420" w:type="dxa"/>
            <w:vAlign w:val="bottom"/>
          </w:tcPr>
          <w:p>
            <w:pPr>
              <w:ind w:left="20"/>
              <w:spacing w:after="0" w:line="149" w:lineRule="exact"/>
              <w:rPr>
                <w:sz w:val="20"/>
                <w:szCs w:val="20"/>
                <w:color w:val="auto"/>
              </w:rPr>
            </w:pPr>
            <w:r>
              <w:rPr>
                <w:rFonts w:ascii="Arial" w:cs="Arial" w:eastAsia="Arial" w:hAnsi="Arial"/>
                <w:sz w:val="13"/>
                <w:szCs w:val="13"/>
                <w:color w:val="auto"/>
              </w:rPr>
              <w:t>United States</w:t>
            </w:r>
          </w:p>
        </w:tc>
        <w:tc>
          <w:tcPr>
            <w:tcW w:w="11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71"/>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 – Cars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r>
      <w:tr>
        <w:trPr>
          <w:trHeight w:val="169"/>
        </w:trPr>
        <w:tc>
          <w:tcPr>
            <w:tcW w:w="5600" w:type="dxa"/>
            <w:vAlign w:val="bottom"/>
            <w:gridSpan w:val="2"/>
          </w:tcPr>
          <w:p>
            <w:pPr>
              <w:ind w:left="180"/>
              <w:spacing w:after="0"/>
              <w:rPr>
                <w:sz w:val="20"/>
                <w:szCs w:val="20"/>
                <w:color w:val="auto"/>
              </w:rPr>
            </w:pPr>
            <w:r>
              <w:rPr>
                <w:rFonts w:ascii="Arial" w:cs="Arial" w:eastAsia="Arial" w:hAnsi="Arial"/>
                <w:sz w:val="13"/>
                <w:szCs w:val="13"/>
                <w:color w:val="auto"/>
              </w:rPr>
              <w:t>Chevrolet – Trucks</w:t>
            </w:r>
          </w:p>
        </w:tc>
        <w:tc>
          <w:tcPr>
            <w:tcW w:w="460" w:type="dxa"/>
            <w:vAlign w:val="bottom"/>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438</w:t>
            </w:r>
          </w:p>
        </w:tc>
      </w:tr>
      <w:tr>
        <w:trPr>
          <w:trHeight w:val="171"/>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 – Crossovers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r>
      <w:tr>
        <w:trPr>
          <w:trHeight w:val="169"/>
        </w:trPr>
        <w:tc>
          <w:tcPr>
            <w:tcW w:w="5600" w:type="dxa"/>
            <w:vAlign w:val="bottom"/>
            <w:gridSpan w:val="2"/>
          </w:tcPr>
          <w:p>
            <w:pPr>
              <w:ind w:left="180"/>
              <w:spacing w:after="0"/>
              <w:rPr>
                <w:sz w:val="20"/>
                <w:szCs w:val="20"/>
                <w:color w:val="auto"/>
              </w:rPr>
            </w:pPr>
            <w:r>
              <w:rPr>
                <w:rFonts w:ascii="Arial" w:cs="Arial" w:eastAsia="Arial" w:hAnsi="Arial"/>
                <w:sz w:val="13"/>
                <w:szCs w:val="13"/>
                <w:color w:val="auto"/>
              </w:rPr>
              <w:t>Cadillac</w:t>
            </w:r>
          </w:p>
        </w:tc>
        <w:tc>
          <w:tcPr>
            <w:tcW w:w="4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71"/>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69"/>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GMC</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w:t>
            </w:r>
          </w:p>
        </w:tc>
      </w:tr>
      <w:tr>
        <w:trPr>
          <w:trHeight w:val="162"/>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United States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w:t>
            </w:r>
          </w:p>
        </w:tc>
      </w:tr>
      <w:tr>
        <w:trPr>
          <w:trHeight w:val="16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r>
      <w:tr>
        <w:trPr>
          <w:trHeight w:val="162"/>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North America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w:t>
            </w:r>
          </w:p>
        </w:tc>
      </w:tr>
      <w:tr>
        <w:trPr>
          <w:trHeight w:val="149"/>
        </w:trPr>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Asia/Pacific, Middle East and Africa</w:t>
            </w:r>
          </w:p>
        </w:tc>
        <w:tc>
          <w:tcPr>
            <w:tcW w:w="1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r>
      <w:tr>
        <w:trPr>
          <w:trHeight w:val="171"/>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r>
      <w:tr>
        <w:trPr>
          <w:trHeight w:val="169"/>
        </w:trPr>
        <w:tc>
          <w:tcPr>
            <w:tcW w:w="5600" w:type="dxa"/>
            <w:vAlign w:val="bottom"/>
            <w:gridSpan w:val="2"/>
          </w:tcPr>
          <w:p>
            <w:pPr>
              <w:ind w:left="180"/>
              <w:spacing w:after="0"/>
              <w:rPr>
                <w:sz w:val="20"/>
                <w:szCs w:val="20"/>
                <w:color w:val="auto"/>
              </w:rPr>
            </w:pPr>
            <w:r>
              <w:rPr>
                <w:rFonts w:ascii="Arial" w:cs="Arial" w:eastAsia="Arial" w:hAnsi="Arial"/>
                <w:sz w:val="13"/>
                <w:szCs w:val="13"/>
                <w:color w:val="auto"/>
              </w:rPr>
              <w:t>Wuling</w:t>
            </w:r>
          </w:p>
        </w:tc>
        <w:tc>
          <w:tcPr>
            <w:tcW w:w="460" w:type="dxa"/>
            <w:vAlign w:val="bottom"/>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704</w:t>
            </w:r>
          </w:p>
        </w:tc>
      </w:tr>
      <w:tr>
        <w:trPr>
          <w:trHeight w:val="171"/>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r>
      <w:tr>
        <w:trPr>
          <w:trHeight w:val="169"/>
        </w:trPr>
        <w:tc>
          <w:tcPr>
            <w:tcW w:w="5600" w:type="dxa"/>
            <w:vAlign w:val="bottom"/>
            <w:gridSpan w:val="2"/>
          </w:tcPr>
          <w:p>
            <w:pPr>
              <w:ind w:left="180"/>
              <w:spacing w:after="0"/>
              <w:rPr>
                <w:sz w:val="20"/>
                <w:szCs w:val="20"/>
                <w:color w:val="auto"/>
              </w:rPr>
            </w:pPr>
            <w:r>
              <w:rPr>
                <w:rFonts w:ascii="Arial" w:cs="Arial" w:eastAsia="Arial" w:hAnsi="Arial"/>
                <w:sz w:val="13"/>
                <w:szCs w:val="13"/>
                <w:color w:val="auto"/>
              </w:rPr>
              <w:t>Baojun</w:t>
            </w:r>
          </w:p>
        </w:tc>
        <w:tc>
          <w:tcPr>
            <w:tcW w:w="4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138</w:t>
            </w:r>
          </w:p>
        </w:tc>
      </w:tr>
      <w:tr>
        <w:trPr>
          <w:trHeight w:val="171"/>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Cadillac</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169"/>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62"/>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Asia/Pacific, Middle East and Africa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1,756</w:t>
            </w:r>
          </w:p>
        </w:tc>
      </w:tr>
      <w:tr>
        <w:trPr>
          <w:trHeight w:val="16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w:t>
            </w:r>
          </w:p>
        </w:tc>
      </w:tr>
      <w:tr>
        <w:trPr>
          <w:trHeight w:val="162"/>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3,502</w:t>
            </w:r>
          </w:p>
        </w:tc>
      </w:tr>
      <w:tr>
        <w:trPr>
          <w:trHeight w:val="16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Europe</w:t>
            </w: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82"/>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1,758</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Chevrolet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Three Months Ended</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Six Months Ended</w:t>
            </w:r>
          </w:p>
        </w:tc>
        <w:tc>
          <w:tcPr>
            <w:tcW w:w="1200" w:type="dxa"/>
            <w:vAlign w:val="bottom"/>
            <w:tcBorders>
              <w:bottom w:val="single" w:sz="8" w:color="auto"/>
            </w:tcBorders>
          </w:tcPr>
          <w:p>
            <w:pPr>
              <w:spacing w:after="0"/>
              <w:rPr>
                <w:sz w:val="12"/>
                <w:szCs w:val="12"/>
                <w:color w:val="auto"/>
              </w:rPr>
            </w:pPr>
          </w:p>
        </w:tc>
      </w:tr>
      <w:tr>
        <w:trPr>
          <w:trHeight w:val="131"/>
        </w:trPr>
        <w:tc>
          <w:tcPr>
            <w:tcW w:w="442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June 30, 2022</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June 30, 2021</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June 30, 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June 30, 2021</w:t>
            </w:r>
          </w:p>
        </w:tc>
      </w:tr>
      <w:tr>
        <w:trPr>
          <w:trHeight w:val="162"/>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468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700</w:t>
            </w:r>
          </w:p>
        </w:tc>
      </w:tr>
      <w:tr>
        <w:trPr>
          <w:trHeight w:val="167"/>
        </w:trPr>
        <w:tc>
          <w:tcPr>
            <w:tcW w:w="560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460" w:type="dxa"/>
            <w:vAlign w:val="bottom"/>
          </w:tcPr>
          <w:p>
            <w:pPr>
              <w:jc w:val="right"/>
              <w:ind w:right="1"/>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1"/>
              <w:spacing w:after="0"/>
              <w:rPr>
                <w:sz w:val="20"/>
                <w:szCs w:val="20"/>
                <w:color w:val="auto"/>
              </w:rPr>
            </w:pPr>
            <w:r>
              <w:rPr>
                <w:rFonts w:ascii="Arial" w:cs="Arial" w:eastAsia="Arial" w:hAnsi="Arial"/>
                <w:sz w:val="13"/>
                <w:szCs w:val="13"/>
                <w:color w:val="auto"/>
              </w:rPr>
              <w:t>831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702"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2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Three Months Ended</w:t>
            </w:r>
          </w:p>
        </w:tc>
        <w:tc>
          <w:tcPr>
            <w:tcW w:w="1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Borders>
              <w:bottom w:val="single" w:sz="8" w:color="auto"/>
            </w:tcBorders>
            <w:gridSpan w:val="3"/>
          </w:tcPr>
          <w:p>
            <w:pPr>
              <w:ind w:left="1320"/>
              <w:spacing w:after="0"/>
              <w:rPr>
                <w:sz w:val="20"/>
                <w:szCs w:val="20"/>
                <w:color w:val="auto"/>
              </w:rPr>
            </w:pPr>
            <w:r>
              <w:rPr>
                <w:rFonts w:ascii="Arial" w:cs="Arial" w:eastAsia="Arial" w:hAnsi="Arial"/>
                <w:sz w:val="10"/>
                <w:szCs w:val="10"/>
                <w:b w:val="1"/>
                <w:bCs w:val="1"/>
                <w:color w:val="auto"/>
              </w:rPr>
              <w:t>Six Months Ended</w:t>
            </w:r>
          </w:p>
        </w:tc>
        <w:tc>
          <w:tcPr>
            <w:tcW w:w="1240" w:type="dxa"/>
            <w:vAlign w:val="bottom"/>
            <w:tcBorders>
              <w:bottom w:val="single" w:sz="8" w:color="auto"/>
            </w:tcBorders>
          </w:tcPr>
          <w:p>
            <w:pPr>
              <w:spacing w:after="0"/>
              <w:rPr>
                <w:sz w:val="12"/>
                <w:szCs w:val="12"/>
                <w:color w:val="auto"/>
              </w:rPr>
            </w:pPr>
          </w:p>
        </w:tc>
      </w:tr>
      <w:tr>
        <w:trPr>
          <w:trHeight w:val="129"/>
        </w:trPr>
        <w:tc>
          <w:tcPr>
            <w:tcW w:w="4240" w:type="dxa"/>
            <w:vAlign w:val="bottom"/>
          </w:tcPr>
          <w:p>
            <w:pPr>
              <w:spacing w:after="0"/>
              <w:rPr>
                <w:sz w:val="11"/>
                <w:szCs w:val="11"/>
                <w:color w:val="auto"/>
              </w:rPr>
            </w:pPr>
          </w:p>
        </w:tc>
        <w:tc>
          <w:tcPr>
            <w:tcW w:w="1200" w:type="dxa"/>
            <w:vAlign w:val="bottom"/>
          </w:tcPr>
          <w:p>
            <w:pPr>
              <w:ind w:left="520"/>
              <w:spacing w:after="0"/>
              <w:rPr>
                <w:sz w:val="20"/>
                <w:szCs w:val="20"/>
                <w:color w:val="auto"/>
              </w:rPr>
            </w:pPr>
            <w:r>
              <w:rPr>
                <w:rFonts w:ascii="Arial" w:cs="Arial" w:eastAsia="Arial" w:hAnsi="Arial"/>
                <w:sz w:val="10"/>
                <w:szCs w:val="10"/>
                <w:b w:val="1"/>
                <w:bCs w:val="1"/>
                <w:color w:val="auto"/>
              </w:rPr>
              <w:t>June 30, 2022</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jc w:val="right"/>
              <w:ind w:right="458"/>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Pr>
          <w:p>
            <w:pPr>
              <w:spacing w:after="0"/>
              <w:rPr>
                <w:sz w:val="11"/>
                <w:szCs w:val="11"/>
                <w:color w:val="auto"/>
              </w:rPr>
            </w:pPr>
          </w:p>
        </w:tc>
        <w:tc>
          <w:tcPr>
            <w:tcW w:w="2240" w:type="dxa"/>
            <w:vAlign w:val="bottom"/>
            <w:gridSpan w:val="3"/>
          </w:tcPr>
          <w:p>
            <w:pPr>
              <w:ind w:left="520"/>
              <w:spacing w:after="0"/>
              <w:rPr>
                <w:sz w:val="20"/>
                <w:szCs w:val="20"/>
                <w:color w:val="auto"/>
              </w:rPr>
            </w:pPr>
            <w:r>
              <w:rPr>
                <w:rFonts w:ascii="Arial" w:cs="Arial" w:eastAsia="Arial" w:hAnsi="Arial"/>
                <w:sz w:val="10"/>
                <w:szCs w:val="10"/>
                <w:b w:val="1"/>
                <w:bCs w:val="1"/>
                <w:color w:val="auto"/>
              </w:rPr>
              <w:t>June 30, 2022</w:t>
            </w:r>
          </w:p>
        </w:tc>
        <w:tc>
          <w:tcPr>
            <w:tcW w:w="1240" w:type="dxa"/>
            <w:vAlign w:val="bottom"/>
          </w:tcPr>
          <w:p>
            <w:pPr>
              <w:jc w:val="right"/>
              <w:ind w:right="458"/>
              <w:spacing w:after="0"/>
              <w:rPr>
                <w:sz w:val="20"/>
                <w:szCs w:val="20"/>
                <w:color w:val="auto"/>
              </w:rPr>
            </w:pPr>
            <w:r>
              <w:rPr>
                <w:rFonts w:ascii="Arial" w:cs="Arial" w:eastAsia="Arial" w:hAnsi="Arial"/>
                <w:sz w:val="10"/>
                <w:szCs w:val="10"/>
                <w:b w:val="1"/>
                <w:bCs w:val="1"/>
                <w:color w:val="auto"/>
              </w:rPr>
              <w:t>June 30, 2021</w:t>
            </w:r>
          </w:p>
        </w:tc>
      </w:tr>
      <w:tr>
        <w:trPr>
          <w:trHeight w:val="151"/>
        </w:trPr>
        <w:tc>
          <w:tcPr>
            <w:tcW w:w="4240" w:type="dxa"/>
            <w:vAlign w:val="bottom"/>
          </w:tcPr>
          <w:p>
            <w:pPr>
              <w:ind w:left="20"/>
              <w:spacing w:after="0"/>
              <w:rPr>
                <w:sz w:val="20"/>
                <w:szCs w:val="20"/>
                <w:color w:val="auto"/>
              </w:rPr>
            </w:pPr>
            <w:r>
              <w:rPr>
                <w:rFonts w:ascii="Arial" w:cs="Arial" w:eastAsia="Arial" w:hAnsi="Arial"/>
                <w:sz w:val="13"/>
                <w:szCs w:val="13"/>
                <w:color w:val="auto"/>
              </w:rPr>
              <w:t>Market Share</w:t>
            </w:r>
          </w:p>
        </w:tc>
        <w:tc>
          <w:tcPr>
            <w:tcW w:w="1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r>
      <w:tr>
        <w:trPr>
          <w:trHeight w:val="171"/>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United States – Cars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4.8 %</w:t>
            </w:r>
          </w:p>
        </w:tc>
      </w:tr>
      <w:tr>
        <w:trPr>
          <w:trHeight w:val="169"/>
        </w:trPr>
        <w:tc>
          <w:tcPr>
            <w:tcW w:w="5440" w:type="dxa"/>
            <w:vAlign w:val="bottom"/>
            <w:gridSpan w:val="2"/>
          </w:tcPr>
          <w:p>
            <w:pPr>
              <w:ind w:left="140"/>
              <w:spacing w:after="0"/>
              <w:rPr>
                <w:sz w:val="20"/>
                <w:szCs w:val="20"/>
                <w:color w:val="auto"/>
              </w:rPr>
            </w:pPr>
            <w:r>
              <w:rPr>
                <w:rFonts w:ascii="Arial" w:cs="Arial" w:eastAsia="Arial" w:hAnsi="Arial"/>
                <w:sz w:val="13"/>
                <w:szCs w:val="13"/>
                <w:color w:val="auto"/>
              </w:rPr>
              <w:t>United States – Trucks</w:t>
            </w:r>
          </w:p>
        </w:tc>
        <w:tc>
          <w:tcPr>
            <w:tcW w:w="480" w:type="dxa"/>
            <w:vAlign w:val="bottom"/>
          </w:tcPr>
          <w:p>
            <w:pPr>
              <w:jc w:val="right"/>
              <w:spacing w:after="0"/>
              <w:rPr>
                <w:sz w:val="20"/>
                <w:szCs w:val="20"/>
                <w:color w:val="auto"/>
              </w:rPr>
            </w:pPr>
            <w:r>
              <w:rPr>
                <w:rFonts w:ascii="Arial" w:cs="Arial" w:eastAsia="Arial" w:hAnsi="Arial"/>
                <w:sz w:val="13"/>
                <w:szCs w:val="13"/>
                <w:color w:val="auto"/>
              </w:rPr>
              <w:t>32.0 %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32.4 %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31.9 %</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31.1 %</w:t>
            </w:r>
          </w:p>
        </w:tc>
      </w:tr>
      <w:tr>
        <w:trPr>
          <w:trHeight w:val="171"/>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United States – Crossovers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12.8 %</w:t>
            </w:r>
          </w:p>
        </w:tc>
      </w:tr>
      <w:tr>
        <w:trPr>
          <w:trHeight w:val="169"/>
        </w:trPr>
        <w:tc>
          <w:tcPr>
            <w:tcW w:w="5440" w:type="dxa"/>
            <w:vAlign w:val="bottom"/>
            <w:gridSpan w:val="2"/>
          </w:tcPr>
          <w:p>
            <w:pPr>
              <w:ind w:left="140"/>
              <w:spacing w:after="0"/>
              <w:rPr>
                <w:sz w:val="20"/>
                <w:szCs w:val="20"/>
                <w:color w:val="auto"/>
              </w:rPr>
            </w:pPr>
            <w:r>
              <w:rPr>
                <w:rFonts w:ascii="Arial" w:cs="Arial" w:eastAsia="Arial" w:hAnsi="Arial"/>
                <w:sz w:val="13"/>
                <w:szCs w:val="13"/>
                <w:color w:val="auto"/>
              </w:rPr>
              <w:t>Total United States</w:t>
            </w:r>
          </w:p>
        </w:tc>
        <w:tc>
          <w:tcPr>
            <w:tcW w:w="480" w:type="dxa"/>
            <w:vAlign w:val="bottom"/>
          </w:tcPr>
          <w:p>
            <w:pPr>
              <w:jc w:val="right"/>
              <w:spacing w:after="0"/>
              <w:rPr>
                <w:sz w:val="20"/>
                <w:szCs w:val="20"/>
                <w:color w:val="auto"/>
              </w:rPr>
            </w:pPr>
            <w:r>
              <w:rPr>
                <w:rFonts w:ascii="Arial" w:cs="Arial" w:eastAsia="Arial" w:hAnsi="Arial"/>
                <w:sz w:val="13"/>
                <w:szCs w:val="13"/>
                <w:color w:val="auto"/>
              </w:rPr>
              <w:t>16.2 %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15.3 %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15.7 %</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15.6 %</w:t>
            </w:r>
          </w:p>
        </w:tc>
      </w:tr>
      <w:tr>
        <w:trPr>
          <w:trHeight w:val="171"/>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North America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15.2 %</w:t>
            </w:r>
          </w:p>
        </w:tc>
      </w:tr>
      <w:tr>
        <w:trPr>
          <w:trHeight w:val="169"/>
        </w:trPr>
        <w:tc>
          <w:tcPr>
            <w:tcW w:w="5440" w:type="dxa"/>
            <w:vAlign w:val="bottom"/>
            <w:gridSpan w:val="2"/>
          </w:tcPr>
          <w:p>
            <w:pPr>
              <w:ind w:left="140"/>
              <w:spacing w:after="0"/>
              <w:rPr>
                <w:sz w:val="20"/>
                <w:szCs w:val="20"/>
                <w:color w:val="auto"/>
              </w:rPr>
            </w:pPr>
            <w:r>
              <w:rPr>
                <w:rFonts w:ascii="Arial" w:cs="Arial" w:eastAsia="Arial" w:hAnsi="Arial"/>
                <w:sz w:val="13"/>
                <w:szCs w:val="13"/>
                <w:color w:val="auto"/>
              </w:rPr>
              <w:t>Total Asia/Pacific, Middle East and Africa</w:t>
            </w:r>
          </w:p>
        </w:tc>
        <w:tc>
          <w:tcPr>
            <w:tcW w:w="480" w:type="dxa"/>
            <w:vAlign w:val="bottom"/>
          </w:tcPr>
          <w:p>
            <w:pPr>
              <w:jc w:val="right"/>
              <w:spacing w:after="0"/>
              <w:rPr>
                <w:sz w:val="20"/>
                <w:szCs w:val="20"/>
                <w:color w:val="auto"/>
              </w:rPr>
            </w:pPr>
            <w:r>
              <w:rPr>
                <w:rFonts w:ascii="Arial" w:cs="Arial" w:eastAsia="Arial" w:hAnsi="Arial"/>
                <w:sz w:val="13"/>
                <w:szCs w:val="13"/>
                <w:color w:val="auto"/>
              </w:rPr>
              <w:t>6.6 %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6.7 %</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7.5 %</w:t>
            </w:r>
          </w:p>
        </w:tc>
      </w:tr>
      <w:tr>
        <w:trPr>
          <w:trHeight w:val="171"/>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South America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11.5 %</w:t>
            </w:r>
          </w:p>
        </w:tc>
      </w:tr>
      <w:tr>
        <w:trPr>
          <w:trHeight w:val="169"/>
        </w:trPr>
        <w:tc>
          <w:tcPr>
            <w:tcW w:w="5440" w:type="dxa"/>
            <w:vAlign w:val="bottom"/>
            <w:gridSpan w:val="2"/>
          </w:tcPr>
          <w:p>
            <w:pPr>
              <w:ind w:left="20"/>
              <w:spacing w:after="0"/>
              <w:rPr>
                <w:sz w:val="20"/>
                <w:szCs w:val="20"/>
                <w:color w:val="auto"/>
              </w:rPr>
            </w:pPr>
            <w:r>
              <w:rPr>
                <w:rFonts w:ascii="Arial" w:cs="Arial" w:eastAsia="Arial" w:hAnsi="Arial"/>
                <w:sz w:val="13"/>
                <w:szCs w:val="13"/>
                <w:color w:val="auto"/>
              </w:rPr>
              <w:t>Total GM Market</w:t>
            </w:r>
          </w:p>
        </w:tc>
        <w:tc>
          <w:tcPr>
            <w:tcW w:w="480" w:type="dxa"/>
            <w:vAlign w:val="bottom"/>
          </w:tcPr>
          <w:p>
            <w:pPr>
              <w:jc w:val="right"/>
              <w:spacing w:after="0"/>
              <w:rPr>
                <w:sz w:val="20"/>
                <w:szCs w:val="20"/>
                <w:color w:val="auto"/>
              </w:rPr>
            </w:pPr>
            <w:r>
              <w:rPr>
                <w:rFonts w:ascii="Arial" w:cs="Arial" w:eastAsia="Arial" w:hAnsi="Arial"/>
                <w:sz w:val="13"/>
                <w:szCs w:val="13"/>
                <w:color w:val="auto"/>
              </w:rPr>
              <w:t>9.6 %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9.9 %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9.3 %</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9.9 %</w:t>
            </w:r>
          </w:p>
        </w:tc>
      </w:tr>
      <w:tr>
        <w:trPr>
          <w:trHeight w:val="171"/>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8.0 %</w:t>
            </w:r>
          </w:p>
        </w:tc>
      </w:tr>
      <w:tr>
        <w:trPr>
          <w:trHeight w:val="85"/>
        </w:trPr>
        <w:tc>
          <w:tcPr>
            <w:tcW w:w="4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17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15.8 %</w:t>
            </w:r>
          </w:p>
        </w:tc>
      </w:tr>
      <w:tr>
        <w:trPr>
          <w:trHeight w:val="85"/>
        </w:trPr>
        <w:tc>
          <w:tcPr>
            <w:tcW w:w="4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17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North America capacity two-shift utilization</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702" w:right="319" w:bottom="1440" w:gutter="0" w:footer="0" w:header="0"/>
        </w:sectPr>
      </w:pPr>
    </w:p>
    <w:bookmarkStart w:id="19" w:name="page20"/>
    <w:bookmarkEnd w:id="19"/>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8"/>
                <w:szCs w:val="8"/>
                <w:b w:val="1"/>
                <w:bCs w:val="1"/>
                <w:color w:val="auto"/>
              </w:rPr>
              <w:t>Three Months Ended June 30, 2022</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5"/>
          </w:tcPr>
          <w:p>
            <w:pPr>
              <w:ind w:left="60"/>
              <w:spacing w:after="0"/>
              <w:rPr>
                <w:sz w:val="20"/>
                <w:szCs w:val="20"/>
                <w:color w:val="auto"/>
              </w:rPr>
            </w:pPr>
            <w:r>
              <w:rPr>
                <w:rFonts w:ascii="Arial" w:cs="Arial" w:eastAsia="Arial" w:hAnsi="Arial"/>
                <w:sz w:val="8"/>
                <w:szCs w:val="8"/>
                <w:b w:val="1"/>
                <w:bCs w:val="1"/>
                <w:color w:val="auto"/>
              </w:rPr>
              <w:t>Three Months Ended June 30, 2021</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60" w:type="dxa"/>
            <w:vAlign w:val="bottom"/>
          </w:tcPr>
          <w:p>
            <w:pPr>
              <w:spacing w:after="0"/>
              <w:rPr>
                <w:sz w:val="9"/>
                <w:szCs w:val="9"/>
                <w:color w:val="auto"/>
              </w:rPr>
            </w:pPr>
          </w:p>
        </w:tc>
        <w:tc>
          <w:tcPr>
            <w:tcW w:w="540" w:type="dxa"/>
            <w:vAlign w:val="bottom"/>
          </w:tcPr>
          <w:p>
            <w:pPr>
              <w:jc w:val="right"/>
              <w:ind w:right="145"/>
              <w:spacing w:after="0"/>
              <w:rPr>
                <w:sz w:val="20"/>
                <w:szCs w:val="20"/>
                <w:color w:val="auto"/>
              </w:rPr>
            </w:pPr>
            <w:r>
              <w:rPr>
                <w:rFonts w:ascii="Arial" w:cs="Arial" w:eastAsia="Arial" w:hAnsi="Arial"/>
                <w:sz w:val="8"/>
                <w:szCs w:val="8"/>
                <w:b w:val="1"/>
                <w:bCs w:val="1"/>
                <w:color w:val="auto"/>
              </w:rPr>
              <w:t>Cruise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9"/>
                <w:szCs w:val="9"/>
                <w:color w:val="auto"/>
              </w:rPr>
            </w:pPr>
          </w:p>
        </w:tc>
        <w:tc>
          <w:tcPr>
            <w:tcW w:w="640" w:type="dxa"/>
            <w:vAlign w:val="bottom"/>
          </w:tcPr>
          <w:p>
            <w:pPr>
              <w:jc w:val="right"/>
              <w:ind w:right="124"/>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9"/>
                <w:szCs w:val="9"/>
                <w:color w:val="auto"/>
              </w:rPr>
            </w:pPr>
          </w:p>
        </w:tc>
        <w:tc>
          <w:tcPr>
            <w:tcW w:w="440" w:type="dxa"/>
            <w:vAlign w:val="bottom"/>
          </w:tcPr>
          <w:p>
            <w:pPr>
              <w:jc w:val="right"/>
              <w:ind w:right="85"/>
              <w:spacing w:after="0"/>
              <w:rPr>
                <w:sz w:val="20"/>
                <w:szCs w:val="20"/>
                <w:color w:val="auto"/>
              </w:rPr>
            </w:pPr>
            <w:r>
              <w:rPr>
                <w:rFonts w:ascii="Arial" w:cs="Arial" w:eastAsia="Arial" w:hAnsi="Arial"/>
                <w:sz w:val="8"/>
                <w:szCs w:val="8"/>
                <w:b w:val="1"/>
                <w:bCs w:val="1"/>
                <w:color w:val="auto"/>
              </w:rPr>
              <w:t>Cruise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9"/>
                <w:szCs w:val="9"/>
                <w:color w:val="auto"/>
              </w:rPr>
            </w:pPr>
          </w:p>
        </w:tc>
        <w:tc>
          <w:tcPr>
            <w:tcW w:w="640" w:type="dxa"/>
            <w:vAlign w:val="bottom"/>
          </w:tcPr>
          <w:p>
            <w:pPr>
              <w:jc w:val="right"/>
              <w:ind w:right="124"/>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4"/>
        </w:trPr>
        <w:tc>
          <w:tcPr>
            <w:tcW w:w="2160" w:type="dxa"/>
            <w:vAlign w:val="bottom"/>
          </w:tcPr>
          <w:p>
            <w:pPr>
              <w:ind w:left="20"/>
              <w:spacing w:after="0"/>
              <w:rPr>
                <w:sz w:val="20"/>
                <w:szCs w:val="20"/>
                <w:color w:val="auto"/>
              </w:rPr>
            </w:pPr>
            <w:r>
              <w:rPr>
                <w:rFonts w:ascii="Arial" w:cs="Arial" w:eastAsia="Arial" w:hAnsi="Arial"/>
                <w:sz w:val="10"/>
                <w:szCs w:val="10"/>
                <w:b w:val="1"/>
                <w:bCs w:val="1"/>
                <w:color w:val="auto"/>
              </w:rPr>
              <w:t>Net sales and revenue</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32,614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32,614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30,744</w:t>
            </w:r>
          </w:p>
        </w:tc>
        <w:tc>
          <w:tcPr>
            <w:tcW w:w="0" w:type="dxa"/>
            <w:vAlign w:val="bottom"/>
          </w:tcPr>
          <w:p>
            <w:pPr>
              <w:spacing w:after="0"/>
              <w:rPr>
                <w:sz w:val="1"/>
                <w:szCs w:val="1"/>
                <w:color w:val="auto"/>
              </w:rPr>
            </w:pPr>
          </w:p>
        </w:tc>
      </w:tr>
      <w:tr>
        <w:trPr>
          <w:trHeight w:val="156"/>
        </w:trPr>
        <w:tc>
          <w:tcPr>
            <w:tcW w:w="2160" w:type="dxa"/>
            <w:vAlign w:val="bottom"/>
          </w:tcPr>
          <w:p>
            <w:pPr>
              <w:ind w:left="120"/>
              <w:spacing w:after="0"/>
              <w:rPr>
                <w:sz w:val="20"/>
                <w:szCs w:val="20"/>
                <w:color w:val="auto"/>
              </w:rPr>
            </w:pPr>
            <w:r>
              <w:rPr>
                <w:rFonts w:ascii="Arial" w:cs="Arial" w:eastAsia="Arial" w:hAnsi="Arial"/>
                <w:sz w:val="10"/>
                <w:szCs w:val="10"/>
                <w:color w:val="auto"/>
              </w:rPr>
              <w:t>GM Financial</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3,146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3,145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3,426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3,423</w:t>
            </w:r>
          </w:p>
        </w:tc>
        <w:tc>
          <w:tcPr>
            <w:tcW w:w="0" w:type="dxa"/>
            <w:vAlign w:val="bottom"/>
          </w:tcPr>
          <w:p>
            <w:pPr>
              <w:spacing w:after="0"/>
              <w:rPr>
                <w:sz w:val="1"/>
                <w:szCs w:val="1"/>
                <w:color w:val="auto"/>
              </w:rPr>
            </w:pPr>
          </w:p>
        </w:tc>
      </w:tr>
      <w:tr>
        <w:trPr>
          <w:trHeight w:val="153"/>
        </w:trPr>
        <w:tc>
          <w:tcPr>
            <w:tcW w:w="21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net sales and revenue</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32,614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3,146</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35,759</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30,745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3,426</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34,167</w:t>
            </w:r>
          </w:p>
        </w:tc>
        <w:tc>
          <w:tcPr>
            <w:tcW w:w="0" w:type="dxa"/>
            <w:vAlign w:val="bottom"/>
          </w:tcPr>
          <w:p>
            <w:pPr>
              <w:spacing w:after="0"/>
              <w:rPr>
                <w:sz w:val="1"/>
                <w:szCs w:val="1"/>
                <w:color w:val="auto"/>
              </w:rPr>
            </w:pPr>
          </w:p>
        </w:tc>
      </w:tr>
      <w:tr>
        <w:trPr>
          <w:trHeight w:val="137"/>
        </w:trPr>
        <w:tc>
          <w:tcPr>
            <w:tcW w:w="2160" w:type="dxa"/>
            <w:vAlign w:val="bottom"/>
          </w:tcPr>
          <w:p>
            <w:pPr>
              <w:ind w:left="20"/>
              <w:spacing w:after="0"/>
              <w:rPr>
                <w:sz w:val="20"/>
                <w:szCs w:val="20"/>
                <w:color w:val="auto"/>
              </w:rPr>
            </w:pPr>
            <w:r>
              <w:rPr>
                <w:rFonts w:ascii="Arial" w:cs="Arial" w:eastAsia="Arial" w:hAnsi="Arial"/>
                <w:sz w:val="10"/>
                <w:szCs w:val="10"/>
                <w:b w:val="1"/>
                <w:bCs w:val="1"/>
                <w:color w:val="auto"/>
              </w:rPr>
              <w:t>Costs and expenses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28,765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29,261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313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27,266</w:t>
            </w:r>
          </w:p>
        </w:tc>
        <w:tc>
          <w:tcPr>
            <w:tcW w:w="0" w:type="dxa"/>
            <w:vAlign w:val="bottom"/>
          </w:tcPr>
          <w:p>
            <w:pPr>
              <w:spacing w:after="0"/>
              <w:rPr>
                <w:sz w:val="1"/>
                <w:szCs w:val="1"/>
                <w:color w:val="auto"/>
              </w:rPr>
            </w:pPr>
          </w:p>
        </w:tc>
      </w:tr>
      <w:tr>
        <w:trPr>
          <w:trHeight w:val="95"/>
        </w:trPr>
        <w:tc>
          <w:tcPr>
            <w:tcW w:w="2160" w:type="dxa"/>
            <w:vAlign w:val="bottom"/>
          </w:tcPr>
          <w:p>
            <w:pPr>
              <w:ind w:left="120"/>
              <w:spacing w:after="0" w:line="96" w:lineRule="exact"/>
              <w:rPr>
                <w:sz w:val="20"/>
                <w:szCs w:val="20"/>
                <w:color w:val="auto"/>
              </w:rPr>
            </w:pPr>
            <w:r>
              <w:rPr>
                <w:rFonts w:ascii="Arial" w:cs="Arial" w:eastAsia="Arial" w:hAnsi="Arial"/>
                <w:sz w:val="10"/>
                <w:szCs w:val="10"/>
                <w:color w:val="auto"/>
              </w:rPr>
              <w:t>GM Financial interest, operating and other</w:t>
            </w:r>
          </w:p>
        </w:tc>
        <w:tc>
          <w:tcPr>
            <w:tcW w:w="12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2,089</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2,089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4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1,895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1,894</w:t>
            </w:r>
          </w:p>
        </w:tc>
        <w:tc>
          <w:tcPr>
            <w:tcW w:w="0" w:type="dxa"/>
            <w:vAlign w:val="bottom"/>
          </w:tcPr>
          <w:p>
            <w:pPr>
              <w:spacing w:after="0"/>
              <w:rPr>
                <w:sz w:val="1"/>
                <w:szCs w:val="1"/>
                <w:color w:val="auto"/>
              </w:rPr>
            </w:pPr>
          </w:p>
        </w:tc>
      </w:tr>
      <w:tr>
        <w:trPr>
          <w:trHeight w:val="145"/>
        </w:trPr>
        <w:tc>
          <w:tcPr>
            <w:tcW w:w="2160" w:type="dxa"/>
            <w:vAlign w:val="bottom"/>
          </w:tcPr>
          <w:p>
            <w:pPr>
              <w:ind w:left="240"/>
              <w:spacing w:after="0"/>
              <w:rPr>
                <w:sz w:val="20"/>
                <w:szCs w:val="20"/>
                <w:color w:val="auto"/>
              </w:rPr>
            </w:pPr>
            <w:r>
              <w:rPr>
                <w:rFonts w:ascii="Arial" w:cs="Arial" w:eastAsia="Arial" w:hAnsi="Arial"/>
                <w:sz w:val="10"/>
                <w:szCs w:val="10"/>
                <w:color w:val="auto"/>
              </w:rPr>
              <w:t>expenses</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160" w:type="dxa"/>
            <w:vAlign w:val="bottom"/>
            <w:shd w:val="clear" w:color="auto" w:fill="CCEEFF"/>
          </w:tcPr>
          <w:p>
            <w:pPr>
              <w:ind w:left="120"/>
              <w:spacing w:after="0" w:line="99" w:lineRule="exact"/>
              <w:rPr>
                <w:sz w:val="20"/>
                <w:szCs w:val="20"/>
                <w:color w:val="auto"/>
              </w:rPr>
            </w:pPr>
            <w:r>
              <w:rPr>
                <w:rFonts w:ascii="Arial" w:cs="Arial" w:eastAsia="Arial" w:hAnsi="Arial"/>
                <w:sz w:val="10"/>
                <w:szCs w:val="10"/>
                <w:color w:val="auto"/>
              </w:rPr>
              <w:t>Automotive and other selling, general and</w:t>
            </w: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2,160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2,293</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2,050</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2,125</w:t>
            </w:r>
          </w:p>
        </w:tc>
        <w:tc>
          <w:tcPr>
            <w:tcW w:w="0" w:type="dxa"/>
            <w:vAlign w:val="bottom"/>
          </w:tcPr>
          <w:p>
            <w:pPr>
              <w:spacing w:after="0"/>
              <w:rPr>
                <w:sz w:val="1"/>
                <w:szCs w:val="1"/>
                <w:color w:val="auto"/>
              </w:rPr>
            </w:pPr>
          </w:p>
        </w:tc>
      </w:tr>
      <w:tr>
        <w:trPr>
          <w:trHeight w:val="145"/>
        </w:trPr>
        <w:tc>
          <w:tcPr>
            <w:tcW w:w="21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1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30,925</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630</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2,089</w:t>
            </w:r>
          </w:p>
        </w:tc>
        <w:tc>
          <w:tcPr>
            <w:tcW w:w="1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33,643</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29,003</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388</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1,895</w:t>
            </w:r>
          </w:p>
        </w:tc>
        <w:tc>
          <w:tcPr>
            <w:tcW w:w="10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31,285</w:t>
            </w: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1,689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1,057</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2,116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1,531</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2,882</w:t>
            </w: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0"/>
                <w:szCs w:val="10"/>
                <w:color w:val="auto"/>
              </w:rPr>
              <w:t>Automotive interest expense</w:t>
            </w:r>
          </w:p>
        </w:tc>
        <w:tc>
          <w:tcPr>
            <w:tcW w:w="120" w:type="dxa"/>
            <w:vAlign w:val="bottom"/>
          </w:tcPr>
          <w:p>
            <w:pPr>
              <w:spacing w:after="0"/>
              <w:rPr>
                <w:sz w:val="13"/>
                <w:szCs w:val="13"/>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234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234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243</w:t>
            </w:r>
          </w:p>
        </w:tc>
        <w:tc>
          <w:tcPr>
            <w:tcW w:w="0" w:type="dxa"/>
            <w:vAlign w:val="bottom"/>
          </w:tcPr>
          <w:p>
            <w:pPr>
              <w:spacing w:after="0"/>
              <w:rPr>
                <w:sz w:val="1"/>
                <w:szCs w:val="1"/>
                <w:color w:val="auto"/>
              </w:rPr>
            </w:pPr>
          </w:p>
        </w:tc>
      </w:tr>
      <w:tr>
        <w:trPr>
          <w:trHeight w:val="99"/>
        </w:trPr>
        <w:tc>
          <w:tcPr>
            <w:tcW w:w="2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w w:val="99"/>
              </w:rPr>
              <w:t>Interest income and other non-operating income</w:t>
            </w: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262</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295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757</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784</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(loss), net</w:t>
            </w: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Equity income (loss)</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277</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327</w:t>
            </w: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1,623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2,132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1,581</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3,750</w:t>
            </w:r>
          </w:p>
        </w:tc>
        <w:tc>
          <w:tcPr>
            <w:tcW w:w="0" w:type="dxa"/>
            <w:vAlign w:val="bottom"/>
          </w:tcPr>
          <w:p>
            <w:pPr>
              <w:spacing w:after="0"/>
              <w:rPr>
                <w:sz w:val="1"/>
                <w:szCs w:val="1"/>
                <w:color w:val="auto"/>
              </w:rPr>
            </w:pPr>
          </w:p>
        </w:tc>
      </w:tr>
      <w:tr>
        <w:trPr>
          <w:trHeight w:val="15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Income tax expense (benefit)</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490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971</w:t>
            </w: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(loss)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702" w:right="319" w:bottom="1440" w:gutter="0" w:footer="0" w:header="0"/>
        </w:sectPr>
      </w:pPr>
    </w:p>
    <w:p>
      <w:pPr>
        <w:ind w:left="140" w:hanging="126"/>
        <w:spacing w:after="0" w:line="232" w:lineRule="auto"/>
        <w:rPr>
          <w:sz w:val="20"/>
          <w:szCs w:val="20"/>
          <w:color w:val="auto"/>
        </w:rPr>
      </w:pPr>
      <w:r>
        <w:rPr>
          <w:rFonts w:ascii="Arial" w:cs="Arial" w:eastAsia="Arial" w:hAnsi="Arial"/>
          <w:sz w:val="10"/>
          <w:szCs w:val="10"/>
          <w:color w:val="auto"/>
        </w:rPr>
        <w:t>Net loss (income) attributable to noncontrolling interests</w:t>
      </w:r>
    </w:p>
    <w:p>
      <w:pPr>
        <w:spacing w:after="0" w:line="18" w:lineRule="exact"/>
        <w:rPr>
          <w:sz w:val="20"/>
          <w:szCs w:val="20"/>
          <w:color w:val="auto"/>
        </w:rPr>
      </w:pPr>
    </w:p>
    <w:p>
      <w:pPr>
        <w:ind w:left="140" w:right="520" w:hanging="126"/>
        <w:spacing w:after="0" w:line="242" w:lineRule="auto"/>
        <w:rPr>
          <w:sz w:val="20"/>
          <w:szCs w:val="20"/>
          <w:color w:val="auto"/>
        </w:rPr>
      </w:pPr>
      <w:r>
        <w:rPr>
          <w:rFonts w:ascii="Arial" w:cs="Arial" w:eastAsia="Arial" w:hAnsi="Arial"/>
          <w:sz w:val="10"/>
          <w:szCs w:val="10"/>
          <w:b w:val="1"/>
          <w:bCs w:val="1"/>
          <w:color w:val="auto"/>
        </w:rPr>
        <w:t>Net income (loss) attributable to stockholders</w:t>
      </w:r>
    </w:p>
    <w:p>
      <w:pPr>
        <w:spacing w:after="0" w:line="55" w:lineRule="exact"/>
        <w:rPr>
          <w:sz w:val="20"/>
          <w:szCs w:val="20"/>
          <w:color w:val="auto"/>
        </w:rPr>
      </w:pPr>
    </w:p>
    <w:p>
      <w:pPr>
        <w:ind w:left="140" w:right="80" w:hanging="126"/>
        <w:spacing w:after="0" w:line="242" w:lineRule="auto"/>
        <w:rPr>
          <w:sz w:val="20"/>
          <w:szCs w:val="20"/>
          <w:color w:val="auto"/>
        </w:rPr>
      </w:pPr>
      <w:r>
        <w:rPr>
          <w:rFonts w:ascii="Arial" w:cs="Arial" w:eastAsia="Arial" w:hAnsi="Arial"/>
          <w:sz w:val="10"/>
          <w:szCs w:val="10"/>
          <w:b w:val="1"/>
          <w:bCs w:val="1"/>
          <w:color w:val="auto"/>
        </w:rPr>
        <w:t>Net income (loss) attributable to common stockholders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50</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57</w:t>
            </w:r>
          </w:p>
        </w:tc>
      </w:tr>
      <w:tr>
        <w:trPr>
          <w:trHeight w:val="203"/>
        </w:trPr>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1,692</w:t>
            </w: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jc w:val="right"/>
              <w:ind w:right="128"/>
              <w:spacing w:after="0"/>
              <w:rPr>
                <w:sz w:val="20"/>
                <w:szCs w:val="20"/>
                <w:color w:val="auto"/>
              </w:rPr>
            </w:pPr>
            <w:r>
              <w:rPr>
                <w:rFonts w:ascii="Arial" w:cs="Arial" w:eastAsia="Arial" w:hAnsi="Arial"/>
                <w:sz w:val="11"/>
                <w:szCs w:val="11"/>
                <w:color w:val="auto"/>
                <w:w w:val="97"/>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2,836</w:t>
            </w:r>
          </w:p>
        </w:tc>
      </w:tr>
      <w:tr>
        <w:trPr>
          <w:trHeight w:val="20"/>
        </w:trPr>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1,666</w:t>
            </w: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0" w:type="dxa"/>
            <w:vAlign w:val="bottom"/>
          </w:tcPr>
          <w:p>
            <w:pPr>
              <w:jc w:val="right"/>
              <w:ind w:right="128"/>
              <w:spacing w:after="0"/>
              <w:rPr>
                <w:sz w:val="20"/>
                <w:szCs w:val="20"/>
                <w:color w:val="auto"/>
              </w:rPr>
            </w:pPr>
            <w:r>
              <w:rPr>
                <w:rFonts w:ascii="Arial" w:cs="Arial" w:eastAsia="Arial" w:hAnsi="Arial"/>
                <w:sz w:val="11"/>
                <w:szCs w:val="11"/>
                <w:color w:val="auto"/>
                <w:w w:val="97"/>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2,790</w:t>
            </w:r>
          </w:p>
        </w:tc>
      </w:tr>
      <w:tr>
        <w:trPr>
          <w:trHeight w:val="255"/>
        </w:trPr>
        <w:tc>
          <w:tcPr>
            <w:tcW w:w="8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1020"/>
              <w:spacing w:after="0"/>
              <w:rPr>
                <w:sz w:val="20"/>
                <w:szCs w:val="20"/>
                <w:color w:val="auto"/>
              </w:rPr>
            </w:pPr>
            <w:r>
              <w:rPr>
                <w:rFonts w:ascii="Arial" w:cs="Arial" w:eastAsia="Arial" w:hAnsi="Arial"/>
                <w:sz w:val="8"/>
                <w:szCs w:val="8"/>
                <w:b w:val="1"/>
                <w:bCs w:val="1"/>
                <w:color w:val="auto"/>
              </w:rPr>
              <w:t>Six Months Ended June 30, 2022</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2"/>
          </w:tcPr>
          <w:p>
            <w:pPr>
              <w:ind w:left="120"/>
              <w:spacing w:after="0"/>
              <w:rPr>
                <w:sz w:val="20"/>
                <w:szCs w:val="20"/>
                <w:color w:val="auto"/>
              </w:rPr>
            </w:pPr>
            <w:r>
              <w:rPr>
                <w:rFonts w:ascii="Arial" w:cs="Arial" w:eastAsia="Arial" w:hAnsi="Arial"/>
                <w:sz w:val="8"/>
                <w:szCs w:val="8"/>
                <w:b w:val="1"/>
                <w:bCs w:val="1"/>
                <w:color w:val="auto"/>
              </w:rPr>
              <w:t>Six Months Ended June 30, 2021</w:t>
            </w:r>
          </w:p>
        </w:tc>
        <w:tc>
          <w:tcPr>
            <w:tcW w:w="2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12"/>
        </w:trPr>
        <w:tc>
          <w:tcPr>
            <w:tcW w:w="860" w:type="dxa"/>
            <w:vAlign w:val="bottom"/>
          </w:tcPr>
          <w:p>
            <w:pPr>
              <w:ind w:left="160"/>
              <w:spacing w:after="0"/>
              <w:rPr>
                <w:sz w:val="20"/>
                <w:szCs w:val="20"/>
                <w:color w:val="auto"/>
              </w:rPr>
            </w:pPr>
            <w:r>
              <w:rPr>
                <w:rFonts w:ascii="Arial" w:cs="Arial" w:eastAsia="Arial" w:hAnsi="Arial"/>
                <w:sz w:val="8"/>
                <w:szCs w:val="8"/>
                <w:b w:val="1"/>
                <w:bCs w:val="1"/>
                <w:color w:val="auto"/>
              </w:rPr>
              <w:t>Automotive</w:t>
            </w:r>
          </w:p>
        </w:tc>
        <w:tc>
          <w:tcPr>
            <w:tcW w:w="620" w:type="dxa"/>
            <w:vAlign w:val="bottom"/>
          </w:tcPr>
          <w:p>
            <w:pPr>
              <w:ind w:left="240"/>
              <w:spacing w:after="0"/>
              <w:rPr>
                <w:sz w:val="20"/>
                <w:szCs w:val="20"/>
                <w:color w:val="auto"/>
              </w:rPr>
            </w:pPr>
            <w:r>
              <w:rPr>
                <w:rFonts w:ascii="Arial" w:cs="Arial" w:eastAsia="Arial" w:hAnsi="Arial"/>
                <w:sz w:val="8"/>
                <w:szCs w:val="8"/>
                <w:b w:val="1"/>
                <w:bCs w:val="1"/>
                <w:color w:val="auto"/>
              </w:rPr>
              <w:t>Cruise</w:t>
            </w:r>
          </w:p>
        </w:tc>
        <w:tc>
          <w:tcPr>
            <w:tcW w:w="880" w:type="dxa"/>
            <w:vAlign w:val="bottom"/>
          </w:tcPr>
          <w:p>
            <w:pPr>
              <w:ind w:left="260"/>
              <w:spacing w:after="0"/>
              <w:rPr>
                <w:sz w:val="20"/>
                <w:szCs w:val="20"/>
                <w:color w:val="auto"/>
              </w:rPr>
            </w:pPr>
            <w:r>
              <w:rPr>
                <w:rFonts w:ascii="Arial" w:cs="Arial" w:eastAsia="Arial" w:hAnsi="Arial"/>
                <w:sz w:val="8"/>
                <w:szCs w:val="8"/>
                <w:b w:val="1"/>
                <w:bCs w:val="1"/>
                <w:color w:val="auto"/>
              </w:rPr>
              <w:t>GM Financial</w:t>
            </w:r>
          </w:p>
        </w:tc>
        <w:tc>
          <w:tcPr>
            <w:tcW w:w="1580" w:type="dxa"/>
            <w:vAlign w:val="bottom"/>
            <w:gridSpan w:val="2"/>
          </w:tcPr>
          <w:p>
            <w:pPr>
              <w:jc w:val="right"/>
              <w:ind w:right="280"/>
              <w:spacing w:after="0"/>
              <w:rPr>
                <w:sz w:val="20"/>
                <w:szCs w:val="20"/>
                <w:color w:val="auto"/>
              </w:rPr>
            </w:pPr>
            <w:r>
              <w:rPr>
                <w:rFonts w:ascii="Arial" w:cs="Arial" w:eastAsia="Arial" w:hAnsi="Arial"/>
                <w:sz w:val="8"/>
                <w:szCs w:val="8"/>
                <w:b w:val="1"/>
                <w:bCs w:val="1"/>
                <w:color w:val="auto"/>
              </w:rPr>
              <w:t>Reclassifications/Eliminations</w:t>
            </w:r>
          </w:p>
        </w:tc>
        <w:tc>
          <w:tcPr>
            <w:tcW w:w="68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Combined</w:t>
            </w:r>
          </w:p>
        </w:tc>
        <w:tc>
          <w:tcPr>
            <w:tcW w:w="820" w:type="dxa"/>
            <w:vAlign w:val="bottom"/>
          </w:tcPr>
          <w:p>
            <w:pPr>
              <w:ind w:left="140"/>
              <w:spacing w:after="0"/>
              <w:rPr>
                <w:sz w:val="20"/>
                <w:szCs w:val="20"/>
                <w:color w:val="auto"/>
              </w:rPr>
            </w:pPr>
            <w:r>
              <w:rPr>
                <w:rFonts w:ascii="Arial" w:cs="Arial" w:eastAsia="Arial" w:hAnsi="Arial"/>
                <w:sz w:val="8"/>
                <w:szCs w:val="8"/>
                <w:b w:val="1"/>
                <w:bCs w:val="1"/>
                <w:color w:val="auto"/>
              </w:rPr>
              <w:t>Automotive</w:t>
            </w:r>
          </w:p>
        </w:tc>
        <w:tc>
          <w:tcPr>
            <w:tcW w:w="600" w:type="dxa"/>
            <w:vAlign w:val="bottom"/>
          </w:tcPr>
          <w:p>
            <w:pPr>
              <w:ind w:left="200"/>
              <w:spacing w:after="0"/>
              <w:rPr>
                <w:sz w:val="20"/>
                <w:szCs w:val="20"/>
                <w:color w:val="auto"/>
              </w:rPr>
            </w:pPr>
            <w:r>
              <w:rPr>
                <w:rFonts w:ascii="Arial" w:cs="Arial" w:eastAsia="Arial" w:hAnsi="Arial"/>
                <w:sz w:val="8"/>
                <w:szCs w:val="8"/>
                <w:b w:val="1"/>
                <w:bCs w:val="1"/>
                <w:color w:val="auto"/>
              </w:rPr>
              <w:t>Cruise</w:t>
            </w:r>
          </w:p>
        </w:tc>
        <w:tc>
          <w:tcPr>
            <w:tcW w:w="820" w:type="dxa"/>
            <w:vAlign w:val="bottom"/>
          </w:tcPr>
          <w:p>
            <w:pPr>
              <w:ind w:left="200"/>
              <w:spacing w:after="0"/>
              <w:rPr>
                <w:sz w:val="20"/>
                <w:szCs w:val="20"/>
                <w:color w:val="auto"/>
              </w:rPr>
            </w:pPr>
            <w:r>
              <w:rPr>
                <w:rFonts w:ascii="Arial" w:cs="Arial" w:eastAsia="Arial" w:hAnsi="Arial"/>
                <w:sz w:val="8"/>
                <w:szCs w:val="8"/>
                <w:b w:val="1"/>
                <w:bCs w:val="1"/>
                <w:color w:val="auto"/>
              </w:rPr>
              <w:t>GM Financial</w:t>
            </w:r>
          </w:p>
        </w:tc>
        <w:tc>
          <w:tcPr>
            <w:tcW w:w="1540" w:type="dxa"/>
            <w:vAlign w:val="bottom"/>
          </w:tcPr>
          <w:p>
            <w:pPr>
              <w:ind w:left="100"/>
              <w:spacing w:after="0"/>
              <w:rPr>
                <w:sz w:val="20"/>
                <w:szCs w:val="20"/>
                <w:color w:val="auto"/>
              </w:rPr>
            </w:pPr>
            <w:r>
              <w:rPr>
                <w:rFonts w:ascii="Arial" w:cs="Arial" w:eastAsia="Arial" w:hAnsi="Arial"/>
                <w:sz w:val="8"/>
                <w:szCs w:val="8"/>
                <w:b w:val="1"/>
                <w:bCs w:val="1"/>
                <w:color w:val="auto"/>
              </w:rPr>
              <w:t>Reclassifications/Eliminations</w:t>
            </w:r>
          </w:p>
        </w:tc>
        <w:tc>
          <w:tcPr>
            <w:tcW w:w="760" w:type="dxa"/>
            <w:vAlign w:val="bottom"/>
            <w:gridSpan w:val="3"/>
          </w:tcPr>
          <w:p>
            <w:pPr>
              <w:jc w:val="right"/>
              <w:ind w:right="300"/>
              <w:spacing w:after="0"/>
              <w:rPr>
                <w:sz w:val="20"/>
                <w:szCs w:val="20"/>
                <w:color w:val="auto"/>
              </w:rPr>
            </w:pPr>
            <w:r>
              <w:rPr>
                <w:rFonts w:ascii="Arial" w:cs="Arial" w:eastAsia="Arial" w:hAnsi="Arial"/>
                <w:sz w:val="8"/>
                <w:szCs w:val="8"/>
                <w:b w:val="1"/>
                <w:bCs w:val="1"/>
                <w:color w:val="auto"/>
              </w:rPr>
              <w:t>Combined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-577850</wp:posOffset>
            </wp:positionV>
            <wp:extent cx="7161530" cy="336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3365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060" w:space="60"/>
            <w:col w:w="9160"/>
          </w:cols>
          <w:pgMar w:left="300" w:top="702" w:right="31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120" w:type="dxa"/>
            <w:vAlign w:val="bottom"/>
          </w:tcPr>
          <w:p>
            <w:pPr>
              <w:ind w:left="20"/>
              <w:spacing w:after="0"/>
              <w:rPr>
                <w:sz w:val="20"/>
                <w:szCs w:val="20"/>
                <w:color w:val="auto"/>
              </w:rPr>
            </w:pPr>
            <w:r>
              <w:rPr>
                <w:rFonts w:ascii="Arial" w:cs="Arial" w:eastAsia="Arial" w:hAnsi="Arial"/>
                <w:sz w:val="10"/>
                <w:szCs w:val="10"/>
                <w:b w:val="1"/>
                <w:bCs w:val="1"/>
                <w:color w:val="auto"/>
              </w:rPr>
              <w:t>Net sales and revenue</w:t>
            </w: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65,437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65,437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59,807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59,811</w:t>
            </w:r>
          </w:p>
        </w:tc>
        <w:tc>
          <w:tcPr>
            <w:tcW w:w="0" w:type="dxa"/>
            <w:vAlign w:val="bottom"/>
          </w:tcPr>
          <w:p>
            <w:pPr>
              <w:spacing w:after="0"/>
              <w:rPr>
                <w:sz w:val="1"/>
                <w:szCs w:val="1"/>
                <w:color w:val="auto"/>
              </w:rPr>
            </w:pPr>
          </w:p>
        </w:tc>
      </w:tr>
      <w:tr>
        <w:trPr>
          <w:trHeight w:val="156"/>
        </w:trPr>
        <w:tc>
          <w:tcPr>
            <w:tcW w:w="2120" w:type="dxa"/>
            <w:vAlign w:val="bottom"/>
          </w:tcPr>
          <w:p>
            <w:pPr>
              <w:ind w:left="120"/>
              <w:spacing w:after="0"/>
              <w:rPr>
                <w:sz w:val="20"/>
                <w:szCs w:val="20"/>
                <w:color w:val="auto"/>
              </w:rPr>
            </w:pPr>
            <w:r>
              <w:rPr>
                <w:rFonts w:ascii="Arial" w:cs="Arial" w:eastAsia="Arial" w:hAnsi="Arial"/>
                <w:sz w:val="10"/>
                <w:szCs w:val="10"/>
                <w:color w:val="auto"/>
              </w:rPr>
              <w:t>GM Financial</w:t>
            </w:r>
          </w:p>
        </w:tc>
        <w:tc>
          <w:tcPr>
            <w:tcW w:w="2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6,302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6,301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6,833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6,830</w:t>
            </w:r>
          </w:p>
        </w:tc>
        <w:tc>
          <w:tcPr>
            <w:tcW w:w="0" w:type="dxa"/>
            <w:vAlign w:val="bottom"/>
          </w:tcPr>
          <w:p>
            <w:pPr>
              <w:spacing w:after="0"/>
              <w:rPr>
                <w:sz w:val="1"/>
                <w:szCs w:val="1"/>
                <w:color w:val="auto"/>
              </w:rPr>
            </w:pPr>
          </w:p>
        </w:tc>
      </w:tr>
      <w:tr>
        <w:trPr>
          <w:trHeight w:val="153"/>
        </w:trPr>
        <w:tc>
          <w:tcPr>
            <w:tcW w:w="2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net sales and revenue</w:t>
            </w:r>
          </w:p>
        </w:tc>
        <w:tc>
          <w:tcPr>
            <w:tcW w:w="2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65,437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6,302</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71,738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59,807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6,833</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66,641</w:t>
            </w:r>
          </w:p>
        </w:tc>
        <w:tc>
          <w:tcPr>
            <w:tcW w:w="0" w:type="dxa"/>
            <w:vAlign w:val="bottom"/>
          </w:tcPr>
          <w:p>
            <w:pPr>
              <w:spacing w:after="0"/>
              <w:rPr>
                <w:sz w:val="1"/>
                <w:szCs w:val="1"/>
                <w:color w:val="auto"/>
              </w:rPr>
            </w:pPr>
          </w:p>
        </w:tc>
      </w:tr>
      <w:tr>
        <w:trPr>
          <w:trHeight w:val="137"/>
        </w:trPr>
        <w:tc>
          <w:tcPr>
            <w:tcW w:w="2120" w:type="dxa"/>
            <w:vAlign w:val="bottom"/>
          </w:tcPr>
          <w:p>
            <w:pPr>
              <w:ind w:left="20"/>
              <w:spacing w:after="0"/>
              <w:rPr>
                <w:sz w:val="20"/>
                <w:szCs w:val="20"/>
                <w:color w:val="auto"/>
              </w:rPr>
            </w:pPr>
            <w:r>
              <w:rPr>
                <w:rFonts w:ascii="Arial" w:cs="Arial" w:eastAsia="Arial" w:hAnsi="Arial"/>
                <w:sz w:val="10"/>
                <w:szCs w:val="10"/>
                <w:b w:val="1"/>
                <w:bCs w:val="1"/>
                <w:color w:val="auto"/>
              </w:rPr>
              <w:t>Costs and expenses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56,987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58,614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52,381</w:t>
            </w:r>
          </w:p>
        </w:tc>
        <w:tc>
          <w:tcPr>
            <w:tcW w:w="0" w:type="dxa"/>
            <w:vAlign w:val="bottom"/>
          </w:tcPr>
          <w:p>
            <w:pPr>
              <w:spacing w:after="0"/>
              <w:rPr>
                <w:sz w:val="1"/>
                <w:szCs w:val="1"/>
                <w:color w:val="auto"/>
              </w:rPr>
            </w:pPr>
          </w:p>
        </w:tc>
      </w:tr>
      <w:tr>
        <w:trPr>
          <w:trHeight w:val="104"/>
        </w:trPr>
        <w:tc>
          <w:tcPr>
            <w:tcW w:w="2120" w:type="dxa"/>
            <w:vAlign w:val="bottom"/>
          </w:tcPr>
          <w:p>
            <w:pPr>
              <w:ind w:left="120"/>
              <w:spacing w:after="0" w:line="104" w:lineRule="exact"/>
              <w:rPr>
                <w:sz w:val="20"/>
                <w:szCs w:val="20"/>
                <w:color w:val="auto"/>
              </w:rPr>
            </w:pPr>
            <w:r>
              <w:rPr>
                <w:rFonts w:ascii="Arial" w:cs="Arial" w:eastAsia="Arial" w:hAnsi="Arial"/>
                <w:sz w:val="10"/>
                <w:szCs w:val="10"/>
                <w:color w:val="auto"/>
              </w:rPr>
              <w:t>GM Financial interest, operating and other</w:t>
            </w:r>
          </w:p>
        </w:tc>
        <w:tc>
          <w:tcPr>
            <w:tcW w:w="24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1"/>
                <w:szCs w:val="11"/>
                <w:color w:val="auto"/>
              </w:rPr>
              <w:t>4,015</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4,015</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480" w:type="dxa"/>
            <w:vAlign w:val="bottom"/>
            <w:vMerge w:val="restart"/>
          </w:tcPr>
          <w:p>
            <w:pPr>
              <w:jc w:val="right"/>
              <w:ind w:right="3"/>
              <w:spacing w:after="0"/>
              <w:rPr>
                <w:sz w:val="20"/>
                <w:szCs w:val="20"/>
                <w:color w:val="auto"/>
              </w:rPr>
            </w:pPr>
            <w:r>
              <w:rPr>
                <w:rFonts w:ascii="Arial" w:cs="Arial" w:eastAsia="Arial" w:hAnsi="Arial"/>
                <w:sz w:val="11"/>
                <w:szCs w:val="11"/>
                <w:color w:val="auto"/>
              </w:rPr>
              <w:t>4,174</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4,173</w:t>
            </w:r>
          </w:p>
        </w:tc>
        <w:tc>
          <w:tcPr>
            <w:tcW w:w="0" w:type="dxa"/>
            <w:vAlign w:val="bottom"/>
          </w:tcPr>
          <w:p>
            <w:pPr>
              <w:spacing w:after="0"/>
              <w:rPr>
                <w:sz w:val="1"/>
                <w:szCs w:val="1"/>
                <w:color w:val="auto"/>
              </w:rPr>
            </w:pPr>
          </w:p>
        </w:tc>
      </w:tr>
      <w:tr>
        <w:trPr>
          <w:trHeight w:val="137"/>
        </w:trPr>
        <w:tc>
          <w:tcPr>
            <w:tcW w:w="2120" w:type="dxa"/>
            <w:vAlign w:val="bottom"/>
          </w:tcPr>
          <w:p>
            <w:pPr>
              <w:ind w:left="240"/>
              <w:spacing w:after="0"/>
              <w:rPr>
                <w:sz w:val="20"/>
                <w:szCs w:val="20"/>
                <w:color w:val="auto"/>
              </w:rPr>
            </w:pPr>
            <w:r>
              <w:rPr>
                <w:rFonts w:ascii="Arial" w:cs="Arial" w:eastAsia="Arial" w:hAnsi="Arial"/>
                <w:sz w:val="10"/>
                <w:szCs w:val="10"/>
                <w:color w:val="auto"/>
              </w:rPr>
              <w:t>expenses</w:t>
            </w:r>
          </w:p>
        </w:tc>
        <w:tc>
          <w:tcPr>
            <w:tcW w:w="2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12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Automotive and other selling, general and</w:t>
            </w:r>
          </w:p>
        </w:tc>
        <w:tc>
          <w:tcPr>
            <w:tcW w:w="2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4,266</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532</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4,797</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3,791</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137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3,928</w:t>
            </w:r>
          </w:p>
        </w:tc>
        <w:tc>
          <w:tcPr>
            <w:tcW w:w="0" w:type="dxa"/>
            <w:vAlign w:val="bottom"/>
          </w:tcPr>
          <w:p>
            <w:pPr>
              <w:spacing w:after="0"/>
              <w:rPr>
                <w:sz w:val="1"/>
                <w:szCs w:val="1"/>
                <w:color w:val="auto"/>
              </w:rPr>
            </w:pPr>
          </w:p>
        </w:tc>
      </w:tr>
      <w:tr>
        <w:trPr>
          <w:trHeight w:val="137"/>
        </w:trPr>
        <w:tc>
          <w:tcPr>
            <w:tcW w:w="21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2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12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61,252</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2,159</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4,015</w:t>
            </w:r>
          </w:p>
        </w:tc>
        <w:tc>
          <w:tcPr>
            <w:tcW w:w="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67,426</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55,632</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677</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4,174</w:t>
            </w:r>
          </w:p>
        </w:tc>
        <w:tc>
          <w:tcPr>
            <w:tcW w:w="10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60,482</w:t>
            </w: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4,184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2,287</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4,313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2,659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6,159</w:t>
            </w:r>
          </w:p>
        </w:tc>
        <w:tc>
          <w:tcPr>
            <w:tcW w:w="0" w:type="dxa"/>
            <w:vAlign w:val="bottom"/>
          </w:tcPr>
          <w:p>
            <w:pPr>
              <w:spacing w:after="0"/>
              <w:rPr>
                <w:sz w:val="1"/>
                <w:szCs w:val="1"/>
                <w:color w:val="auto"/>
              </w:rPr>
            </w:pPr>
          </w:p>
        </w:tc>
      </w:tr>
      <w:tr>
        <w:trPr>
          <w:trHeight w:val="156"/>
        </w:trPr>
        <w:tc>
          <w:tcPr>
            <w:tcW w:w="2120" w:type="dxa"/>
            <w:vAlign w:val="bottom"/>
          </w:tcPr>
          <w:p>
            <w:pPr>
              <w:ind w:left="20"/>
              <w:spacing w:after="0"/>
              <w:rPr>
                <w:sz w:val="20"/>
                <w:szCs w:val="20"/>
                <w:color w:val="auto"/>
              </w:rPr>
            </w:pPr>
            <w:r>
              <w:rPr>
                <w:rFonts w:ascii="Arial" w:cs="Arial" w:eastAsia="Arial" w:hAnsi="Arial"/>
                <w:sz w:val="10"/>
                <w:szCs w:val="10"/>
                <w:color w:val="auto"/>
              </w:rPr>
              <w:t>Automotive interest expense</w:t>
            </w:r>
          </w:p>
        </w:tc>
        <w:tc>
          <w:tcPr>
            <w:tcW w:w="2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460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460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493</w:t>
            </w:r>
          </w:p>
        </w:tc>
        <w:tc>
          <w:tcPr>
            <w:tcW w:w="0" w:type="dxa"/>
            <w:vAlign w:val="bottom"/>
          </w:tcPr>
          <w:p>
            <w:pPr>
              <w:spacing w:after="0"/>
              <w:rPr>
                <w:sz w:val="1"/>
                <w:szCs w:val="1"/>
                <w:color w:val="auto"/>
              </w:rPr>
            </w:pPr>
          </w:p>
        </w:tc>
      </w:tr>
      <w:tr>
        <w:trPr>
          <w:trHeight w:val="107"/>
        </w:trPr>
        <w:tc>
          <w:tcPr>
            <w:tcW w:w="2120" w:type="dxa"/>
            <w:vAlign w:val="bottom"/>
            <w:shd w:val="clear" w:color="auto" w:fill="CCEEFF"/>
          </w:tcPr>
          <w:p>
            <w:pPr>
              <w:ind w:left="20"/>
              <w:spacing w:after="0" w:line="107" w:lineRule="exact"/>
              <w:rPr>
                <w:sz w:val="20"/>
                <w:szCs w:val="20"/>
                <w:color w:val="auto"/>
              </w:rPr>
            </w:pPr>
            <w:r>
              <w:rPr>
                <w:rFonts w:ascii="Arial" w:cs="Arial" w:eastAsia="Arial" w:hAnsi="Arial"/>
                <w:sz w:val="10"/>
                <w:szCs w:val="10"/>
                <w:color w:val="auto"/>
              </w:rPr>
              <w:t>Interest income and other non-operating</w:t>
            </w:r>
          </w:p>
        </w:tc>
        <w:tc>
          <w:tcPr>
            <w:tcW w:w="2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754</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812</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1,529</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1,583</w:t>
            </w: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(loss), net</w:t>
            </w:r>
          </w:p>
        </w:tc>
        <w:tc>
          <w:tcPr>
            <w:tcW w:w="2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Equity income (loss)</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104</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104</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692</w:t>
            </w: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2,390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4,912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2,763</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7,941</w:t>
            </w:r>
          </w:p>
        </w:tc>
        <w:tc>
          <w:tcPr>
            <w:tcW w:w="0" w:type="dxa"/>
            <w:vAlign w:val="bottom"/>
          </w:tcPr>
          <w:p>
            <w:pPr>
              <w:spacing w:after="0"/>
              <w:rPr>
                <w:sz w:val="1"/>
                <w:szCs w:val="1"/>
                <w:color w:val="auto"/>
              </w:rPr>
            </w:pPr>
          </w:p>
        </w:tc>
      </w:tr>
      <w:tr>
        <w:trPr>
          <w:trHeight w:val="156"/>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Income tax expense (benefit)</w:t>
            </w:r>
          </w:p>
        </w:tc>
        <w:tc>
          <w:tcPr>
            <w:tcW w:w="2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462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2,148</w:t>
            </w: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(loss)</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4,449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5,793</w:t>
            </w:r>
          </w:p>
        </w:tc>
        <w:tc>
          <w:tcPr>
            <w:tcW w:w="0" w:type="dxa"/>
            <w:vAlign w:val="bottom"/>
          </w:tcPr>
          <w:p>
            <w:pPr>
              <w:spacing w:after="0"/>
              <w:rPr>
                <w:sz w:val="1"/>
                <w:szCs w:val="1"/>
                <w:color w:val="auto"/>
              </w:rPr>
            </w:pPr>
          </w:p>
        </w:tc>
      </w:tr>
      <w:tr>
        <w:trPr>
          <w:trHeight w:val="104"/>
        </w:trPr>
        <w:tc>
          <w:tcPr>
            <w:tcW w:w="2120" w:type="dxa"/>
            <w:vAlign w:val="bottom"/>
          </w:tcPr>
          <w:p>
            <w:pPr>
              <w:ind w:left="20"/>
              <w:spacing w:after="0" w:line="104" w:lineRule="exact"/>
              <w:rPr>
                <w:sz w:val="20"/>
                <w:szCs w:val="20"/>
                <w:color w:val="auto"/>
              </w:rPr>
            </w:pPr>
            <w:r>
              <w:rPr>
                <w:rFonts w:ascii="Arial" w:cs="Arial" w:eastAsia="Arial" w:hAnsi="Arial"/>
                <w:sz w:val="10"/>
                <w:szCs w:val="10"/>
                <w:color w:val="auto"/>
              </w:rPr>
              <w:t>Net loss (income) attributable to noncontrolling</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37"/>
        </w:trPr>
        <w:tc>
          <w:tcPr>
            <w:tcW w:w="212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interests</w:t>
            </w:r>
          </w:p>
        </w:tc>
        <w:tc>
          <w:tcPr>
            <w:tcW w:w="24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120" w:type="dxa"/>
            <w:vAlign w:val="bottom"/>
            <w:shd w:val="clear" w:color="auto" w:fill="CCEEFF"/>
          </w:tcPr>
          <w:p>
            <w:pPr>
              <w:ind w:left="20"/>
              <w:spacing w:after="0" w:line="85" w:lineRule="exact"/>
              <w:rPr>
                <w:sz w:val="20"/>
                <w:szCs w:val="20"/>
                <w:color w:val="auto"/>
              </w:rPr>
            </w:pPr>
            <w:r>
              <w:rPr>
                <w:rFonts w:ascii="Arial" w:cs="Arial" w:eastAsia="Arial" w:hAnsi="Arial"/>
                <w:sz w:val="9"/>
                <w:szCs w:val="9"/>
                <w:b w:val="1"/>
                <w:bCs w:val="1"/>
                <w:color w:val="auto"/>
              </w:rPr>
              <w:t>Net income (loss) attributable to</w:t>
            </w:r>
          </w:p>
        </w:tc>
        <w:tc>
          <w:tcPr>
            <w:tcW w:w="2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4,631</w:t>
            </w: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5,858</w:t>
            </w:r>
          </w:p>
        </w:tc>
        <w:tc>
          <w:tcPr>
            <w:tcW w:w="0" w:type="dxa"/>
            <w:vAlign w:val="bottom"/>
          </w:tcPr>
          <w:p>
            <w:pPr>
              <w:spacing w:after="0"/>
              <w:rPr>
                <w:sz w:val="1"/>
                <w:szCs w:val="1"/>
                <w:color w:val="auto"/>
              </w:rPr>
            </w:pPr>
          </w:p>
        </w:tc>
      </w:tr>
      <w:tr>
        <w:trPr>
          <w:trHeight w:val="141"/>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20" w:type="dxa"/>
            <w:vAlign w:val="bottom"/>
            <w:shd w:val="clear" w:color="auto" w:fill="CCEEFF"/>
          </w:tcPr>
          <w:p>
            <w:pPr>
              <w:ind w:left="20"/>
              <w:spacing w:after="0" w:line="86" w:lineRule="exact"/>
              <w:rPr>
                <w:sz w:val="20"/>
                <w:szCs w:val="20"/>
                <w:color w:val="auto"/>
              </w:rPr>
            </w:pPr>
            <w:r>
              <w:rPr>
                <w:rFonts w:ascii="Arial" w:cs="Arial" w:eastAsia="Arial" w:hAnsi="Arial"/>
                <w:sz w:val="9"/>
                <w:szCs w:val="9"/>
                <w:b w:val="1"/>
                <w:bCs w:val="1"/>
                <w:color w:val="auto"/>
              </w:rPr>
              <w:t>Net income (loss) attributable to common</w:t>
            </w:r>
          </w:p>
        </w:tc>
        <w:tc>
          <w:tcPr>
            <w:tcW w:w="2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3,653</w:t>
            </w: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5,767</w:t>
            </w: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702" w:right="319" w:bottom="1440" w:gutter="0" w:footer="0" w:header="0"/>
          <w:type w:val="continuous"/>
        </w:sectPr>
      </w:pPr>
    </w:p>
    <w:bookmarkStart w:id="20" w:name="page21"/>
    <w:bookmarkEnd w:id="20"/>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3"/>
          <w:szCs w:val="13"/>
          <w:i w:val="1"/>
          <w:iCs w:val="1"/>
          <w:color w:val="auto"/>
        </w:rPr>
        <w:t>(Unaudited)</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39"/>
        </w:trPr>
        <w:tc>
          <w:tcPr>
            <w:tcW w:w="488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7"/>
              </w:rPr>
              <w:t>Three Months Ended</w:t>
            </w:r>
          </w:p>
        </w:tc>
        <w:tc>
          <w:tcPr>
            <w:tcW w:w="1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120" w:type="dxa"/>
            <w:vAlign w:val="bottom"/>
            <w:tcBorders>
              <w:bottom w:val="single" w:sz="8" w:color="auto"/>
            </w:tcBorders>
          </w:tcPr>
          <w:p>
            <w:pPr>
              <w:spacing w:after="0"/>
              <w:rPr>
                <w:sz w:val="12"/>
                <w:szCs w:val="12"/>
                <w:color w:val="auto"/>
              </w:rPr>
            </w:pPr>
          </w:p>
        </w:tc>
      </w:tr>
      <w:tr>
        <w:trPr>
          <w:trHeight w:val="129"/>
        </w:trPr>
        <w:tc>
          <w:tcPr>
            <w:tcW w:w="48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b w:val="1"/>
                <w:bCs w:val="1"/>
                <w:color w:val="auto"/>
              </w:rPr>
              <w:t>June 30, 2022</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jc w:val="right"/>
              <w:ind w:right="398"/>
              <w:spacing w:after="0"/>
              <w:rPr>
                <w:sz w:val="20"/>
                <w:szCs w:val="20"/>
                <w:color w:val="auto"/>
              </w:rPr>
            </w:pPr>
            <w:r>
              <w:rPr>
                <w:rFonts w:ascii="Arial" w:cs="Arial" w:eastAsia="Arial" w:hAnsi="Arial"/>
                <w:sz w:val="10"/>
                <w:szCs w:val="10"/>
                <w:b w:val="1"/>
                <w:bCs w:val="1"/>
                <w:color w:val="auto"/>
                <w:w w:val="95"/>
              </w:rPr>
              <w:t>June 30, 2021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 2022</w:t>
            </w:r>
          </w:p>
        </w:tc>
        <w:tc>
          <w:tcPr>
            <w:tcW w:w="400" w:type="dxa"/>
            <w:vAlign w:val="bottom"/>
          </w:tcPr>
          <w:p>
            <w:pPr>
              <w:spacing w:after="0"/>
              <w:rPr>
                <w:sz w:val="11"/>
                <w:szCs w:val="11"/>
                <w:color w:val="auto"/>
              </w:rPr>
            </w:pPr>
          </w:p>
        </w:tc>
        <w:tc>
          <w:tcPr>
            <w:tcW w:w="1120" w:type="dxa"/>
            <w:vAlign w:val="bottom"/>
          </w:tcPr>
          <w:p>
            <w:pPr>
              <w:jc w:val="right"/>
              <w:ind w:right="378"/>
              <w:spacing w:after="0"/>
              <w:rPr>
                <w:sz w:val="20"/>
                <w:szCs w:val="20"/>
                <w:color w:val="auto"/>
              </w:rPr>
            </w:pPr>
            <w:r>
              <w:rPr>
                <w:rFonts w:ascii="Arial" w:cs="Arial" w:eastAsia="Arial" w:hAnsi="Arial"/>
                <w:sz w:val="10"/>
                <w:szCs w:val="10"/>
                <w:b w:val="1"/>
                <w:bCs w:val="1"/>
                <w:color w:val="auto"/>
              </w:rPr>
              <w:t>June 30, 2021</w:t>
            </w:r>
          </w:p>
        </w:tc>
      </w:tr>
      <w:tr>
        <w:trPr>
          <w:trHeight w:val="141"/>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10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stockholders</w:t>
            </w: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1,692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5,858</w:t>
            </w:r>
          </w:p>
        </w:tc>
      </w:tr>
      <w:tr>
        <w:trPr>
          <w:trHeight w:val="169"/>
        </w:trPr>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cumulative dividends on subsidiary preferred stock(a)</w:t>
            </w: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r>
      <w:tr>
        <w:trPr>
          <w:trHeight w:val="187"/>
        </w:trPr>
        <w:tc>
          <w:tcPr>
            <w:tcW w:w="4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common stockholders</w:t>
            </w:r>
          </w:p>
        </w:tc>
        <w:tc>
          <w:tcPr>
            <w:tcW w:w="108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1,666</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3,653</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4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w:t>
            </w: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1,458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w:t>
            </w:r>
          </w:p>
        </w:tc>
      </w:tr>
      <w:tr>
        <w:trPr>
          <w:trHeight w:val="85"/>
        </w:trPr>
        <w:tc>
          <w:tcPr>
            <w:tcW w:w="48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Basic earnings per common share</w:t>
            </w: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r>
      <w:tr>
        <w:trPr>
          <w:trHeight w:val="159"/>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common stockholders – diluted</w:t>
            </w: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1,666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5,767</w:t>
            </w:r>
          </w:p>
        </w:tc>
      </w:tr>
      <w:tr>
        <w:trPr>
          <w:trHeight w:val="85"/>
        </w:trPr>
        <w:tc>
          <w:tcPr>
            <w:tcW w:w="4880" w:type="dxa"/>
            <w:vAlign w:val="bottom"/>
            <w:tcBorders>
              <w:bottom w:val="single" w:sz="8" w:color="CCEEFF"/>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185"/>
        </w:trPr>
        <w:tc>
          <w:tcPr>
            <w:tcW w:w="4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 – diluted</w:t>
            </w: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1,465</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4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Diluted earnings per common share</w:t>
            </w: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r>
      <w:tr>
        <w:trPr>
          <w:trHeight w:val="167"/>
        </w:trPr>
        <w:tc>
          <w:tcPr>
            <w:tcW w:w="4880" w:type="dxa"/>
            <w:vAlign w:val="bottom"/>
          </w:tcPr>
          <w:p>
            <w:pPr>
              <w:ind w:left="100"/>
              <w:spacing w:after="0"/>
              <w:rPr>
                <w:sz w:val="20"/>
                <w:szCs w:val="20"/>
                <w:color w:val="auto"/>
              </w:rPr>
            </w:pPr>
            <w:r>
              <w:rPr>
                <w:rFonts w:ascii="Arial" w:cs="Arial" w:eastAsia="Arial" w:hAnsi="Arial"/>
                <w:sz w:val="11"/>
                <w:szCs w:val="11"/>
                <w:color w:val="auto"/>
              </w:rPr>
              <w:t>Potentially dilutive securities(b)</w:t>
            </w:r>
          </w:p>
        </w:tc>
        <w:tc>
          <w:tcPr>
            <w:tcW w:w="1080" w:type="dxa"/>
            <w:vAlign w:val="bottom"/>
          </w:tcPr>
          <w:p>
            <w:pPr>
              <w:spacing w:after="0"/>
              <w:rPr>
                <w:sz w:val="14"/>
                <w:szCs w:val="14"/>
                <w:color w:val="auto"/>
              </w:rPr>
            </w:pPr>
          </w:p>
        </w:tc>
        <w:tc>
          <w:tcPr>
            <w:tcW w:w="460" w:type="dxa"/>
            <w:vAlign w:val="bottom"/>
          </w:tcPr>
          <w:p>
            <w:pPr>
              <w:jc w:val="right"/>
              <w:ind w:right="18"/>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320" w:hanging="235"/>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a $909 million deemed dividend related to the redemption of Cruise preferred shares from SoftBank in the six months ended June 30, 2022.</w:t>
      </w:r>
    </w:p>
    <w:p>
      <w:pPr>
        <w:spacing w:after="0" w:line="11" w:lineRule="exact"/>
        <w:rPr>
          <w:rFonts w:ascii="Arial" w:cs="Arial" w:eastAsia="Arial" w:hAnsi="Arial"/>
          <w:sz w:val="11"/>
          <w:szCs w:val="11"/>
          <w:color w:val="auto"/>
        </w:rPr>
      </w:pPr>
    </w:p>
    <w:p>
      <w:pPr>
        <w:ind w:left="340" w:hanging="255"/>
        <w:spacing w:after="0" w:line="284" w:lineRule="auto"/>
        <w:tabs>
          <w:tab w:leader="none" w:pos="329" w:val="left"/>
        </w:tabs>
        <w:numPr>
          <w:ilvl w:val="0"/>
          <w:numId w:val="8"/>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at June 30, 2022 and 2021 and Restricted Stock Units at June 30, 2022, were excluded from the computation of diluted earnings per share (EPS)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60"/>
          </w:cols>
          <w:pgMar w:left="220" w:top="702" w:right="319" w:bottom="1440" w:gutter="0" w:footer="0" w:header="0"/>
        </w:sectPr>
      </w:pPr>
    </w:p>
    <w:bookmarkStart w:id="21" w:name="page22"/>
    <w:bookmarkEnd w:id="21"/>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Combining Balance Sheet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ind w:left="280"/>
              <w:spacing w:after="0"/>
              <w:rPr>
                <w:sz w:val="20"/>
                <w:szCs w:val="20"/>
                <w:color w:val="auto"/>
              </w:rPr>
            </w:pPr>
            <w:r>
              <w:rPr>
                <w:rFonts w:ascii="Arial" w:cs="Arial" w:eastAsia="Arial" w:hAnsi="Arial"/>
                <w:sz w:val="10"/>
                <w:szCs w:val="10"/>
                <w:b w:val="1"/>
                <w:bCs w:val="1"/>
                <w:color w:val="auto"/>
              </w:rPr>
              <w:t>June 30, 2022</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December 31, 2021</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Combined</w:t>
            </w:r>
          </w:p>
        </w:tc>
        <w:tc>
          <w:tcPr>
            <w:tcW w:w="120" w:type="dxa"/>
            <w:vAlign w:val="bottom"/>
          </w:tcPr>
          <w:p>
            <w:pPr>
              <w:spacing w:after="0"/>
              <w:rPr>
                <w:sz w:val="9"/>
                <w:szCs w:val="9"/>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9"/>
                <w:szCs w:val="9"/>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1"/>
        </w:trPr>
        <w:tc>
          <w:tcPr>
            <w:tcW w:w="2260" w:type="dxa"/>
            <w:vAlign w:val="bottom"/>
          </w:tcPr>
          <w:p>
            <w:pPr>
              <w:ind w:left="940"/>
              <w:spacing w:after="0"/>
              <w:rPr>
                <w:sz w:val="20"/>
                <w:szCs w:val="20"/>
                <w:color w:val="auto"/>
              </w:rPr>
            </w:pPr>
            <w:r>
              <w:rPr>
                <w:rFonts w:ascii="Arial" w:cs="Arial" w:eastAsia="Arial" w:hAnsi="Arial"/>
                <w:sz w:val="10"/>
                <w:szCs w:val="10"/>
                <w:b w:val="1"/>
                <w:bCs w:val="1"/>
                <w:color w:val="auto"/>
              </w:rPr>
              <w:t>ASSETS</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5,275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16,710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14,541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3,948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20,067</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Marketable debt securities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8,312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1,820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10,124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7,076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1,551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8,609</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and notes receivable, net(a)</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1,637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12,417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7,553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7,394</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GM Financial receivables, net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28,612</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28,479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26,812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26,649</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16,861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16,859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12,990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12,988</w:t>
            </w:r>
          </w:p>
        </w:tc>
        <w:tc>
          <w:tcPr>
            <w:tcW w:w="0" w:type="dxa"/>
            <w:vAlign w:val="bottom"/>
          </w:tcPr>
          <w:p>
            <w:pPr>
              <w:spacing w:after="0"/>
              <w:rPr>
                <w:sz w:val="1"/>
                <w:szCs w:val="1"/>
                <w:color w:val="auto"/>
              </w:rPr>
            </w:pPr>
          </w:p>
        </w:tc>
      </w:tr>
      <w:tr>
        <w:trPr>
          <w:trHeight w:val="134"/>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current assets</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2,169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246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4,409</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6,504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2,167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4,301</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6,396</w:t>
            </w:r>
          </w:p>
        </w:tc>
        <w:tc>
          <w:tcPr>
            <w:tcW w:w="0" w:type="dxa"/>
            <w:vAlign w:val="bottom"/>
          </w:tcPr>
          <w:p>
            <w:pPr>
              <w:spacing w:after="0"/>
              <w:rPr>
                <w:sz w:val="1"/>
                <w:szCs w:val="1"/>
                <w:color w:val="auto"/>
              </w:rPr>
            </w:pPr>
          </w:p>
        </w:tc>
      </w:tr>
      <w:tr>
        <w:trPr>
          <w:trHeight w:val="133"/>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assets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48,397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39,933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91,094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44,326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3,309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35,592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82,103</w:t>
            </w:r>
          </w:p>
        </w:tc>
        <w:tc>
          <w:tcPr>
            <w:tcW w:w="0" w:type="dxa"/>
            <w:vAlign w:val="bottom"/>
          </w:tcPr>
          <w:p>
            <w:pPr>
              <w:spacing w:after="0"/>
              <w:rPr>
                <w:sz w:val="1"/>
                <w:szCs w:val="1"/>
                <w:color w:val="auto"/>
              </w:rPr>
            </w:pPr>
          </w:p>
        </w:tc>
      </w:tr>
      <w:tr>
        <w:trPr>
          <w:trHeight w:val="137"/>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GM Financial receivables, net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38,234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38,227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w w:val="99"/>
              </w:rPr>
              <w:t>Equity in net assets of nonconsolidated affiliates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7,972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1,760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9,733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7,960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1,717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9,677</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Property, net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41,706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41,943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40,858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41,115</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Goodwill and intangible assets, net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2,945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727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1,341</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5,013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3,012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5,087</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Equipment on operating leases, net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35,307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35,307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37,929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37,929</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20,935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1,001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(897)</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21,038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21,653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21,152</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assets</w:t>
            </w: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9,861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321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985</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11,161</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10,358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339</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812</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11,488</w:t>
            </w:r>
          </w:p>
        </w:tc>
        <w:tc>
          <w:tcPr>
            <w:tcW w:w="0" w:type="dxa"/>
            <w:vAlign w:val="bottom"/>
          </w:tcPr>
          <w:p>
            <w:pPr>
              <w:spacing w:after="0"/>
              <w:rPr>
                <w:sz w:val="1"/>
                <w:szCs w:val="1"/>
                <w:color w:val="auto"/>
              </w:rPr>
            </w:pPr>
          </w:p>
        </w:tc>
      </w:tr>
      <w:tr>
        <w:trPr>
          <w:trHeight w:val="124"/>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non-current assets</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83,419</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2,143</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76,874</w:t>
            </w: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162,423</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83,842</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1,180</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77,615</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162,615</w:t>
            </w:r>
          </w:p>
        </w:tc>
        <w:tc>
          <w:tcPr>
            <w:tcW w:w="0" w:type="dxa"/>
            <w:vAlign w:val="bottom"/>
          </w:tcPr>
          <w:p>
            <w:pPr>
              <w:spacing w:after="0"/>
              <w:rPr>
                <w:sz w:val="1"/>
                <w:szCs w:val="1"/>
                <w:color w:val="auto"/>
              </w:rPr>
            </w:pPr>
          </w:p>
        </w:tc>
      </w:tr>
      <w:tr>
        <w:trPr>
          <w:trHeight w:val="15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131,815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6,049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116,807</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253,517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128,167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4,489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113,207</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244,718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0"/>
                <w:szCs w:val="10"/>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Accounts payable (principally trade)(a)</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25,724</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160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658</w:t>
            </w:r>
          </w:p>
        </w:tc>
        <w:tc>
          <w:tcPr>
            <w:tcW w:w="1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(652)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25,890</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20,065</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140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855</w:t>
            </w:r>
          </w:p>
        </w:tc>
        <w:tc>
          <w:tcPr>
            <w:tcW w:w="10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(669)</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20,391</w:t>
            </w:r>
          </w:p>
        </w:tc>
        <w:tc>
          <w:tcPr>
            <w:tcW w:w="0" w:type="dxa"/>
            <w:vAlign w:val="bottom"/>
          </w:tcPr>
          <w:p>
            <w:pPr>
              <w:spacing w:after="0"/>
              <w:rPr>
                <w:sz w:val="1"/>
                <w:szCs w:val="1"/>
                <w:color w:val="auto"/>
              </w:rPr>
            </w:pPr>
          </w:p>
        </w:tc>
      </w:tr>
      <w:tr>
        <w:trPr>
          <w:trHeight w:val="100"/>
        </w:trPr>
        <w:tc>
          <w:tcPr>
            <w:tcW w:w="2260" w:type="dxa"/>
            <w:vAlign w:val="bottom"/>
            <w:shd w:val="clear" w:color="auto" w:fill="CCEEFF"/>
          </w:tcPr>
          <w:p>
            <w:pPr>
              <w:ind w:left="120"/>
              <w:spacing w:after="0" w:line="100" w:lineRule="exact"/>
              <w:rPr>
                <w:sz w:val="20"/>
                <w:szCs w:val="20"/>
                <w:color w:val="auto"/>
              </w:rPr>
            </w:pPr>
            <w:r>
              <w:rPr>
                <w:rFonts w:ascii="Arial" w:cs="Arial" w:eastAsia="Arial" w:hAnsi="Arial"/>
                <w:sz w:val="10"/>
                <w:szCs w:val="10"/>
                <w:color w:val="auto"/>
                <w:w w:val="99"/>
              </w:rPr>
              <w:t>Short-term debt and current portion of long-term</w:t>
            </w: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debt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40"/>
              <w:spacing w:after="0"/>
              <w:rPr>
                <w:sz w:val="20"/>
                <w:szCs w:val="20"/>
                <w:color w:val="auto"/>
              </w:rPr>
            </w:pPr>
            <w:r>
              <w:rPr>
                <w:rFonts w:ascii="Arial" w:cs="Arial" w:eastAsia="Arial" w:hAnsi="Arial"/>
                <w:sz w:val="10"/>
                <w:szCs w:val="10"/>
                <w:color w:val="auto"/>
              </w:rPr>
              <w:t>Automotive</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794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463</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31,644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31,644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33,257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33,257</w:t>
            </w:r>
          </w:p>
        </w:tc>
        <w:tc>
          <w:tcPr>
            <w:tcW w:w="0" w:type="dxa"/>
            <w:vAlign w:val="bottom"/>
          </w:tcPr>
          <w:p>
            <w:pPr>
              <w:spacing w:after="0"/>
              <w:rPr>
                <w:sz w:val="1"/>
                <w:szCs w:val="1"/>
                <w:color w:val="auto"/>
              </w:rPr>
            </w:pPr>
          </w:p>
        </w:tc>
      </w:tr>
      <w:tr>
        <w:trPr>
          <w:trHeight w:val="134"/>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Accrued liabilities</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15,656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965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4,903</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21,203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16,879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3,439</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20,297</w:t>
            </w:r>
          </w:p>
        </w:tc>
        <w:tc>
          <w:tcPr>
            <w:tcW w:w="0" w:type="dxa"/>
            <w:vAlign w:val="bottom"/>
          </w:tcPr>
          <w:p>
            <w:pPr>
              <w:spacing w:after="0"/>
              <w:rPr>
                <w:sz w:val="1"/>
                <w:szCs w:val="1"/>
                <w:color w:val="auto"/>
              </w:rPr>
            </w:pPr>
          </w:p>
        </w:tc>
      </w:tr>
      <w:tr>
        <w:trPr>
          <w:trHeight w:val="133"/>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liabilities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42,173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37,205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79,398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37,568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37,550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74,408</w:t>
            </w:r>
          </w:p>
        </w:tc>
        <w:tc>
          <w:tcPr>
            <w:tcW w:w="0" w:type="dxa"/>
            <w:vAlign w:val="bottom"/>
          </w:tcPr>
          <w:p>
            <w:pPr>
              <w:spacing w:after="0"/>
              <w:rPr>
                <w:sz w:val="1"/>
                <w:szCs w:val="1"/>
                <w:color w:val="auto"/>
              </w:rPr>
            </w:pPr>
          </w:p>
        </w:tc>
      </w:tr>
      <w:tr>
        <w:trPr>
          <w:trHeight w:val="137"/>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Long-term debt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40"/>
              <w:spacing w:after="0"/>
              <w:rPr>
                <w:sz w:val="20"/>
                <w:szCs w:val="20"/>
                <w:color w:val="auto"/>
              </w:rPr>
            </w:pPr>
            <w:r>
              <w:rPr>
                <w:rFonts w:ascii="Arial" w:cs="Arial" w:eastAsia="Arial" w:hAnsi="Arial"/>
                <w:sz w:val="10"/>
                <w:szCs w:val="10"/>
                <w:color w:val="auto"/>
              </w:rPr>
              <w:t>Automotive</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16,115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16,121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16,348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16,355</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61,960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61,960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59,304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59,304</w:t>
            </w:r>
          </w:p>
        </w:tc>
        <w:tc>
          <w:tcPr>
            <w:tcW w:w="0" w:type="dxa"/>
            <w:vAlign w:val="bottom"/>
          </w:tcPr>
          <w:p>
            <w:pPr>
              <w:spacing w:after="0"/>
              <w:rPr>
                <w:sz w:val="1"/>
                <w:szCs w:val="1"/>
                <w:color w:val="auto"/>
              </w:rPr>
            </w:pPr>
          </w:p>
        </w:tc>
      </w:tr>
      <w:tr>
        <w:trPr>
          <w:trHeight w:val="134"/>
        </w:trPr>
        <w:tc>
          <w:tcPr>
            <w:tcW w:w="2260" w:type="dxa"/>
            <w:vAlign w:val="bottom"/>
          </w:tcPr>
          <w:p>
            <w:pPr>
              <w:ind w:left="240"/>
              <w:spacing w:after="0"/>
              <w:rPr>
                <w:sz w:val="20"/>
                <w:szCs w:val="20"/>
                <w:color w:val="auto"/>
              </w:rPr>
            </w:pPr>
            <w:r>
              <w:rPr>
                <w:rFonts w:ascii="Arial" w:cs="Arial" w:eastAsia="Arial" w:hAnsi="Arial"/>
                <w:sz w:val="10"/>
                <w:szCs w:val="10"/>
                <w:color w:val="auto"/>
              </w:rPr>
              <w:t>Cruise</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5,629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5,743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5,743</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Pensions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7,352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7,358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8,002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8,008</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liabilities</w:t>
            </w: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11,931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462</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2,289</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14,677</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12,560</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488</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2,058</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15,085</w:t>
            </w:r>
          </w:p>
        </w:tc>
        <w:tc>
          <w:tcPr>
            <w:tcW w:w="0" w:type="dxa"/>
            <w:vAlign w:val="bottom"/>
          </w:tcPr>
          <w:p>
            <w:pPr>
              <w:spacing w:after="0"/>
              <w:rPr>
                <w:sz w:val="1"/>
                <w:szCs w:val="1"/>
                <w:color w:val="auto"/>
              </w:rPr>
            </w:pPr>
          </w:p>
        </w:tc>
      </w:tr>
      <w:tr>
        <w:trPr>
          <w:trHeight w:val="124"/>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non-current liabilities</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41,027</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476</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64,254</w:t>
            </w: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105,744</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42,654</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495</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61,368</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104,495</w:t>
            </w:r>
          </w:p>
        </w:tc>
        <w:tc>
          <w:tcPr>
            <w:tcW w:w="0" w:type="dxa"/>
            <w:vAlign w:val="bottom"/>
          </w:tcPr>
          <w:p>
            <w:pPr>
              <w:spacing w:after="0"/>
              <w:rPr>
                <w:sz w:val="1"/>
                <w:szCs w:val="1"/>
                <w:color w:val="auto"/>
              </w:rPr>
            </w:pPr>
          </w:p>
        </w:tc>
      </w:tr>
      <w:tr>
        <w:trPr>
          <w:trHeight w:val="133"/>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83,200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1,630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101,459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185,142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80,222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98,918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178,903</w:t>
            </w:r>
          </w:p>
        </w:tc>
        <w:tc>
          <w:tcPr>
            <w:tcW w:w="0" w:type="dxa"/>
            <w:vAlign w:val="bottom"/>
          </w:tcPr>
          <w:p>
            <w:pPr>
              <w:spacing w:after="0"/>
              <w:rPr>
                <w:sz w:val="1"/>
                <w:szCs w:val="1"/>
                <w:color w:val="auto"/>
              </w:rPr>
            </w:pPr>
          </w:p>
        </w:tc>
      </w:tr>
      <w:tr>
        <w:trPr>
          <w:trHeight w:val="95"/>
        </w:trPr>
        <w:tc>
          <w:tcPr>
            <w:tcW w:w="2260" w:type="dxa"/>
            <w:vAlign w:val="bottom"/>
          </w:tcPr>
          <w:p>
            <w:pPr>
              <w:ind w:left="120"/>
              <w:spacing w:after="0" w:line="96" w:lineRule="exact"/>
              <w:rPr>
                <w:sz w:val="20"/>
                <w:szCs w:val="20"/>
                <w:color w:val="auto"/>
              </w:rPr>
            </w:pPr>
            <w:r>
              <w:rPr>
                <w:rFonts w:ascii="Arial" w:cs="Arial" w:eastAsia="Arial" w:hAnsi="Arial"/>
                <w:sz w:val="10"/>
                <w:szCs w:val="10"/>
                <w:color w:val="auto"/>
              </w:rPr>
              <w:t>Noncontrolling interest - Cruise Stock Incentive</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260" w:type="dxa"/>
            <w:vAlign w:val="bottom"/>
          </w:tcPr>
          <w:p>
            <w:pPr>
              <w:ind w:left="240"/>
              <w:spacing w:after="0"/>
              <w:rPr>
                <w:sz w:val="20"/>
                <w:szCs w:val="20"/>
                <w:color w:val="auto"/>
              </w:rPr>
            </w:pPr>
            <w:r>
              <w:rPr>
                <w:rFonts w:ascii="Arial" w:cs="Arial" w:eastAsia="Arial" w:hAnsi="Arial"/>
                <w:sz w:val="10"/>
                <w:szCs w:val="10"/>
                <w:color w:val="auto"/>
              </w:rPr>
              <w:t>Awards</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Equity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80"/>
              <w:spacing w:after="0"/>
              <w:rPr>
                <w:sz w:val="20"/>
                <w:szCs w:val="20"/>
                <w:color w:val="auto"/>
              </w:rPr>
            </w:pPr>
            <w:r>
              <w:rPr>
                <w:rFonts w:ascii="Arial" w:cs="Arial" w:eastAsia="Arial" w:hAnsi="Arial"/>
                <w:sz w:val="10"/>
                <w:szCs w:val="10"/>
                <w:color w:val="auto"/>
              </w:rPr>
              <w:t>Common stock, $0.01 par value</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Additional paid-in capital(b)</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27,218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1,492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27,261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27,065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27,061</w:t>
            </w:r>
          </w:p>
        </w:tc>
        <w:tc>
          <w:tcPr>
            <w:tcW w:w="0" w:type="dxa"/>
            <w:vAlign w:val="bottom"/>
          </w:tcPr>
          <w:p>
            <w:pPr>
              <w:spacing w:after="0"/>
              <w:rPr>
                <w:sz w:val="1"/>
                <w:szCs w:val="1"/>
                <w:color w:val="auto"/>
              </w:rPr>
            </w:pPr>
          </w:p>
        </w:tc>
      </w:tr>
      <w:tr>
        <w:trPr>
          <w:trHeight w:val="134"/>
        </w:trPr>
        <w:tc>
          <w:tcPr>
            <w:tcW w:w="226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28,330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2,170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15,057</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45,554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27,920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13,985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41,937</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Accumulated other comprehensive loss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(9,269)</w:t>
            </w:r>
          </w:p>
        </w:tc>
        <w:tc>
          <w:tcPr>
            <w:tcW w:w="0" w:type="dxa"/>
            <w:vAlign w:val="bottom"/>
          </w:tcPr>
          <w:p>
            <w:pPr>
              <w:spacing w:after="0"/>
              <w:rPr>
                <w:sz w:val="1"/>
                <w:szCs w:val="1"/>
                <w:color w:val="auto"/>
              </w:rPr>
            </w:pPr>
          </w:p>
        </w:tc>
      </w:tr>
      <w:tr>
        <w:trPr>
          <w:trHeight w:val="124"/>
        </w:trPr>
        <w:tc>
          <w:tcPr>
            <w:tcW w:w="226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47,893</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2,187</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15,348</w:t>
            </w: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(1,474)</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63,954</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46,974</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14,288</w:t>
            </w: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(1,620)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59,744</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Noncontrolling interests(b)</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2,117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4,306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6,071</w:t>
            </w:r>
          </w:p>
        </w:tc>
        <w:tc>
          <w:tcPr>
            <w:tcW w:w="0" w:type="dxa"/>
            <w:vAlign w:val="bottom"/>
          </w:tcPr>
          <w:p>
            <w:pPr>
              <w:spacing w:after="0"/>
              <w:rPr>
                <w:sz w:val="1"/>
                <w:szCs w:val="1"/>
                <w:color w:val="auto"/>
              </w:rPr>
            </w:pPr>
          </w:p>
        </w:tc>
      </w:tr>
      <w:tr>
        <w:trPr>
          <w:trHeight w:val="125"/>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Total Equity</w:t>
            </w: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48,616</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4,304</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15,348</w:t>
            </w:r>
          </w:p>
        </w:tc>
        <w:tc>
          <w:tcPr>
            <w:tcW w:w="10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68,260</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47,945</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3,597</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14,289</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65,815</w:t>
            </w:r>
          </w:p>
        </w:tc>
        <w:tc>
          <w:tcPr>
            <w:tcW w:w="0" w:type="dxa"/>
            <w:vAlign w:val="bottom"/>
          </w:tcPr>
          <w:p>
            <w:pPr>
              <w:spacing w:after="0"/>
              <w:rPr>
                <w:sz w:val="1"/>
                <w:szCs w:val="1"/>
                <w:color w:val="auto"/>
              </w:rPr>
            </w:pPr>
          </w:p>
        </w:tc>
      </w:tr>
      <w:tr>
        <w:trPr>
          <w:trHeight w:val="157"/>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131,816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6,049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116,807</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253,517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128,167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4,489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113,207</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244,718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19" w:lineRule="exact"/>
        <w:rPr>
          <w:sz w:val="20"/>
          <w:szCs w:val="20"/>
          <w:color w:val="auto"/>
        </w:rPr>
      </w:pPr>
    </w:p>
    <w:p>
      <w:pPr>
        <w:ind w:left="260" w:hanging="255"/>
        <w:spacing w:after="0" w:line="267" w:lineRule="auto"/>
        <w:tabs>
          <w:tab w:leader="none" w:pos="257"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primarily include: GM Financial accounts and notes receivable from Automotive of $502 million offset by Automotive accounts payable and Automotive accounts receivable from GM Financial of $80 million offset by GM Financial accounts payable at June 30, 2022; and GM Financial accounts and notes receivable of $301 million offset by Automotive accounts payable and Automotive accounts receivable of $313 million offset by GM Financial accounts payable at December 31, 2021.</w:t>
      </w: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B and C. The preferred stock is classified as noncontrolling interests in our condensed consolidated balance sheets.</w:t>
      </w:r>
    </w:p>
    <w:p>
      <w:pPr>
        <w:spacing w:after="0" w:line="200" w:lineRule="exact"/>
        <w:rPr>
          <w:sz w:val="20"/>
          <w:szCs w:val="20"/>
          <w:color w:val="auto"/>
        </w:rPr>
      </w:pPr>
    </w:p>
    <w:p>
      <w:pPr>
        <w:spacing w:after="0" w:line="28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702" w:right="319" w:bottom="1440" w:gutter="0" w:footer="0" w:header="0"/>
        </w:sectPr>
      </w:pPr>
    </w:p>
    <w:bookmarkStart w:id="22" w:name="page23"/>
    <w:bookmarkEnd w:id="22"/>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Combining Cash Flow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25" w:lineRule="exact"/>
        <w:rPr>
          <w:sz w:val="20"/>
          <w:szCs w:val="20"/>
          <w:color w:val="auto"/>
        </w:rPr>
      </w:pPr>
    </w:p>
    <w:tbl>
      <w:tblPr>
        <w:tblLayout w:type="fixed"/>
        <w:tblInd w:w="2360" w:type="dxa"/>
        <w:tblCellMar>
          <w:top w:w="0" w:type="dxa"/>
          <w:left w:w="0" w:type="dxa"/>
          <w:bottom w:w="0" w:type="dxa"/>
          <w:right w:w="0" w:type="dxa"/>
        </w:tblCellMar>
      </w:tblPr>
      <w:tr>
        <w:trPr>
          <w:trHeight w:val="139"/>
        </w:trPr>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Six Months Ended June 30, 2022</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Six Months Ended June 30, 2021</w:t>
            </w:r>
          </w:p>
        </w:tc>
        <w:tc>
          <w:tcPr>
            <w:tcW w:w="720" w:type="dxa"/>
            <w:vAlign w:val="bottom"/>
            <w:tcBorders>
              <w:bottom w:val="single" w:sz="8" w:color="auto"/>
            </w:tcBorders>
          </w:tcPr>
          <w:p>
            <w:pPr>
              <w:spacing w:after="0"/>
              <w:rPr>
                <w:sz w:val="12"/>
                <w:szCs w:val="12"/>
                <w:color w:val="auto"/>
              </w:rPr>
            </w:pPr>
          </w:p>
        </w:tc>
      </w:tr>
      <w:tr>
        <w:trPr>
          <w:trHeight w:val="109"/>
        </w:trPr>
        <w:tc>
          <w:tcPr>
            <w:tcW w:w="840" w:type="dxa"/>
            <w:vAlign w:val="bottom"/>
          </w:tcPr>
          <w:p>
            <w:pPr>
              <w:ind w:left="160"/>
              <w:spacing w:after="0"/>
              <w:rPr>
                <w:sz w:val="20"/>
                <w:szCs w:val="20"/>
                <w:color w:val="auto"/>
              </w:rPr>
            </w:pPr>
            <w:r>
              <w:rPr>
                <w:rFonts w:ascii="Arial" w:cs="Arial" w:eastAsia="Arial" w:hAnsi="Arial"/>
                <w:sz w:val="8"/>
                <w:szCs w:val="8"/>
                <w:b w:val="1"/>
                <w:bCs w:val="1"/>
                <w:color w:val="auto"/>
              </w:rPr>
              <w:t>Automotive</w:t>
            </w:r>
          </w:p>
        </w:tc>
        <w:tc>
          <w:tcPr>
            <w:tcW w:w="560" w:type="dxa"/>
            <w:vAlign w:val="bottom"/>
          </w:tcPr>
          <w:p>
            <w:pPr>
              <w:ind w:left="220"/>
              <w:spacing w:after="0"/>
              <w:rPr>
                <w:sz w:val="20"/>
                <w:szCs w:val="20"/>
                <w:color w:val="auto"/>
              </w:rPr>
            </w:pPr>
            <w:r>
              <w:rPr>
                <w:rFonts w:ascii="Arial" w:cs="Arial" w:eastAsia="Arial" w:hAnsi="Arial"/>
                <w:sz w:val="8"/>
                <w:szCs w:val="8"/>
                <w:b w:val="1"/>
                <w:bCs w:val="1"/>
                <w:color w:val="auto"/>
              </w:rPr>
              <w:t>Cruise</w:t>
            </w:r>
          </w:p>
        </w:tc>
        <w:tc>
          <w:tcPr>
            <w:tcW w:w="2340" w:type="dxa"/>
            <w:vAlign w:val="bottom"/>
          </w:tcPr>
          <w:p>
            <w:pPr>
              <w:ind w:left="280"/>
              <w:spacing w:after="0"/>
              <w:rPr>
                <w:sz w:val="20"/>
                <w:szCs w:val="20"/>
                <w:color w:val="auto"/>
              </w:rPr>
            </w:pPr>
            <w:r>
              <w:rPr>
                <w:rFonts w:ascii="Arial" w:cs="Arial" w:eastAsia="Arial" w:hAnsi="Arial"/>
                <w:sz w:val="8"/>
                <w:szCs w:val="8"/>
                <w:b w:val="1"/>
                <w:bCs w:val="1"/>
                <w:color w:val="auto"/>
              </w:rPr>
              <w:t>GM FinancialReclassifications/Eliminations</w:t>
            </w:r>
          </w:p>
        </w:tc>
        <w:tc>
          <w:tcPr>
            <w:tcW w:w="820" w:type="dxa"/>
            <w:vAlign w:val="bottom"/>
            <w:gridSpan w:val="2"/>
          </w:tcPr>
          <w:p>
            <w:pPr>
              <w:ind w:left="140"/>
              <w:spacing w:after="0"/>
              <w:rPr>
                <w:sz w:val="20"/>
                <w:szCs w:val="20"/>
                <w:color w:val="auto"/>
              </w:rPr>
            </w:pPr>
            <w:r>
              <w:rPr>
                <w:rFonts w:ascii="Arial" w:cs="Arial" w:eastAsia="Arial" w:hAnsi="Arial"/>
                <w:sz w:val="8"/>
                <w:szCs w:val="8"/>
                <w:b w:val="1"/>
                <w:bCs w:val="1"/>
                <w:color w:val="auto"/>
              </w:rPr>
              <w:t>Combined</w:t>
            </w:r>
          </w:p>
        </w:tc>
        <w:tc>
          <w:tcPr>
            <w:tcW w:w="800" w:type="dxa"/>
            <w:vAlign w:val="bottom"/>
          </w:tcPr>
          <w:p>
            <w:pPr>
              <w:ind w:left="140"/>
              <w:spacing w:after="0"/>
              <w:rPr>
                <w:sz w:val="20"/>
                <w:szCs w:val="20"/>
                <w:color w:val="auto"/>
              </w:rPr>
            </w:pPr>
            <w:r>
              <w:rPr>
                <w:rFonts w:ascii="Arial" w:cs="Arial" w:eastAsia="Arial" w:hAnsi="Arial"/>
                <w:sz w:val="8"/>
                <w:szCs w:val="8"/>
                <w:b w:val="1"/>
                <w:bCs w:val="1"/>
                <w:color w:val="auto"/>
              </w:rPr>
              <w:t>Automotive</w:t>
            </w:r>
          </w:p>
        </w:tc>
        <w:tc>
          <w:tcPr>
            <w:tcW w:w="540" w:type="dxa"/>
            <w:vAlign w:val="bottom"/>
          </w:tcPr>
          <w:p>
            <w:pPr>
              <w:ind w:left="200"/>
              <w:spacing w:after="0"/>
              <w:rPr>
                <w:sz w:val="20"/>
                <w:szCs w:val="20"/>
                <w:color w:val="auto"/>
              </w:rPr>
            </w:pPr>
            <w:r>
              <w:rPr>
                <w:rFonts w:ascii="Arial" w:cs="Arial" w:eastAsia="Arial" w:hAnsi="Arial"/>
                <w:sz w:val="8"/>
                <w:szCs w:val="8"/>
                <w:b w:val="1"/>
                <w:bCs w:val="1"/>
                <w:color w:val="auto"/>
              </w:rPr>
              <w:t>Cruise</w:t>
            </w:r>
          </w:p>
        </w:tc>
        <w:tc>
          <w:tcPr>
            <w:tcW w:w="860" w:type="dxa"/>
            <w:vAlign w:val="bottom"/>
          </w:tcPr>
          <w:p>
            <w:pPr>
              <w:ind w:left="240"/>
              <w:spacing w:after="0"/>
              <w:rPr>
                <w:sz w:val="20"/>
                <w:szCs w:val="20"/>
                <w:color w:val="auto"/>
              </w:rPr>
            </w:pPr>
            <w:r>
              <w:rPr>
                <w:rFonts w:ascii="Arial" w:cs="Arial" w:eastAsia="Arial" w:hAnsi="Arial"/>
                <w:sz w:val="8"/>
                <w:szCs w:val="8"/>
                <w:b w:val="1"/>
                <w:bCs w:val="1"/>
                <w:color w:val="auto"/>
              </w:rPr>
              <w:t>GM Financial</w:t>
            </w:r>
          </w:p>
        </w:tc>
        <w:tc>
          <w:tcPr>
            <w:tcW w:w="1440" w:type="dxa"/>
            <w:vAlign w:val="bottom"/>
          </w:tcPr>
          <w:p>
            <w:pPr>
              <w:ind w:left="80"/>
              <w:spacing w:after="0"/>
              <w:rPr>
                <w:sz w:val="20"/>
                <w:szCs w:val="20"/>
                <w:color w:val="auto"/>
              </w:rPr>
            </w:pPr>
            <w:r>
              <w:rPr>
                <w:rFonts w:ascii="Arial" w:cs="Arial" w:eastAsia="Arial" w:hAnsi="Arial"/>
                <w:sz w:val="8"/>
                <w:szCs w:val="8"/>
                <w:b w:val="1"/>
                <w:bCs w:val="1"/>
                <w:color w:val="auto"/>
              </w:rPr>
              <w:t>Reclassifications/Eliminations</w:t>
            </w:r>
          </w:p>
        </w:tc>
        <w:tc>
          <w:tcPr>
            <w:tcW w:w="720" w:type="dxa"/>
            <w:vAlign w:val="bottom"/>
          </w:tcPr>
          <w:p>
            <w:pPr>
              <w:ind w:left="140"/>
              <w:spacing w:after="0"/>
              <w:rPr>
                <w:sz w:val="20"/>
                <w:szCs w:val="20"/>
                <w:color w:val="auto"/>
              </w:rPr>
            </w:pPr>
            <w:r>
              <w:rPr>
                <w:rFonts w:ascii="Arial" w:cs="Arial" w:eastAsia="Arial" w:hAnsi="Arial"/>
                <w:sz w:val="8"/>
                <w:szCs w:val="8"/>
                <w:b w:val="1"/>
                <w:bCs w:val="1"/>
                <w:color w:val="auto"/>
              </w:rPr>
              <w:t>Combined</w:t>
            </w:r>
          </w:p>
        </w:tc>
      </w:tr>
    </w:tbl>
    <w:p>
      <w:pPr>
        <w:spacing w:after="0" w:line="8" w:lineRule="exact"/>
        <w:rPr>
          <w:sz w:val="20"/>
          <w:szCs w:val="20"/>
          <w:color w:val="auto"/>
        </w:rPr>
      </w:pPr>
    </w:p>
    <w:p>
      <w:pPr>
        <w:sectPr>
          <w:pgSz w:w="11900" w:h="16838" w:orient="portrait"/>
          <w:cols w:equalWidth="0" w:num="1">
            <w:col w:w="11280"/>
          </w:cols>
          <w:pgMar w:left="300" w:top="702" w:right="319" w:bottom="1440" w:gutter="0" w:footer="0" w:header="0"/>
        </w:sectPr>
      </w:pPr>
    </w:p>
    <w:p>
      <w:pPr>
        <w:ind w:left="20"/>
        <w:spacing w:after="0"/>
        <w:rPr>
          <w:sz w:val="20"/>
          <w:szCs w:val="20"/>
          <w:color w:val="auto"/>
        </w:rPr>
      </w:pPr>
      <w:r>
        <w:rPr>
          <w:rFonts w:ascii="Arial" w:cs="Arial" w:eastAsia="Arial" w:hAnsi="Arial"/>
          <w:sz w:val="10"/>
          <w:szCs w:val="10"/>
          <w:b w:val="1"/>
          <w:bCs w:val="1"/>
          <w:color w:val="auto"/>
        </w:rPr>
        <w:t>Cash flows from operating activities</w:t>
      </w:r>
    </w:p>
    <w:p>
      <w:pPr>
        <w:spacing w:after="0" w:line="25" w:lineRule="exact"/>
        <w:rPr>
          <w:sz w:val="20"/>
          <w:szCs w:val="20"/>
          <w:color w:val="auto"/>
        </w:rPr>
      </w:pPr>
    </w:p>
    <w:p>
      <w:pPr>
        <w:ind w:left="100"/>
        <w:spacing w:after="0"/>
        <w:tabs>
          <w:tab w:leader="none" w:pos="2360" w:val="left"/>
        </w:tabs>
        <w:rPr>
          <w:sz w:val="20"/>
          <w:szCs w:val="20"/>
          <w:color w:val="auto"/>
        </w:rPr>
      </w:pPr>
      <w:r>
        <w:rPr>
          <w:rFonts w:ascii="Arial" w:cs="Arial" w:eastAsia="Arial" w:hAnsi="Arial"/>
          <w:sz w:val="10"/>
          <w:szCs w:val="10"/>
          <w:color w:val="auto"/>
        </w:rPr>
        <w:t>Net income (loss)</w:t>
      </w:r>
      <w:r>
        <w:rPr>
          <w:sz w:val="20"/>
          <w:szCs w:val="20"/>
          <w:color w:val="auto"/>
        </w:rPr>
        <w:tab/>
      </w:r>
      <w:r>
        <w:rPr>
          <w:rFonts w:ascii="Arial" w:cs="Arial" w:eastAsia="Arial" w:hAnsi="Arial"/>
          <w:sz w:val="7"/>
          <w:szCs w:val="7"/>
          <w:color w:val="auto"/>
        </w:rPr>
        <w:t>$</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Depreciation and impairment of Equipment on</w:t>
      </w:r>
    </w:p>
    <w:p>
      <w:pPr>
        <w:ind w:left="240"/>
        <w:spacing w:after="0"/>
        <w:rPr>
          <w:sz w:val="20"/>
          <w:szCs w:val="20"/>
          <w:color w:val="auto"/>
        </w:rPr>
      </w:pPr>
      <w:r>
        <w:rPr>
          <w:rFonts w:ascii="Arial" w:cs="Arial" w:eastAsia="Arial" w:hAnsi="Arial"/>
          <w:sz w:val="10"/>
          <w:szCs w:val="10"/>
          <w:color w:val="auto"/>
        </w:rPr>
        <w:t>operating leases, net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0"/>
          <w:szCs w:val="10"/>
          <w:color w:val="auto"/>
        </w:rPr>
        <w:t>Depreciation, amortization and impairment</w:t>
      </w:r>
    </w:p>
    <w:p>
      <w:pPr>
        <w:ind w:left="240"/>
        <w:spacing w:after="0"/>
        <w:rPr>
          <w:sz w:val="20"/>
          <w:szCs w:val="20"/>
          <w:color w:val="auto"/>
        </w:rPr>
      </w:pPr>
      <w:r>
        <w:rPr>
          <w:rFonts w:ascii="Arial" w:cs="Arial" w:eastAsia="Arial" w:hAnsi="Arial"/>
          <w:sz w:val="10"/>
          <w:szCs w:val="10"/>
          <w:color w:val="auto"/>
        </w:rPr>
        <w:t>charges on Property, net</w:t>
      </w:r>
    </w:p>
    <w:p>
      <w:pPr>
        <w:spacing w:after="0" w:line="26" w:lineRule="exact"/>
        <w:rPr>
          <w:sz w:val="20"/>
          <w:szCs w:val="20"/>
          <w:color w:val="auto"/>
        </w:rPr>
      </w:pPr>
    </w:p>
    <w:p>
      <w:pPr>
        <w:ind w:left="240" w:right="140" w:hanging="126"/>
        <w:spacing w:after="0" w:line="234" w:lineRule="auto"/>
        <w:rPr>
          <w:sz w:val="20"/>
          <w:szCs w:val="20"/>
          <w:color w:val="auto"/>
        </w:rPr>
      </w:pPr>
      <w:r>
        <w:rPr>
          <w:rFonts w:ascii="Arial" w:cs="Arial" w:eastAsia="Arial" w:hAnsi="Arial"/>
          <w:sz w:val="10"/>
          <w:szCs w:val="10"/>
          <w:color w:val="auto"/>
        </w:rPr>
        <w:t>Foreign currency remeasurement and transaction (gains) losses</w:t>
      </w:r>
    </w:p>
    <w:p>
      <w:pPr>
        <w:spacing w:after="0" w:line="20" w:lineRule="exact"/>
        <w:rPr>
          <w:sz w:val="20"/>
          <w:szCs w:val="20"/>
          <w:color w:val="auto"/>
        </w:rPr>
      </w:pPr>
    </w:p>
    <w:p>
      <w:pPr>
        <w:ind w:left="240" w:right="460" w:hanging="126"/>
        <w:spacing w:after="0" w:line="234" w:lineRule="auto"/>
        <w:rPr>
          <w:sz w:val="20"/>
          <w:szCs w:val="20"/>
          <w:color w:val="auto"/>
        </w:rPr>
      </w:pPr>
      <w:r>
        <w:rPr>
          <w:rFonts w:ascii="Arial" w:cs="Arial" w:eastAsia="Arial" w:hAnsi="Arial"/>
          <w:sz w:val="10"/>
          <w:szCs w:val="10"/>
          <w:color w:val="auto"/>
        </w:rPr>
        <w:t>Undistributed earnings of nonconsolidated affiliates, net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Pension contributions and OPEB payments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Pension and OPEB income, net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Provision (benefit) for deferred taxes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Change in other operating assets and liabilities(a)</w:t>
      </w:r>
    </w:p>
    <w:p>
      <w:pPr>
        <w:ind w:left="240"/>
        <w:spacing w:after="0"/>
        <w:rPr>
          <w:sz w:val="20"/>
          <w:szCs w:val="20"/>
          <w:color w:val="auto"/>
        </w:rPr>
      </w:pPr>
      <w:r>
        <w:rPr>
          <w:rFonts w:ascii="Arial" w:cs="Arial" w:eastAsia="Arial" w:hAnsi="Arial"/>
          <w:sz w:val="10"/>
          <w:szCs w:val="10"/>
          <w:color w:val="auto"/>
        </w:rPr>
        <w:t>(c)</w:t>
      </w:r>
    </w:p>
    <w:p>
      <w:pPr>
        <w:spacing w:after="0" w:line="24" w:lineRule="exact"/>
        <w:rPr>
          <w:sz w:val="20"/>
          <w:szCs w:val="20"/>
          <w:color w:val="auto"/>
        </w:rPr>
      </w:pPr>
    </w:p>
    <w:p>
      <w:pPr>
        <w:ind w:left="140" w:right="480" w:hanging="126"/>
        <w:spacing w:after="0" w:line="242" w:lineRule="auto"/>
        <w:rPr>
          <w:sz w:val="20"/>
          <w:szCs w:val="20"/>
          <w:color w:val="auto"/>
        </w:rPr>
      </w:pPr>
      <w:r>
        <w:rPr>
          <w:rFonts w:ascii="Arial" w:cs="Arial" w:eastAsia="Arial" w:hAnsi="Arial"/>
          <w:sz w:val="10"/>
          <w:szCs w:val="10"/>
          <w:b w:val="1"/>
          <w:bCs w:val="1"/>
          <w:color w:val="auto"/>
        </w:rPr>
        <w:t>Net cash provided by (used in) operating activities</w:t>
      </w:r>
    </w:p>
    <w:p>
      <w:pPr>
        <w:spacing w:after="0" w:line="12" w:lineRule="exact"/>
        <w:rPr>
          <w:sz w:val="20"/>
          <w:szCs w:val="20"/>
          <w:color w:val="auto"/>
        </w:rPr>
      </w:pPr>
    </w:p>
    <w:p>
      <w:pPr>
        <w:ind w:left="120" w:right="720" w:hanging="94"/>
        <w:spacing w:after="0" w:line="289" w:lineRule="auto"/>
        <w:rPr>
          <w:sz w:val="20"/>
          <w:szCs w:val="20"/>
          <w:color w:val="auto"/>
        </w:rPr>
      </w:pPr>
      <w:r>
        <w:rPr>
          <w:rFonts w:ascii="Arial" w:cs="Arial" w:eastAsia="Arial" w:hAnsi="Arial"/>
          <w:sz w:val="10"/>
          <w:szCs w:val="10"/>
          <w:b w:val="1"/>
          <w:bCs w:val="1"/>
          <w:color w:val="auto"/>
        </w:rPr>
        <w:t xml:space="preserve">Cash flows from investing activities </w:t>
      </w:r>
      <w:r>
        <w:rPr>
          <w:rFonts w:ascii="Arial" w:cs="Arial" w:eastAsia="Arial" w:hAnsi="Arial"/>
          <w:sz w:val="10"/>
          <w:szCs w:val="10"/>
          <w:color w:val="auto"/>
        </w:rPr>
        <w:t>Expenditures for property</w:t>
      </w:r>
    </w:p>
    <w:p>
      <w:pPr>
        <w:spacing w:after="0" w:line="1" w:lineRule="exact"/>
        <w:rPr>
          <w:sz w:val="20"/>
          <w:szCs w:val="20"/>
          <w:color w:val="auto"/>
        </w:rPr>
      </w:pPr>
    </w:p>
    <w:p>
      <w:pPr>
        <w:ind w:left="240" w:right="560" w:hanging="126"/>
        <w:spacing w:after="0" w:line="234" w:lineRule="auto"/>
        <w:rPr>
          <w:sz w:val="20"/>
          <w:szCs w:val="20"/>
          <w:color w:val="auto"/>
        </w:rPr>
      </w:pPr>
      <w:r>
        <w:rPr>
          <w:rFonts w:ascii="Arial" w:cs="Arial" w:eastAsia="Arial" w:hAnsi="Arial"/>
          <w:sz w:val="10"/>
          <w:szCs w:val="10"/>
          <w:color w:val="auto"/>
        </w:rPr>
        <w:t>Available-for-sale marketable securities, acquisitions</w:t>
      </w:r>
    </w:p>
    <w:p>
      <w:pPr>
        <w:spacing w:after="0" w:line="20" w:lineRule="exact"/>
        <w:rPr>
          <w:sz w:val="20"/>
          <w:szCs w:val="20"/>
          <w:color w:val="auto"/>
        </w:rPr>
      </w:pPr>
    </w:p>
    <w:p>
      <w:pPr>
        <w:ind w:left="240" w:right="560" w:hanging="126"/>
        <w:spacing w:after="0" w:line="234" w:lineRule="auto"/>
        <w:rPr>
          <w:sz w:val="20"/>
          <w:szCs w:val="20"/>
          <w:color w:val="auto"/>
        </w:rPr>
      </w:pPr>
      <w:r>
        <w:rPr>
          <w:rFonts w:ascii="Arial" w:cs="Arial" w:eastAsia="Arial" w:hAnsi="Arial"/>
          <w:sz w:val="10"/>
          <w:szCs w:val="10"/>
          <w:color w:val="auto"/>
        </w:rPr>
        <w:t>Available-for-sale marketable securities, liquidations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Purchases of finance receivables, net(a)</w:t>
      </w:r>
    </w:p>
    <w:p>
      <w:pPr>
        <w:spacing w:after="0" w:line="23" w:lineRule="exact"/>
        <w:rPr>
          <w:sz w:val="20"/>
          <w:szCs w:val="20"/>
          <w:color w:val="auto"/>
        </w:rPr>
      </w:pPr>
    </w:p>
    <w:p>
      <w:pPr>
        <w:ind w:left="240" w:right="280" w:hanging="126"/>
        <w:spacing w:after="0" w:line="234" w:lineRule="auto"/>
        <w:rPr>
          <w:sz w:val="20"/>
          <w:szCs w:val="20"/>
          <w:color w:val="auto"/>
        </w:rPr>
      </w:pPr>
      <w:r>
        <w:rPr>
          <w:rFonts w:ascii="Arial" w:cs="Arial" w:eastAsia="Arial" w:hAnsi="Arial"/>
          <w:sz w:val="10"/>
          <w:szCs w:val="10"/>
          <w:color w:val="auto"/>
        </w:rPr>
        <w:t>Principal collections and recoveries on finance receivables(a)</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Purchases of leased vehicles, net</w:t>
      </w:r>
    </w:p>
    <w:p>
      <w:pPr>
        <w:spacing w:after="0" w:line="23" w:lineRule="exact"/>
        <w:rPr>
          <w:sz w:val="20"/>
          <w:szCs w:val="20"/>
          <w:color w:val="auto"/>
        </w:rPr>
      </w:pPr>
    </w:p>
    <w:p>
      <w:pPr>
        <w:ind w:left="120" w:right="340"/>
        <w:spacing w:after="0" w:line="285" w:lineRule="auto"/>
        <w:rPr>
          <w:sz w:val="20"/>
          <w:szCs w:val="20"/>
          <w:color w:val="auto"/>
        </w:rPr>
      </w:pPr>
      <w:r>
        <w:rPr>
          <w:rFonts w:ascii="Arial" w:cs="Arial" w:eastAsia="Arial" w:hAnsi="Arial"/>
          <w:sz w:val="10"/>
          <w:szCs w:val="10"/>
          <w:color w:val="auto"/>
        </w:rPr>
        <w:t>Proceeds from termination of leased vehicles Other investing activities(b)</w:t>
      </w:r>
    </w:p>
    <w:p>
      <w:pPr>
        <w:spacing w:after="0" w:line="1" w:lineRule="exact"/>
        <w:rPr>
          <w:sz w:val="20"/>
          <w:szCs w:val="20"/>
          <w:color w:val="auto"/>
        </w:rPr>
      </w:pPr>
    </w:p>
    <w:p>
      <w:pPr>
        <w:ind w:left="140" w:right="500" w:hanging="126"/>
        <w:spacing w:after="0" w:line="242" w:lineRule="auto"/>
        <w:rPr>
          <w:sz w:val="20"/>
          <w:szCs w:val="20"/>
          <w:color w:val="auto"/>
        </w:rPr>
      </w:pPr>
      <w:r>
        <w:rPr>
          <w:rFonts w:ascii="Arial" w:cs="Arial" w:eastAsia="Arial" w:hAnsi="Arial"/>
          <w:sz w:val="10"/>
          <w:szCs w:val="10"/>
          <w:b w:val="1"/>
          <w:bCs w:val="1"/>
          <w:color w:val="auto"/>
        </w:rPr>
        <w:t>Net cash provided by (used in) investing activities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3,717</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(1,076)</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1,801</w:t>
            </w:r>
          </w:p>
        </w:tc>
        <w:tc>
          <w:tcPr>
            <w:tcW w:w="80" w:type="dxa"/>
            <w:vAlign w:val="bottom"/>
          </w:tcPr>
          <w:p>
            <w:pPr>
              <w:spacing w:after="0"/>
              <w:rPr>
                <w:sz w:val="11"/>
                <w:szCs w:val="11"/>
                <w:color w:val="auto"/>
              </w:rPr>
            </w:pPr>
          </w:p>
        </w:tc>
        <w:tc>
          <w:tcPr>
            <w:tcW w:w="50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4,449</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4,654</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(925)</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2,073</w:t>
            </w:r>
          </w:p>
        </w:tc>
        <w:tc>
          <w:tcPr>
            <w:tcW w:w="100" w:type="dxa"/>
            <w:vAlign w:val="bottom"/>
          </w:tcPr>
          <w:p>
            <w:pPr>
              <w:spacing w:after="0"/>
              <w:rPr>
                <w:sz w:val="11"/>
                <w:szCs w:val="11"/>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5,793</w:t>
            </w:r>
          </w:p>
        </w:tc>
      </w:tr>
      <w:tr>
        <w:trPr>
          <w:trHeight w:val="244"/>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2,427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2,427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3,218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3,218</w:t>
            </w:r>
          </w:p>
        </w:tc>
      </w:tr>
      <w:tr>
        <w:trPr>
          <w:trHeight w:val="244"/>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3,267</w:t>
            </w:r>
          </w:p>
        </w:tc>
        <w:tc>
          <w:tcPr>
            <w:tcW w:w="1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3,320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2,758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2,815</w:t>
            </w:r>
          </w:p>
        </w:tc>
      </w:tr>
      <w:tr>
        <w:trPr>
          <w:trHeight w:val="244"/>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76</w:t>
            </w:r>
          </w:p>
        </w:tc>
        <w:tc>
          <w:tcPr>
            <w:tcW w:w="1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(25)</w:t>
            </w:r>
          </w:p>
        </w:tc>
      </w:tr>
      <w:tr>
        <w:trPr>
          <w:trHeight w:val="244"/>
        </w:trPr>
        <w:tc>
          <w:tcPr>
            <w:tcW w:w="420" w:type="dxa"/>
            <w:vAlign w:val="bottom"/>
          </w:tcPr>
          <w:p>
            <w:pPr>
              <w:jc w:val="right"/>
              <w:ind w:right="71"/>
              <w:spacing w:after="0"/>
              <w:rPr>
                <w:sz w:val="20"/>
                <w:szCs w:val="20"/>
                <w:color w:val="auto"/>
              </w:rPr>
            </w:pPr>
            <w:r>
              <w:rPr>
                <w:rFonts w:ascii="Arial" w:cs="Arial" w:eastAsia="Arial" w:hAnsi="Arial"/>
                <w:sz w:val="10"/>
                <w:szCs w:val="10"/>
                <w:color w:val="auto"/>
              </w:rPr>
              <w:t>(123)</w:t>
            </w:r>
          </w:p>
        </w:tc>
        <w:tc>
          <w:tcPr>
            <w:tcW w:w="1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16</w:t>
            </w:r>
          </w:p>
        </w:tc>
      </w:tr>
      <w:tr>
        <w:trPr>
          <w:trHeight w:val="138"/>
        </w:trPr>
        <w:tc>
          <w:tcPr>
            <w:tcW w:w="420" w:type="dxa"/>
            <w:vAlign w:val="bottom"/>
          </w:tcPr>
          <w:p>
            <w:pPr>
              <w:jc w:val="right"/>
              <w:ind w:right="71"/>
              <w:spacing w:after="0"/>
              <w:rPr>
                <w:sz w:val="20"/>
                <w:szCs w:val="20"/>
                <w:color w:val="auto"/>
              </w:rPr>
            </w:pPr>
            <w:r>
              <w:rPr>
                <w:rFonts w:ascii="Arial" w:cs="Arial" w:eastAsia="Arial" w:hAnsi="Arial"/>
                <w:sz w:val="10"/>
                <w:szCs w:val="10"/>
                <w:color w:val="auto"/>
              </w:rPr>
              <w:t>(401)</w:t>
            </w: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(401)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(425)</w:t>
            </w:r>
          </w:p>
        </w:tc>
      </w:tr>
      <w:tr>
        <w:trPr>
          <w:trHeight w:val="138"/>
        </w:trPr>
        <w:tc>
          <w:tcPr>
            <w:tcW w:w="420" w:type="dxa"/>
            <w:vAlign w:val="bottom"/>
          </w:tcPr>
          <w:p>
            <w:pPr>
              <w:jc w:val="right"/>
              <w:ind w:right="71"/>
              <w:spacing w:after="0"/>
              <w:rPr>
                <w:sz w:val="20"/>
                <w:szCs w:val="20"/>
                <w:color w:val="auto"/>
              </w:rPr>
            </w:pPr>
            <w:r>
              <w:rPr>
                <w:rFonts w:ascii="Arial" w:cs="Arial" w:eastAsia="Arial" w:hAnsi="Arial"/>
                <w:sz w:val="10"/>
                <w:szCs w:val="10"/>
                <w:color w:val="auto"/>
              </w:rPr>
              <w:t>(602)</w:t>
            </w: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(602)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(804)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(803)</w:t>
            </w:r>
          </w:p>
        </w:tc>
      </w:tr>
      <w:tr>
        <w:trPr>
          <w:trHeight w:val="138"/>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699</w:t>
            </w: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(1,032)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411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79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1,302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316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195</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1,813</w:t>
            </w:r>
          </w:p>
        </w:tc>
      </w:tr>
      <w:tr>
        <w:trPr>
          <w:trHeight w:val="249"/>
        </w:trPr>
        <w:tc>
          <w:tcPr>
            <w:tcW w:w="420" w:type="dxa"/>
            <w:vAlign w:val="bottom"/>
          </w:tcPr>
          <w:p>
            <w:pPr>
              <w:jc w:val="right"/>
              <w:ind w:right="71"/>
              <w:spacing w:after="0"/>
              <w:rPr>
                <w:sz w:val="20"/>
                <w:szCs w:val="20"/>
                <w:color w:val="auto"/>
              </w:rPr>
            </w:pPr>
            <w:r>
              <w:rPr>
                <w:rFonts w:ascii="Arial" w:cs="Arial" w:eastAsia="Arial" w:hAnsi="Arial"/>
                <w:sz w:val="10"/>
                <w:szCs w:val="10"/>
                <w:color w:val="auto"/>
                <w:w w:val="88"/>
              </w:rPr>
              <w:t>(1,529)</w:t>
            </w:r>
          </w:p>
        </w:tc>
        <w:tc>
          <w:tcPr>
            <w:tcW w:w="1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1,305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(2,223)</w:t>
            </w: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(1,473)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(3,919)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(4,677)</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86</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(1,789)</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2,404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(3,974)</w:t>
            </w:r>
          </w:p>
        </w:tc>
      </w:tr>
      <w:tr>
        <w:trPr>
          <w:trHeight w:val="219"/>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5,104</w:t>
            </w: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2,366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5,228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(494)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3,617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2,394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8,428</w:t>
            </w:r>
          </w:p>
        </w:tc>
      </w:tr>
      <w:tr>
        <w:trPr>
          <w:trHeight w:val="276"/>
        </w:trPr>
        <w:tc>
          <w:tcPr>
            <w:tcW w:w="420" w:type="dxa"/>
            <w:vAlign w:val="bottom"/>
          </w:tcPr>
          <w:p>
            <w:pPr>
              <w:jc w:val="right"/>
              <w:ind w:right="71"/>
              <w:spacing w:after="0"/>
              <w:rPr>
                <w:sz w:val="20"/>
                <w:szCs w:val="20"/>
                <w:color w:val="auto"/>
              </w:rPr>
            </w:pPr>
            <w:r>
              <w:rPr>
                <w:rFonts w:ascii="Arial" w:cs="Arial" w:eastAsia="Arial" w:hAnsi="Arial"/>
                <w:sz w:val="10"/>
                <w:szCs w:val="10"/>
                <w:color w:val="auto"/>
                <w:w w:val="88"/>
              </w:rPr>
              <w:t>(3,717)</w:t>
            </w:r>
          </w:p>
        </w:tc>
        <w:tc>
          <w:tcPr>
            <w:tcW w:w="1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(3,829)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(2,406)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(2,451)</w:t>
            </w:r>
          </w:p>
        </w:tc>
      </w:tr>
      <w:tr>
        <w:trPr>
          <w:trHeight w:val="244"/>
        </w:trPr>
        <w:tc>
          <w:tcPr>
            <w:tcW w:w="420" w:type="dxa"/>
            <w:vAlign w:val="bottom"/>
          </w:tcPr>
          <w:p>
            <w:pPr>
              <w:jc w:val="right"/>
              <w:ind w:right="71"/>
              <w:spacing w:after="0"/>
              <w:rPr>
                <w:sz w:val="20"/>
                <w:szCs w:val="20"/>
                <w:color w:val="auto"/>
              </w:rPr>
            </w:pPr>
            <w:r>
              <w:rPr>
                <w:rFonts w:ascii="Arial" w:cs="Arial" w:eastAsia="Arial" w:hAnsi="Arial"/>
                <w:sz w:val="10"/>
                <w:szCs w:val="10"/>
                <w:color w:val="auto"/>
                <w:w w:val="88"/>
              </w:rPr>
              <w:t>(3,684)</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(1,920)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(5,605)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(2,842)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(4,090)</w:t>
            </w:r>
          </w:p>
        </w:tc>
      </w:tr>
      <w:tr>
        <w:trPr>
          <w:trHeight w:val="244"/>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2,197</w:t>
            </w:r>
          </w:p>
        </w:tc>
        <w:tc>
          <w:tcPr>
            <w:tcW w:w="1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3,838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1,677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6,926</w:t>
            </w:r>
          </w:p>
        </w:tc>
      </w:tr>
      <w:tr>
        <w:trPr>
          <w:trHeight w:val="138"/>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(18,021)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792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(17,229)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(17,478)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(17,485)</w:t>
            </w:r>
          </w:p>
        </w:tc>
      </w:tr>
      <w:tr>
        <w:trPr>
          <w:trHeight w:val="244"/>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13,763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13,660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15,620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11,946</w:t>
            </w:r>
          </w:p>
        </w:tc>
      </w:tr>
      <w:tr>
        <w:trPr>
          <w:trHeight w:val="138"/>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(6,203)</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(6,203)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(12,391)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(12,439)</w:t>
            </w:r>
          </w:p>
        </w:tc>
      </w:tr>
      <w:tr>
        <w:trPr>
          <w:trHeight w:val="138"/>
        </w:trPr>
        <w:tc>
          <w:tcPr>
            <w:tcW w:w="4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7,549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7,549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10,868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10,868</w:t>
            </w:r>
          </w:p>
        </w:tc>
      </w:tr>
      <w:tr>
        <w:trPr>
          <w:trHeight w:val="143"/>
        </w:trPr>
        <w:tc>
          <w:tcPr>
            <w:tcW w:w="420" w:type="dxa"/>
            <w:vAlign w:val="bottom"/>
          </w:tcPr>
          <w:p>
            <w:pPr>
              <w:jc w:val="right"/>
              <w:ind w:right="71"/>
              <w:spacing w:after="0"/>
              <w:rPr>
                <w:sz w:val="20"/>
                <w:szCs w:val="20"/>
                <w:color w:val="auto"/>
              </w:rPr>
            </w:pPr>
            <w:r>
              <w:rPr>
                <w:rFonts w:ascii="Arial" w:cs="Arial" w:eastAsia="Arial" w:hAnsi="Arial"/>
                <w:sz w:val="10"/>
                <w:szCs w:val="10"/>
                <w:color w:val="auto"/>
                <w:w w:val="88"/>
              </w:rPr>
              <w:t>(4,484)</w:t>
            </w:r>
          </w:p>
        </w:tc>
        <w:tc>
          <w:tcPr>
            <w:tcW w:w="18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(21)</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4,096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(409)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1,052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(285)</w:t>
            </w:r>
          </w:p>
        </w:tc>
      </w:tr>
      <w:tr>
        <w:trPr>
          <w:trHeight w:val="219"/>
        </w:trPr>
        <w:tc>
          <w:tcPr>
            <w:tcW w:w="420" w:type="dxa"/>
            <w:vAlign w:val="bottom"/>
          </w:tcPr>
          <w:p>
            <w:pPr>
              <w:jc w:val="right"/>
              <w:ind w:right="71"/>
              <w:spacing w:after="0"/>
              <w:rPr>
                <w:sz w:val="20"/>
                <w:szCs w:val="20"/>
                <w:color w:val="auto"/>
              </w:rPr>
            </w:pPr>
            <w:r>
              <w:rPr>
                <w:rFonts w:ascii="Arial" w:cs="Arial" w:eastAsia="Arial" w:hAnsi="Arial"/>
                <w:sz w:val="10"/>
                <w:szCs w:val="10"/>
                <w:color w:val="auto"/>
                <w:w w:val="88"/>
              </w:rPr>
              <w:t>(9,689)</w:t>
            </w: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(366)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(2,951)</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4,778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(8,227)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289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(1,202)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(3,408)</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(2,689)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-2418080</wp:posOffset>
            </wp:positionV>
            <wp:extent cx="7161530" cy="87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-2175510</wp:posOffset>
            </wp:positionV>
            <wp:extent cx="7161530" cy="154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-1865630</wp:posOffset>
            </wp:positionV>
            <wp:extent cx="7161530" cy="154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-1623060</wp:posOffset>
            </wp:positionV>
            <wp:extent cx="7161530" cy="87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-1447800</wp:posOffset>
            </wp:positionV>
            <wp:extent cx="7161530" cy="1543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54305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-2505710</wp:posOffset>
            </wp:positionV>
            <wp:extent cx="566610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6105" cy="698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2420" w:space="400"/>
            <w:col w:w="8460"/>
          </w:cols>
          <w:pgMar w:left="300" w:top="702" w:right="319" w:bottom="1440" w:gutter="0" w:footer="0" w:header="0"/>
          <w:type w:val="continuous"/>
        </w:sectPr>
      </w:pPr>
    </w:p>
    <w:p>
      <w:pPr>
        <w:ind w:left="120"/>
        <w:spacing w:after="0"/>
        <w:rPr>
          <w:sz w:val="20"/>
          <w:szCs w:val="20"/>
          <w:color w:val="auto"/>
        </w:rPr>
      </w:pPr>
      <w:r>
        <w:rPr>
          <w:rFonts w:ascii="Arial" w:cs="Arial" w:eastAsia="Arial" w:hAnsi="Arial"/>
          <w:sz w:val="10"/>
          <w:szCs w:val="10"/>
          <w:color w:val="auto"/>
        </w:rPr>
        <w:t>Net increase (decrease) in short-term debt</w:t>
      </w:r>
    </w:p>
    <w:p>
      <w:pPr>
        <w:spacing w:after="0" w:line="23" w:lineRule="exact"/>
        <w:rPr>
          <w:sz w:val="20"/>
          <w:szCs w:val="20"/>
          <w:color w:val="auto"/>
        </w:rPr>
      </w:pPr>
    </w:p>
    <w:p>
      <w:pPr>
        <w:ind w:left="240" w:right="80" w:hanging="126"/>
        <w:spacing w:after="0" w:line="234" w:lineRule="auto"/>
        <w:rPr>
          <w:sz w:val="20"/>
          <w:szCs w:val="20"/>
          <w:color w:val="auto"/>
        </w:rPr>
      </w:pPr>
      <w:r>
        <w:rPr>
          <w:rFonts w:ascii="Arial" w:cs="Arial" w:eastAsia="Arial" w:hAnsi="Arial"/>
          <w:sz w:val="10"/>
          <w:szCs w:val="10"/>
          <w:color w:val="auto"/>
        </w:rPr>
        <w:t>Proceeds from issuance of debt (original maturities greater than three months)</w:t>
      </w:r>
    </w:p>
    <w:p>
      <w:pPr>
        <w:spacing w:after="0" w:line="20" w:lineRule="exact"/>
        <w:rPr>
          <w:sz w:val="20"/>
          <w:szCs w:val="20"/>
          <w:color w:val="auto"/>
        </w:rPr>
      </w:pPr>
    </w:p>
    <w:p>
      <w:pPr>
        <w:ind w:left="240" w:right="120" w:hanging="126"/>
        <w:spacing w:after="0" w:line="234" w:lineRule="auto"/>
        <w:rPr>
          <w:sz w:val="20"/>
          <w:szCs w:val="20"/>
          <w:color w:val="auto"/>
        </w:rPr>
      </w:pPr>
      <w:r>
        <w:rPr>
          <w:rFonts w:ascii="Arial" w:cs="Arial" w:eastAsia="Arial" w:hAnsi="Arial"/>
          <w:sz w:val="10"/>
          <w:szCs w:val="10"/>
          <w:color w:val="auto"/>
        </w:rPr>
        <w:t>Payments on debt (original maturities greater than three months)</w:t>
      </w:r>
    </w:p>
    <w:p>
      <w:pPr>
        <w:spacing w:after="0" w:line="20" w:lineRule="exact"/>
        <w:rPr>
          <w:sz w:val="20"/>
          <w:szCs w:val="20"/>
          <w:color w:val="auto"/>
        </w:rPr>
      </w:pPr>
    </w:p>
    <w:p>
      <w:pPr>
        <w:ind w:left="240" w:right="260" w:hanging="126"/>
        <w:spacing w:after="0" w:line="234" w:lineRule="auto"/>
        <w:rPr>
          <w:sz w:val="20"/>
          <w:szCs w:val="20"/>
          <w:color w:val="auto"/>
        </w:rPr>
      </w:pPr>
      <w:r>
        <w:rPr>
          <w:rFonts w:ascii="Arial" w:cs="Arial" w:eastAsia="Arial" w:hAnsi="Arial"/>
          <w:sz w:val="10"/>
          <w:szCs w:val="10"/>
          <w:color w:val="auto"/>
        </w:rPr>
        <w:t>Issuance (redemptions) of subsidiary preferred stock(b)</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0"/>
          <w:szCs w:val="10"/>
          <w:color w:val="auto"/>
        </w:rPr>
        <w:t>Dividends paid(c)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Other financing activities</w:t>
      </w:r>
    </w:p>
    <w:p>
      <w:pPr>
        <w:spacing w:after="0" w:line="21" w:lineRule="exact"/>
        <w:rPr>
          <w:sz w:val="20"/>
          <w:szCs w:val="20"/>
          <w:color w:val="auto"/>
        </w:rPr>
      </w:pPr>
    </w:p>
    <w:p>
      <w:pPr>
        <w:ind w:left="140" w:right="500" w:hanging="126"/>
        <w:spacing w:after="0" w:line="242" w:lineRule="auto"/>
        <w:rPr>
          <w:sz w:val="20"/>
          <w:szCs w:val="20"/>
          <w:color w:val="auto"/>
        </w:rPr>
      </w:pPr>
      <w:r>
        <w:rPr>
          <w:rFonts w:ascii="Arial" w:cs="Arial" w:eastAsia="Arial" w:hAnsi="Arial"/>
          <w:sz w:val="10"/>
          <w:szCs w:val="10"/>
          <w:b w:val="1"/>
          <w:bCs w:val="1"/>
          <w:color w:val="auto"/>
        </w:rPr>
        <w:t>Net cash provided by (used in) financing activities</w:t>
      </w:r>
    </w:p>
    <w:p>
      <w:pPr>
        <w:spacing w:after="0" w:line="14" w:lineRule="exact"/>
        <w:rPr>
          <w:sz w:val="20"/>
          <w:szCs w:val="20"/>
          <w:color w:val="auto"/>
        </w:rPr>
      </w:pPr>
    </w:p>
    <w:p>
      <w:pPr>
        <w:ind w:left="240" w:right="240" w:hanging="126"/>
        <w:spacing w:after="0" w:line="234" w:lineRule="auto"/>
        <w:rPr>
          <w:sz w:val="20"/>
          <w:szCs w:val="20"/>
          <w:color w:val="auto"/>
        </w:rPr>
      </w:pPr>
      <w:r>
        <w:rPr>
          <w:rFonts w:ascii="Arial" w:cs="Arial" w:eastAsia="Arial" w:hAnsi="Arial"/>
          <w:sz w:val="10"/>
          <w:szCs w:val="10"/>
          <w:color w:val="auto"/>
        </w:rPr>
        <w:t>Effect of exchange rate changes on cash, cash equivalents and restricted cash</w:t>
      </w:r>
    </w:p>
    <w:p>
      <w:pPr>
        <w:spacing w:after="0" w:line="20" w:lineRule="exact"/>
        <w:rPr>
          <w:sz w:val="20"/>
          <w:szCs w:val="20"/>
          <w:color w:val="auto"/>
        </w:rPr>
      </w:pPr>
    </w:p>
    <w:p>
      <w:pPr>
        <w:ind w:left="240" w:right="120" w:hanging="126"/>
        <w:spacing w:after="0" w:line="234" w:lineRule="auto"/>
        <w:rPr>
          <w:sz w:val="20"/>
          <w:szCs w:val="20"/>
          <w:color w:val="auto"/>
        </w:rPr>
      </w:pPr>
      <w:r>
        <w:rPr>
          <w:rFonts w:ascii="Arial" w:cs="Arial" w:eastAsia="Arial" w:hAnsi="Arial"/>
          <w:sz w:val="10"/>
          <w:szCs w:val="10"/>
          <w:color w:val="auto"/>
        </w:rPr>
        <w:t>Net increase (decrease) in cash, cash equivalents and restricted cash</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Cash, cash equivalents and restricted cash at</w:t>
      </w:r>
    </w:p>
    <w:tbl>
      <w:tblPr>
        <w:tblLayout w:type="fixed"/>
        <w:tblInd w:w="0" w:type="dxa"/>
        <w:tblCellMar>
          <w:top w:w="0" w:type="dxa"/>
          <w:left w:w="0" w:type="dxa"/>
          <w:bottom w:w="0" w:type="dxa"/>
          <w:right w:w="0" w:type="dxa"/>
        </w:tblCellMar>
      </w:tblPr>
      <w:tr>
        <w:trPr>
          <w:trHeight w:val="130"/>
        </w:trPr>
        <w:tc>
          <w:tcPr>
            <w:tcW w:w="2260" w:type="dxa"/>
            <w:vAlign w:val="bottom"/>
          </w:tcPr>
          <w:p>
            <w:pPr>
              <w:ind w:left="140"/>
              <w:spacing w:after="0"/>
              <w:rPr>
                <w:sz w:val="20"/>
                <w:szCs w:val="20"/>
                <w:color w:val="auto"/>
              </w:rPr>
            </w:pPr>
            <w:r>
              <w:rPr>
                <w:rFonts w:ascii="Arial" w:cs="Arial" w:eastAsia="Arial" w:hAnsi="Arial"/>
                <w:sz w:val="10"/>
                <w:szCs w:val="10"/>
                <w:color w:val="auto"/>
              </w:rPr>
              <w:t>beginning of period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60" w:type="dxa"/>
            <w:vAlign w:val="bottom"/>
          </w:tcPr>
          <w:p>
            <w:pPr>
              <w:ind w:left="20"/>
              <w:spacing w:after="0" w:line="109" w:lineRule="exact"/>
              <w:rPr>
                <w:sz w:val="20"/>
                <w:szCs w:val="20"/>
                <w:color w:val="auto"/>
              </w:rPr>
            </w:pPr>
            <w:r>
              <w:rPr>
                <w:rFonts w:ascii="Arial" w:cs="Arial" w:eastAsia="Arial" w:hAnsi="Arial"/>
                <w:sz w:val="10"/>
                <w:szCs w:val="10"/>
                <w:b w:val="1"/>
                <w:bCs w:val="1"/>
                <w:color w:val="auto"/>
              </w:rPr>
              <w:t>Cash, cash equivalents and restricted cash at</w:t>
            </w:r>
          </w:p>
        </w:tc>
        <w:tc>
          <w:tcPr>
            <w:tcW w:w="1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260" w:type="dxa"/>
            <w:vAlign w:val="bottom"/>
          </w:tcPr>
          <w:p>
            <w:pPr>
              <w:ind w:left="140"/>
              <w:spacing w:after="0"/>
              <w:rPr>
                <w:sz w:val="20"/>
                <w:szCs w:val="20"/>
                <w:color w:val="auto"/>
              </w:rPr>
            </w:pPr>
            <w:r>
              <w:rPr>
                <w:rFonts w:ascii="Arial" w:cs="Arial" w:eastAsia="Arial" w:hAnsi="Arial"/>
                <w:sz w:val="10"/>
                <w:szCs w:val="10"/>
                <w:b w:val="1"/>
                <w:bCs w:val="1"/>
                <w:color w:val="auto"/>
              </w:rPr>
              <w:t>end of period</w:t>
            </w: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260" w:type="dxa"/>
            <w:vAlign w:val="bottom"/>
          </w:tcPr>
          <w:p>
            <w:pPr>
              <w:jc w:val="right"/>
              <w:ind w:right="1792"/>
              <w:spacing w:after="0"/>
              <w:rPr>
                <w:sz w:val="20"/>
                <w:szCs w:val="20"/>
                <w:color w:val="auto"/>
              </w:rPr>
            </w:pPr>
            <w:r>
              <w:rPr>
                <w:rFonts w:ascii="Arial" w:cs="Arial" w:eastAsia="Arial" w:hAnsi="Arial"/>
                <w:sz w:val="8"/>
                <w:szCs w:val="8"/>
                <w:color w:val="auto"/>
                <w:w w:val="99"/>
              </w:rPr>
              <w:t>_________</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440" w:type="dxa"/>
            <w:vAlign w:val="bottom"/>
          </w:tcPr>
          <w:p>
            <w:pPr>
              <w:jc w:val="right"/>
              <w:ind w:right="91"/>
              <w:spacing w:after="0"/>
              <w:rPr>
                <w:sz w:val="20"/>
                <w:szCs w:val="20"/>
                <w:color w:val="auto"/>
              </w:rPr>
            </w:pPr>
            <w:r>
              <w:rPr>
                <w:rFonts w:ascii="Arial" w:cs="Arial" w:eastAsia="Arial" w:hAnsi="Arial"/>
                <w:sz w:val="10"/>
                <w:szCs w:val="10"/>
                <w:color w:val="auto"/>
              </w:rPr>
              <w:t>16</w:t>
            </w:r>
          </w:p>
        </w:tc>
        <w:tc>
          <w:tcPr>
            <w:tcW w:w="20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999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1,015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2,369</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2,365</w:t>
            </w:r>
          </w:p>
        </w:tc>
      </w:tr>
      <w:tr>
        <w:trPr>
          <w:trHeight w:val="244"/>
        </w:trPr>
        <w:tc>
          <w:tcPr>
            <w:tcW w:w="440" w:type="dxa"/>
            <w:vAlign w:val="bottom"/>
          </w:tcPr>
          <w:p>
            <w:pPr>
              <w:jc w:val="right"/>
              <w:ind w:right="91"/>
              <w:spacing w:after="0"/>
              <w:rPr>
                <w:sz w:val="20"/>
                <w:szCs w:val="20"/>
                <w:color w:val="auto"/>
              </w:rPr>
            </w:pPr>
            <w:r>
              <w:rPr>
                <w:rFonts w:ascii="Arial" w:cs="Arial" w:eastAsia="Arial" w:hAnsi="Arial"/>
                <w:sz w:val="10"/>
                <w:szCs w:val="10"/>
                <w:color w:val="auto"/>
              </w:rPr>
              <w:t>1</w:t>
            </w:r>
          </w:p>
        </w:tc>
        <w:tc>
          <w:tcPr>
            <w:tcW w:w="20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23,594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23,596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25,690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25,955</w:t>
            </w:r>
          </w:p>
        </w:tc>
      </w:tr>
      <w:tr>
        <w:trPr>
          <w:trHeight w:val="244"/>
        </w:trPr>
        <w:tc>
          <w:tcPr>
            <w:tcW w:w="440" w:type="dxa"/>
            <w:vAlign w:val="bottom"/>
          </w:tcPr>
          <w:p>
            <w:pPr>
              <w:jc w:val="right"/>
              <w:ind w:right="71"/>
              <w:spacing w:after="0"/>
              <w:rPr>
                <w:sz w:val="20"/>
                <w:szCs w:val="20"/>
                <w:color w:val="auto"/>
              </w:rPr>
            </w:pPr>
            <w:r>
              <w:rPr>
                <w:rFonts w:ascii="Arial" w:cs="Arial" w:eastAsia="Arial" w:hAnsi="Arial"/>
                <w:sz w:val="10"/>
                <w:szCs w:val="10"/>
                <w:color w:val="auto"/>
              </w:rPr>
              <w:t>(68)</w:t>
            </w:r>
          </w:p>
        </w:tc>
        <w:tc>
          <w:tcPr>
            <w:tcW w:w="20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(22,192)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(22,264)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(26,499)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(27,035)</w:t>
            </w:r>
          </w:p>
        </w:tc>
      </w:tr>
      <w:tr>
        <w:trPr>
          <w:trHeight w:val="244"/>
        </w:trPr>
        <w:tc>
          <w:tcPr>
            <w:tcW w:w="4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(4,087)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2,736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1,736</w:t>
            </w:r>
          </w:p>
        </w:tc>
      </w:tr>
      <w:tr>
        <w:trPr>
          <w:trHeight w:val="138"/>
        </w:trPr>
        <w:tc>
          <w:tcPr>
            <w:tcW w:w="440" w:type="dxa"/>
            <w:vAlign w:val="bottom"/>
          </w:tcPr>
          <w:p>
            <w:pPr>
              <w:jc w:val="right"/>
              <w:ind w:right="71"/>
              <w:spacing w:after="0"/>
              <w:rPr>
                <w:sz w:val="20"/>
                <w:szCs w:val="20"/>
                <w:color w:val="auto"/>
              </w:rPr>
            </w:pPr>
            <w:r>
              <w:rPr>
                <w:rFonts w:ascii="Arial" w:cs="Arial" w:eastAsia="Arial" w:hAnsi="Arial"/>
                <w:sz w:val="10"/>
                <w:szCs w:val="10"/>
                <w:color w:val="auto"/>
              </w:rPr>
              <w:t>(8)</w:t>
            </w: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(53)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(809)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790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(1,260)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(94)</w:t>
            </w:r>
          </w:p>
        </w:tc>
      </w:tr>
      <w:tr>
        <w:trPr>
          <w:trHeight w:val="143"/>
        </w:trPr>
        <w:tc>
          <w:tcPr>
            <w:tcW w:w="440" w:type="dxa"/>
            <w:vAlign w:val="bottom"/>
          </w:tcPr>
          <w:p>
            <w:pPr>
              <w:jc w:val="right"/>
              <w:ind w:right="71"/>
              <w:spacing w:after="0"/>
              <w:rPr>
                <w:sz w:val="20"/>
                <w:szCs w:val="20"/>
                <w:color w:val="auto"/>
              </w:rPr>
            </w:pPr>
            <w:r>
              <w:rPr>
                <w:rFonts w:ascii="Arial" w:cs="Arial" w:eastAsia="Arial" w:hAnsi="Arial"/>
                <w:sz w:val="10"/>
                <w:szCs w:val="10"/>
                <w:color w:val="auto"/>
              </w:rPr>
              <w:t>(303)</w:t>
            </w: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w:t>
            </w: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(901)</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w:t>
            </w:r>
          </w:p>
        </w:tc>
      </w:tr>
      <w:tr>
        <w:trPr>
          <w:trHeight w:val="219"/>
        </w:trPr>
        <w:tc>
          <w:tcPr>
            <w:tcW w:w="440" w:type="dxa"/>
            <w:vAlign w:val="bottom"/>
          </w:tcPr>
          <w:p>
            <w:pPr>
              <w:jc w:val="right"/>
              <w:ind w:right="71"/>
              <w:spacing w:after="0"/>
              <w:rPr>
                <w:sz w:val="20"/>
                <w:szCs w:val="20"/>
                <w:color w:val="auto"/>
              </w:rPr>
            </w:pPr>
            <w:r>
              <w:rPr>
                <w:rFonts w:ascii="Arial" w:cs="Arial" w:eastAsia="Arial" w:hAnsi="Arial"/>
                <w:sz w:val="10"/>
                <w:szCs w:val="10"/>
                <w:color w:val="auto"/>
              </w:rPr>
              <w:t>(362)</w:t>
            </w:r>
          </w:p>
        </w:tc>
        <w:tc>
          <w:tcPr>
            <w:tcW w:w="200" w:type="dxa"/>
            <w:vAlign w:val="bottom"/>
          </w:tcPr>
          <w:p>
            <w:pPr>
              <w:spacing w:after="0"/>
              <w:rPr>
                <w:sz w:val="19"/>
                <w:szCs w:val="19"/>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1,508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2,714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2,837</w:t>
            </w:r>
          </w:p>
        </w:tc>
      </w:tr>
      <w:tr>
        <w:trPr>
          <w:trHeight w:val="249"/>
        </w:trPr>
        <w:tc>
          <w:tcPr>
            <w:tcW w:w="440" w:type="dxa"/>
            <w:vAlign w:val="bottom"/>
          </w:tcPr>
          <w:p>
            <w:pPr>
              <w:jc w:val="right"/>
              <w:ind w:right="71"/>
              <w:spacing w:after="0"/>
              <w:rPr>
                <w:sz w:val="20"/>
                <w:szCs w:val="20"/>
                <w:color w:val="auto"/>
              </w:rPr>
            </w:pPr>
            <w:r>
              <w:rPr>
                <w:rFonts w:ascii="Arial" w:cs="Arial" w:eastAsia="Arial" w:hAnsi="Arial"/>
                <w:sz w:val="10"/>
                <w:szCs w:val="10"/>
                <w:color w:val="auto"/>
              </w:rPr>
              <w:t>(80)</w:t>
            </w: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w:t>
            </w:r>
          </w:p>
        </w:tc>
      </w:tr>
      <w:tr>
        <w:trPr>
          <w:trHeight w:val="219"/>
        </w:trPr>
        <w:tc>
          <w:tcPr>
            <w:tcW w:w="440" w:type="dxa"/>
            <w:vAlign w:val="bottom"/>
          </w:tcPr>
          <w:p>
            <w:pPr>
              <w:jc w:val="right"/>
              <w:ind w:right="71"/>
              <w:spacing w:after="0"/>
              <w:rPr>
                <w:sz w:val="20"/>
                <w:szCs w:val="20"/>
                <w:color w:val="auto"/>
              </w:rPr>
            </w:pPr>
            <w:r>
              <w:rPr>
                <w:rFonts w:ascii="Arial" w:cs="Arial" w:eastAsia="Arial" w:hAnsi="Arial"/>
                <w:sz w:val="10"/>
                <w:szCs w:val="10"/>
                <w:color w:val="auto"/>
                <w:w w:val="94"/>
              </w:rPr>
              <w:t>(5,025)</w:t>
            </w:r>
          </w:p>
        </w:tc>
        <w:tc>
          <w:tcPr>
            <w:tcW w:w="200" w:type="dxa"/>
            <w:vAlign w:val="bottom"/>
          </w:tcPr>
          <w:p>
            <w:pPr>
              <w:spacing w:after="0"/>
              <w:rPr>
                <w:sz w:val="19"/>
                <w:szCs w:val="19"/>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936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(3,827)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1,018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404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4,248</w:t>
            </w:r>
          </w:p>
        </w:tc>
      </w:tr>
      <w:tr>
        <w:trPr>
          <w:trHeight w:val="249"/>
        </w:trPr>
        <w:tc>
          <w:tcPr>
            <w:tcW w:w="440" w:type="dxa"/>
            <w:vAlign w:val="bottom"/>
          </w:tcPr>
          <w:p>
            <w:pPr>
              <w:jc w:val="right"/>
              <w:ind w:right="91"/>
              <w:spacing w:after="0"/>
              <w:rPr>
                <w:sz w:val="20"/>
                <w:szCs w:val="20"/>
                <w:color w:val="auto"/>
              </w:rPr>
            </w:pPr>
            <w:r>
              <w:rPr>
                <w:rFonts w:ascii="Arial" w:cs="Arial" w:eastAsia="Arial" w:hAnsi="Arial"/>
                <w:sz w:val="10"/>
                <w:szCs w:val="10"/>
                <w:color w:val="auto"/>
                <w:w w:val="91"/>
              </w:rPr>
              <w:t>14,774</w:t>
            </w: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1,584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7,183</w:t>
            </w: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23,542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14,225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766</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8,126</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23,117</w:t>
            </w:r>
          </w:p>
        </w:tc>
      </w:tr>
      <w:tr>
        <w:trPr>
          <w:trHeight w:val="203"/>
        </w:trPr>
        <w:tc>
          <w:tcPr>
            <w:tcW w:w="440" w:type="dxa"/>
            <w:vAlign w:val="bottom"/>
          </w:tcPr>
          <w:p>
            <w:pPr>
              <w:jc w:val="right"/>
              <w:ind w:right="91"/>
              <w:spacing w:after="0"/>
              <w:rPr>
                <w:sz w:val="20"/>
                <w:szCs w:val="20"/>
                <w:color w:val="auto"/>
              </w:rPr>
            </w:pPr>
            <w:r>
              <w:rPr>
                <w:rFonts w:ascii="Arial" w:cs="Arial" w:eastAsia="Arial" w:hAnsi="Arial"/>
                <w:sz w:val="10"/>
                <w:szCs w:val="10"/>
                <w:color w:val="auto"/>
              </w:rPr>
              <w:t>9,749</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1,847</w:t>
            </w:r>
          </w:p>
        </w:tc>
        <w:tc>
          <w:tcPr>
            <w:tcW w:w="100" w:type="dxa"/>
            <w:vAlign w:val="bottom"/>
          </w:tcPr>
          <w:p>
            <w:pPr>
              <w:spacing w:after="0"/>
              <w:rPr>
                <w:sz w:val="17"/>
                <w:szCs w:val="17"/>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8,119</w:t>
            </w:r>
          </w:p>
        </w:tc>
        <w:tc>
          <w:tcPr>
            <w:tcW w:w="80" w:type="dxa"/>
            <w:vAlign w:val="bottom"/>
          </w:tcPr>
          <w:p>
            <w:pPr>
              <w:spacing w:after="0"/>
              <w:rPr>
                <w:sz w:val="17"/>
                <w:szCs w:val="17"/>
                <w:color w:val="auto"/>
              </w:rPr>
            </w:pPr>
          </w:p>
        </w:tc>
        <w:tc>
          <w:tcPr>
            <w:tcW w:w="50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060" w:type="dxa"/>
            <w:vAlign w:val="bottom"/>
            <w:gridSpan w:val="3"/>
          </w:tcPr>
          <w:p>
            <w:pPr>
              <w:ind w:left="620"/>
              <w:spacing w:after="0"/>
              <w:rPr>
                <w:sz w:val="20"/>
                <w:szCs w:val="20"/>
                <w:color w:val="auto"/>
              </w:rPr>
            </w:pPr>
            <w:r>
              <w:rPr>
                <w:rFonts w:ascii="Arial" w:cs="Arial" w:eastAsia="Arial" w:hAnsi="Arial"/>
                <w:sz w:val="10"/>
                <w:szCs w:val="10"/>
                <w:color w:val="auto"/>
              </w:rPr>
              <w:t>—   $</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19,715</w:t>
            </w:r>
          </w:p>
        </w:tc>
        <w:tc>
          <w:tcPr>
            <w:tcW w:w="100" w:type="dxa"/>
            <w:vAlign w:val="bottom"/>
          </w:tcPr>
          <w:p>
            <w:pPr>
              <w:spacing w:after="0"/>
              <w:rPr>
                <w:sz w:val="17"/>
                <w:szCs w:val="17"/>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17,051</w:t>
            </w:r>
          </w:p>
        </w:tc>
        <w:tc>
          <w:tcPr>
            <w:tcW w:w="100" w:type="dxa"/>
            <w:vAlign w:val="bottom"/>
          </w:tcPr>
          <w:p>
            <w:pPr>
              <w:spacing w:after="0"/>
              <w:rPr>
                <w:sz w:val="17"/>
                <w:szCs w:val="17"/>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11"/>
              <w:spacing w:after="0"/>
              <w:rPr>
                <w:sz w:val="20"/>
                <w:szCs w:val="20"/>
                <w:color w:val="auto"/>
              </w:rPr>
            </w:pPr>
            <w:r>
              <w:rPr>
                <w:rFonts w:ascii="Arial" w:cs="Arial" w:eastAsia="Arial" w:hAnsi="Arial"/>
                <w:sz w:val="10"/>
                <w:szCs w:val="10"/>
                <w:color w:val="auto"/>
              </w:rPr>
              <w:t>1,784</w:t>
            </w:r>
          </w:p>
        </w:tc>
        <w:tc>
          <w:tcPr>
            <w:tcW w:w="80" w:type="dxa"/>
            <w:vAlign w:val="bottom"/>
          </w:tcPr>
          <w:p>
            <w:pPr>
              <w:spacing w:after="0"/>
              <w:rPr>
                <w:sz w:val="17"/>
                <w:szCs w:val="17"/>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8,530</w:t>
            </w:r>
          </w:p>
        </w:tc>
        <w:tc>
          <w:tcPr>
            <w:tcW w:w="100" w:type="dxa"/>
            <w:vAlign w:val="bottom"/>
          </w:tcPr>
          <w:p>
            <w:pPr>
              <w:spacing w:after="0"/>
              <w:rPr>
                <w:sz w:val="17"/>
                <w:szCs w:val="17"/>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1080" w:type="dxa"/>
            <w:vAlign w:val="bottom"/>
            <w:gridSpan w:val="3"/>
          </w:tcPr>
          <w:p>
            <w:pPr>
              <w:ind w:left="620"/>
              <w:spacing w:after="0"/>
              <w:rPr>
                <w:sz w:val="20"/>
                <w:szCs w:val="20"/>
                <w:color w:val="auto"/>
              </w:rPr>
            </w:pPr>
            <w:r>
              <w:rPr>
                <w:rFonts w:ascii="Arial" w:cs="Arial" w:eastAsia="Arial" w:hAnsi="Arial"/>
                <w:sz w:val="10"/>
                <w:szCs w:val="10"/>
                <w:color w:val="auto"/>
              </w:rPr>
              <w:t>—   $</w:t>
            </w:r>
          </w:p>
        </w:tc>
        <w:tc>
          <w:tcPr>
            <w:tcW w:w="520" w:type="dxa"/>
            <w:vAlign w:val="bottom"/>
          </w:tcPr>
          <w:p>
            <w:pPr>
              <w:jc w:val="right"/>
              <w:spacing w:after="0"/>
              <w:rPr>
                <w:sz w:val="20"/>
                <w:szCs w:val="20"/>
                <w:color w:val="auto"/>
              </w:rPr>
            </w:pPr>
            <w:r>
              <w:rPr>
                <w:rFonts w:ascii="Arial" w:cs="Arial" w:eastAsia="Arial" w:hAnsi="Arial"/>
                <w:sz w:val="10"/>
                <w:szCs w:val="10"/>
                <w:color w:val="auto"/>
              </w:rPr>
              <w:t>27,365</w:t>
            </w:r>
          </w:p>
        </w:tc>
      </w:tr>
      <w:tr>
        <w:trPr>
          <w:trHeight w:val="20"/>
        </w:trPr>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-1427480</wp:posOffset>
            </wp:positionV>
            <wp:extent cx="7161530" cy="154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-1117600</wp:posOffset>
            </wp:positionV>
            <wp:extent cx="7161530" cy="154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-875030</wp:posOffset>
            </wp:positionV>
            <wp:extent cx="7161530" cy="875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87566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2420" w:space="380"/>
            <w:col w:w="8480"/>
          </w:cols>
          <w:pgMar w:left="300" w:top="702" w:right="319" w:bottom="1440" w:gutter="0" w:footer="0" w:header="0"/>
          <w:type w:val="continuous"/>
        </w:sectPr>
      </w:pPr>
    </w:p>
    <w:p>
      <w:pPr>
        <w:ind w:left="260" w:hanging="255"/>
        <w:spacing w:after="0" w:line="244" w:lineRule="auto"/>
        <w:tabs>
          <w:tab w:leader="none" w:pos="253" w:val="left"/>
        </w:tabs>
        <w:numPr>
          <w:ilvl w:val="0"/>
          <w:numId w:val="10"/>
        </w:numPr>
        <w:rPr>
          <w:rFonts w:ascii="Arial" w:cs="Arial" w:eastAsia="Arial" w:hAnsi="Arial"/>
          <w:sz w:val="10"/>
          <w:szCs w:val="10"/>
          <w:color w:val="auto"/>
        </w:rPr>
      </w:pPr>
      <w:r>
        <w:rPr>
          <w:rFonts w:ascii="Arial" w:cs="Arial" w:eastAsia="Arial" w:hAnsi="Arial"/>
          <w:sz w:val="10"/>
          <w:szCs w:val="10"/>
          <w:color w:val="auto"/>
        </w:rPr>
        <w:t>Includes reclassifications of $0.6 billion and $3.5 billion in the six months ended June 30, 2022 and 2021 for purchases/collections of wholesale finance receivables resulting from vehicles sold by GM to dealers that have arranged their inventory floor plan financing through GM Financial.</w:t>
      </w:r>
    </w:p>
    <w:p>
      <w:pPr>
        <w:ind w:left="260" w:hanging="255"/>
        <w:spacing w:after="0" w:line="254" w:lineRule="auto"/>
        <w:tabs>
          <w:tab w:leader="none" w:pos="253" w:val="left"/>
        </w:tabs>
        <w:numPr>
          <w:ilvl w:val="0"/>
          <w:numId w:val="10"/>
        </w:numPr>
        <w:rPr>
          <w:rFonts w:ascii="Arial" w:cs="Arial" w:eastAsia="Arial" w:hAnsi="Arial"/>
          <w:sz w:val="10"/>
          <w:szCs w:val="10"/>
          <w:color w:val="auto"/>
        </w:rPr>
      </w:pPr>
      <w:r>
        <w:rPr>
          <w:rFonts w:ascii="Arial" w:cs="Arial" w:eastAsia="Arial" w:hAnsi="Arial"/>
          <w:sz w:val="10"/>
          <w:szCs w:val="10"/>
          <w:color w:val="auto"/>
        </w:rPr>
        <w:t>Includes reclassification of $2.1 billion redemption of Cruise preferred shares from SoftBank in the six months ended June 30, 2022. Eliminations include $2.0 billion and $1.0 billion in the six months ended June 30, 2022 and 2021 for Automotive investment in Cruise.</w:t>
      </w:r>
    </w:p>
    <w:p>
      <w:pPr>
        <w:ind w:left="260" w:hanging="255"/>
        <w:spacing w:after="0"/>
        <w:tabs>
          <w:tab w:leader="none" w:pos="2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Eliminations include dividends issued by GM Financial to Automotive.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sectPr>
      <w:pgSz w:w="11900" w:h="16838" w:orient="portrait"/>
      <w:cols w:equalWidth="0" w:num="1">
        <w:col w:w="11280"/>
      </w:cols>
      <w:pgMar w:left="300" w:top="70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2022-07-26T06:33:03Z</dcterms:created>
  <dcterms:modified xsi:type="dcterms:W3CDTF">2022-07-26T06:33:03Z</dcterms:modified>
</cp:coreProperties>
</file>