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 2025</w:t>
      </w:r>
    </w:p>
    <w:p>
      <w:pPr>
        <w:spacing w:after="0" w:line="3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GENERAL MOTORS COMPANY</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ectPr>
          <w:pgSz w:w="11900" w:h="16838" w:orient="portrait"/>
          <w:cols w:equalWidth="0" w:num="1">
            <w:col w:w="11100"/>
          </w:cols>
          <w:pgMar w:left="320" w:top="1440" w:right="479" w:bottom="1440" w:gutter="0" w:footer="0" w:header="0"/>
        </w:sectPr>
      </w:pPr>
    </w:p>
    <w:p>
      <w:pPr>
        <w:spacing w:after="0" w:line="1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7"/>
          <w:szCs w:val="17"/>
          <w:b w:val="1"/>
          <w:bCs w:val="1"/>
          <w:color w:val="auto"/>
        </w:rPr>
        <w:t>001-34960</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27-0756180</w:t>
      </w:r>
    </w:p>
    <w:p>
      <w:pPr>
        <w:spacing w:after="0" w:line="67" w:lineRule="exact"/>
        <w:rPr>
          <w:sz w:val="24"/>
          <w:szCs w:val="24"/>
          <w:color w:val="auto"/>
        </w:rPr>
      </w:pPr>
    </w:p>
    <w:p>
      <w:pPr>
        <w:sectPr>
          <w:pgSz w:w="11900" w:h="16838" w:orient="portrait"/>
          <w:cols w:equalWidth="0" w:num="3">
            <w:col w:w="4660" w:space="720"/>
            <w:col w:w="2820" w:space="720"/>
            <w:col w:w="2180"/>
          </w:cols>
          <w:pgMar w:left="320" w:top="1440" w:right="47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9" w:lineRule="exact"/>
        <w:rPr>
          <w:sz w:val="24"/>
          <w:szCs w:val="24"/>
          <w:color w:val="auto"/>
        </w:rPr>
      </w:pPr>
    </w:p>
    <w:p>
      <w:pPr>
        <w:sectPr>
          <w:pgSz w:w="11900" w:h="16838" w:orient="portrait"/>
          <w:cols w:equalWidth="0" w:num="3">
            <w:col w:w="4060" w:space="720"/>
            <w:col w:w="2560" w:space="720"/>
            <w:col w:w="3040"/>
          </w:cols>
          <w:pgMar w:left="320" w:top="1440" w:right="479" w:bottom="1440" w:gutter="0" w:footer="0" w:header="0"/>
          <w:type w:val="continuous"/>
        </w:sectPr>
      </w:pPr>
    </w:p>
    <w:p>
      <w:pPr>
        <w:ind w:left="780"/>
        <w:spacing w:after="0"/>
        <w:tabs>
          <w:tab w:leader="none" w:pos="2800" w:val="left"/>
          <w:tab w:leader="none" w:pos="3580" w:val="left"/>
        </w:tabs>
        <w:rPr>
          <w:sz w:val="20"/>
          <w:szCs w:val="20"/>
          <w:color w:val="auto"/>
        </w:rPr>
      </w:pPr>
      <w:r>
        <w:rPr>
          <w:rFonts w:ascii="Times New Roman" w:cs="Times New Roman" w:eastAsia="Times New Roman" w:hAnsi="Times New Roman"/>
          <w:sz w:val="18"/>
          <w:szCs w:val="18"/>
          <w:b w:val="1"/>
          <w:bCs w:val="1"/>
          <w:color w:val="auto"/>
        </w:rPr>
        <w:t>300 Renaissance Center,</w:t>
        <w:tab/>
        <w:t>Detroit,</w:t>
      </w:r>
      <w:r>
        <w:rPr>
          <w:sz w:val="20"/>
          <w:szCs w:val="20"/>
          <w:color w:val="auto"/>
        </w:rPr>
        <w:tab/>
      </w:r>
      <w:r>
        <w:rPr>
          <w:rFonts w:ascii="Times New Roman" w:cs="Times New Roman" w:eastAsia="Times New Roman" w:hAnsi="Times New Roman"/>
          <w:sz w:val="17"/>
          <w:szCs w:val="17"/>
          <w:b w:val="1"/>
          <w:bCs w:val="1"/>
          <w:color w:val="auto"/>
        </w:rPr>
        <w:t>Michigan</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60"/>
        <w:spacing w:after="0"/>
        <w:rPr>
          <w:sz w:val="20"/>
          <w:szCs w:val="20"/>
          <w:color w:val="auto"/>
        </w:rPr>
      </w:pPr>
      <w:r>
        <w:rPr>
          <w:rFonts w:ascii="Times New Roman" w:cs="Times New Roman" w:eastAsia="Times New Roman" w:hAnsi="Times New Roman"/>
          <w:sz w:val="17"/>
          <w:szCs w:val="17"/>
          <w:b w:val="1"/>
          <w:bCs w:val="1"/>
          <w:color w:val="auto"/>
        </w:rPr>
        <w:t>48265 -3000</w:t>
      </w:r>
    </w:p>
    <w:p>
      <w:pPr>
        <w:spacing w:after="0" w:line="43"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20" w:space="720"/>
            <w:col w:w="2860"/>
          </w:cols>
          <w:pgMar w:left="320" w:top="1440" w:right="479" w:bottom="1440" w:gutter="0" w:footer="0" w:header="0"/>
          <w:type w:val="continuous"/>
        </w:sectPr>
      </w:pPr>
    </w:p>
    <w:p>
      <w:pPr>
        <w:spacing w:after="0" w:line="1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(313) 667-1500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9" w:lineRule="exact"/>
        <w:rPr>
          <w:rFonts w:ascii="MS PGothic" w:cs="MS PGothic" w:eastAsia="MS PGothic" w:hAnsi="MS PGothic"/>
          <w:sz w:val="18"/>
          <w:szCs w:val="18"/>
          <w:color w:val="auto"/>
        </w:rPr>
      </w:pPr>
    </w:p>
    <w:p>
      <w:pPr>
        <w:ind w:left="620" w:hanging="574"/>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69" w:lineRule="exact"/>
        <w:rPr>
          <w:rFonts w:ascii="MS PGothic" w:cs="MS PGothic" w:eastAsia="MS PGothic" w:hAnsi="MS PGothic"/>
          <w:sz w:val="18"/>
          <w:szCs w:val="18"/>
          <w:color w:val="auto"/>
        </w:rPr>
      </w:pPr>
    </w:p>
    <w:p>
      <w:pPr>
        <w:ind w:left="3760" w:right="3240" w:hanging="3714"/>
        <w:spacing w:after="0" w:line="414" w:lineRule="auto"/>
        <w:tabs>
          <w:tab w:leader="none" w:pos="6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3" w:lineRule="exact"/>
        <w:rPr>
          <w:sz w:val="24"/>
          <w:szCs w:val="24"/>
          <w:color w:val="auto"/>
        </w:rPr>
      </w:pPr>
    </w:p>
    <w:tbl>
      <w:tblPr>
        <w:tblLayout w:type="fixed"/>
        <w:tblInd w:w="132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tcPr>
          <w:p>
            <w:pPr>
              <w:spacing w:after="0"/>
              <w:rPr>
                <w:sz w:val="16"/>
                <w:szCs w:val="16"/>
                <w:color w:val="auto"/>
              </w:rPr>
            </w:pP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Trading Symbol(s)</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30"/>
        </w:trPr>
        <w:tc>
          <w:tcPr>
            <w:tcW w:w="3680" w:type="dxa"/>
            <w:vAlign w:val="bottom"/>
            <w:gridSpan w:val="3"/>
          </w:tcPr>
          <w:p>
            <w:pPr>
              <w:jc w:val="center"/>
              <w:ind w:right="158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440" w:type="dxa"/>
            <w:vAlign w:val="bottom"/>
            <w:gridSpan w:val="2"/>
          </w:tcPr>
          <w:p>
            <w:pPr>
              <w:jc w:val="center"/>
              <w:ind w:right="1220"/>
              <w:spacing w:after="0"/>
              <w:rPr>
                <w:sz w:val="20"/>
                <w:szCs w:val="20"/>
                <w:color w:val="auto"/>
              </w:rPr>
            </w:pPr>
            <w:r>
              <w:rPr>
                <w:rFonts w:ascii="Times New Roman" w:cs="Times New Roman" w:eastAsia="Times New Roman" w:hAnsi="Times New Roman"/>
                <w:sz w:val="16"/>
                <w:szCs w:val="16"/>
                <w:color w:val="auto"/>
              </w:rPr>
              <w:t>GM</w:t>
            </w: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208"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On May 1, 2025, General Motors Company (the "Company") updated its 2025 full-year earnings guidance as follows:</w:t>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12"/>
        </w:trPr>
        <w:tc>
          <w:tcPr>
            <w:tcW w:w="3480" w:type="dxa"/>
            <w:vAlign w:val="bottom"/>
          </w:tcPr>
          <w:p>
            <w:pPr>
              <w:spacing w:after="0"/>
              <w:rPr>
                <w:sz w:val="18"/>
                <w:szCs w:val="18"/>
                <w:color w:val="auto"/>
              </w:rPr>
            </w:pPr>
          </w:p>
        </w:tc>
        <w:tc>
          <w:tcPr>
            <w:tcW w:w="32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Updated 2025 Guidance</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Previous 2025 Guidance</w:t>
            </w:r>
          </w:p>
        </w:tc>
      </w:tr>
      <w:tr>
        <w:trPr>
          <w:trHeight w:val="23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$8.2 billion - $10.1 billion</w:t>
            </w:r>
          </w:p>
        </w:tc>
        <w:tc>
          <w:tcPr>
            <w:tcW w:w="25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$11.2 billion - $12.5 billion</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EBIT-adjusted</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$10.0 billion - $12.5 billion</w:t>
            </w:r>
          </w:p>
        </w:tc>
        <w:tc>
          <w:tcPr>
            <w:tcW w:w="25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$13.7 billion - $15.7 billion</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Automotive operating cash flow</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$17.3 billion - $20.8 billion</w:t>
            </w:r>
          </w:p>
        </w:tc>
        <w:tc>
          <w:tcPr>
            <w:tcW w:w="25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$21.0 billion - $24.0 billion</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Adjusted automotive free cash flow</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$7.5 billion - $10.0 billion</w:t>
            </w:r>
          </w:p>
        </w:tc>
        <w:tc>
          <w:tcPr>
            <w:tcW w:w="25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8"/>
              </w:rPr>
              <w:t>$11.0 billion - $13.0 billion</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EPS-diluted</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$8.82 - $10.57</w:t>
            </w:r>
          </w:p>
        </w:tc>
        <w:tc>
          <w:tcPr>
            <w:tcW w:w="25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$11.00 - $12.00</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EPS-diluted-adjusted</w:t>
            </w:r>
          </w:p>
        </w:tc>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$8.25 - $10.00</w:t>
            </w:r>
          </w:p>
        </w:tc>
        <w:tc>
          <w:tcPr>
            <w:tcW w:w="25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$11.00 - $12.00</w:t>
            </w:r>
          </w:p>
        </w:tc>
      </w:tr>
    </w:tbl>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updated guidance includes an estimated tariff-related impact of $4.0 billion to $5.0 billion based on the current regulatory and policy environment.</w:t>
      </w:r>
    </w:p>
    <w:p>
      <w:pPr>
        <w:spacing w:after="0" w:line="25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Company continues to anticipate 2025 full-year capital spending (inclusive of investments in its battery cell manufacturing joint ventures) to be $10.0 billion to $11.0 billion.</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below for reconciliations of non-GAAP measures to their most directly comparable GAAP measures.</w:t>
      </w:r>
    </w:p>
    <w:p>
      <w:pPr>
        <w:spacing w:after="0" w:line="252"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Additionally, on May 1, 2025, Mary T. Barra, Chair and Chief Executive Officer of the Company, and Paul Jacobson, Executive Vice President and Chief Financial Officer of the Company, will host a conference call at 8:30 a.m. ET with the investment community to discuss the Company’s first quarter results and its updated guidance provided herein. Conference call details are included below:</w:t>
      </w:r>
    </w:p>
    <w:p>
      <w:pPr>
        <w:spacing w:after="0" w:line="225" w:lineRule="exact"/>
        <w:rPr>
          <w:sz w:val="20"/>
          <w:szCs w:val="20"/>
          <w:color w:val="auto"/>
        </w:rPr>
      </w:pPr>
    </w:p>
    <w:p>
      <w:pPr>
        <w:ind w:left="660" w:hanging="166"/>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1-800-857-9821 (U.S.)</w:t>
      </w:r>
    </w:p>
    <w:p>
      <w:pPr>
        <w:spacing w:after="0" w:line="17" w:lineRule="exact"/>
        <w:rPr>
          <w:rFonts w:ascii="Arial" w:cs="Arial" w:eastAsia="Arial" w:hAnsi="Arial"/>
          <w:sz w:val="22"/>
          <w:szCs w:val="22"/>
          <w:color w:val="auto"/>
        </w:rPr>
      </w:pPr>
    </w:p>
    <w:p>
      <w:pPr>
        <w:ind w:left="660" w:hanging="166"/>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1-517-308-9481 (international/caller-paid)</w:t>
      </w:r>
    </w:p>
    <w:p>
      <w:pPr>
        <w:spacing w:after="0" w:line="13" w:lineRule="exact"/>
        <w:rPr>
          <w:rFonts w:ascii="Arial" w:cs="Arial" w:eastAsia="Arial" w:hAnsi="Arial"/>
          <w:sz w:val="22"/>
          <w:szCs w:val="22"/>
          <w:color w:val="auto"/>
        </w:rPr>
      </w:pPr>
    </w:p>
    <w:p>
      <w:pPr>
        <w:ind w:left="660" w:hanging="166"/>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Conference call passcode: General Motors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 audio replay will be available on the GM Investor Relations website in the Events section</w:t>
      </w:r>
      <w:r>
        <w:rPr>
          <w:rFonts w:ascii="Times New Roman" w:cs="Times New Roman" w:eastAsia="Times New Roman" w:hAnsi="Times New Roman"/>
          <w:sz w:val="18"/>
          <w:szCs w:val="18"/>
          <w:color w:val="373F42"/>
        </w:rPr>
        <w:t>.</w:t>
      </w:r>
    </w:p>
    <w:p>
      <w:pPr>
        <w:spacing w:after="0" w:line="252" w:lineRule="exact"/>
        <w:rPr>
          <w:sz w:val="20"/>
          <w:szCs w:val="20"/>
          <w:color w:val="auto"/>
        </w:rPr>
      </w:pPr>
    </w:p>
    <w:p>
      <w:pPr>
        <w:ind w:right="20" w:firstLine="162"/>
        <w:spacing w:after="0" w:line="282" w:lineRule="auto"/>
        <w:rPr>
          <w:sz w:val="20"/>
          <w:szCs w:val="20"/>
          <w:color w:val="auto"/>
        </w:rPr>
      </w:pPr>
      <w:r>
        <w:rPr>
          <w:rFonts w:ascii="Times New Roman" w:cs="Times New Roman" w:eastAsia="Times New Roman" w:hAnsi="Times New Roman"/>
          <w:sz w:val="18"/>
          <w:szCs w:val="18"/>
          <w:color w:val="auto"/>
        </w:rPr>
        <w:t>Charts furnished to securities analysts in connection with the Company’s 2025 first quarter consolidated earnings release are available on the Company’s website at www.gm.com/investors/earnings-releases.html.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to expected EBIT-adjusted (dollars in billions):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2800" w:type="dxa"/>
            <w:vAlign w:val="bottom"/>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94"/>
        </w:trPr>
        <w:tc>
          <w:tcPr>
            <w:tcW w:w="8420" w:type="dxa"/>
            <w:vAlign w:val="bottom"/>
          </w:tcPr>
          <w:p>
            <w:pPr>
              <w:spacing w:after="0"/>
              <w:rPr>
                <w:sz w:val="16"/>
                <w:szCs w:val="16"/>
                <w:color w:val="auto"/>
              </w:rPr>
            </w:pPr>
          </w:p>
        </w:tc>
        <w:tc>
          <w:tcPr>
            <w:tcW w:w="28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5"/>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$ 8.2-10.1</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Automotive interest income, net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8"/>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EBIT-adjusted</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$ 10.0-12.5</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2"/>
        <w:spacing w:after="0" w:line="258"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our current report on Form 8-K filed on April 29, 2025 for the reconciliation of Net income attributable to stockholders to EBIT-adjusted and segment profit (loss) and for adjustment details for the three months ended March 31, 2025. These expected financial results do not include the potential impact of future adjustments related to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1466215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18"/>
          <w:szCs w:val="18"/>
          <w:color w:val="auto"/>
        </w:rPr>
        <w:t>The following table reconciles expected EPS-diluted to expected EPS-diluted-adjusted: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2800" w:type="dxa"/>
            <w:vAlign w:val="bottom"/>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96"/>
        </w:trPr>
        <w:tc>
          <w:tcPr>
            <w:tcW w:w="8420" w:type="dxa"/>
            <w:vAlign w:val="bottom"/>
          </w:tcPr>
          <w:p>
            <w:pPr>
              <w:spacing w:after="0"/>
              <w:rPr>
                <w:sz w:val="17"/>
                <w:szCs w:val="17"/>
                <w:color w:val="auto"/>
              </w:rPr>
            </w:pPr>
          </w:p>
        </w:tc>
        <w:tc>
          <w:tcPr>
            <w:tcW w:w="280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5"/>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$ 8.82-10.57</w:t>
            </w:r>
          </w:p>
        </w:tc>
      </w:t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28"/>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EPS-diluted-adjusted</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$ 8.25-10.00</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2"/>
        <w:spacing w:after="0" w:line="270" w:lineRule="auto"/>
        <w:tabs>
          <w:tab w:leader="none" w:pos="3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our current report on Form 8-K filed on April 29, 2025 for the reconciliation of diluted earnings per common share to EPS-diluted-adjusted and for adjustment details for the three months ended March 31, 2025. These expected financial results do not include the potential impact of future adjustments related to special items.</w:t>
      </w:r>
    </w:p>
    <w:p>
      <w:pPr>
        <w:spacing w:after="0" w:line="19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following table reconciles expected automotive net cash provided by operating activities to expected adjusted automotive free cash flow (dollars in billions):</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420" w:type="dxa"/>
            <w:vAlign w:val="bottom"/>
          </w:tcPr>
          <w:p>
            <w:pPr>
              <w:spacing w:after="0"/>
              <w:rPr>
                <w:sz w:val="13"/>
                <w:szCs w:val="13"/>
                <w:color w:val="auto"/>
              </w:rPr>
            </w:pPr>
          </w:p>
        </w:tc>
        <w:tc>
          <w:tcPr>
            <w:tcW w:w="2800" w:type="dxa"/>
            <w:vAlign w:val="bottom"/>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94"/>
        </w:trPr>
        <w:tc>
          <w:tcPr>
            <w:tcW w:w="8420" w:type="dxa"/>
            <w:vAlign w:val="bottom"/>
          </w:tcPr>
          <w:p>
            <w:pPr>
              <w:spacing w:after="0"/>
              <w:rPr>
                <w:sz w:val="16"/>
                <w:szCs w:val="16"/>
                <w:color w:val="auto"/>
              </w:rPr>
            </w:pPr>
          </w:p>
        </w:tc>
        <w:tc>
          <w:tcPr>
            <w:tcW w:w="28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5"/>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Net automotive cash provided by operating activities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$ 17.3-20.8</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10.0-11.0</w:t>
            </w:r>
          </w:p>
        </w:tc>
      </w:t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8"/>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Adjusted automotive free cash flow(a)</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$ 7.5-10.0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These expected financial results do not include the potential impact of future adjustments related to special items.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56" w:lineRule="exact"/>
        <w:rPr>
          <w:sz w:val="20"/>
          <w:szCs w:val="20"/>
          <w:color w:val="auto"/>
        </w:rPr>
      </w:pPr>
    </w:p>
    <w:p>
      <w:pPr>
        <w:jc w:val="both"/>
        <w:ind w:firstLine="162"/>
        <w:spacing w:after="0" w:line="251" w:lineRule="auto"/>
        <w:rPr>
          <w:sz w:val="20"/>
          <w:szCs w:val="20"/>
          <w:color w:val="auto"/>
        </w:rPr>
      </w:pPr>
      <w:r>
        <w:rPr>
          <w:rFonts w:ascii="Times New Roman" w:cs="Times New Roman" w:eastAsia="Times New Roman" w:hAnsi="Times New Roman"/>
          <w:sz w:val="18"/>
          <w:szCs w:val="18"/>
          <w:color w:val="auto"/>
        </w:rPr>
        <w:t>This 8-K, the document incorporated herein by reference, and related comments by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 (1) 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adoptions of EVs by consumers; (6) 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w:t>
      </w:r>
    </w:p>
    <w:p>
      <w:pPr>
        <w:spacing w:after="0" w:line="8" w:lineRule="exact"/>
        <w:rPr>
          <w:sz w:val="20"/>
          <w:szCs w:val="20"/>
          <w:color w:val="auto"/>
        </w:rPr>
      </w:pPr>
    </w:p>
    <w:p>
      <w:pPr>
        <w:jc w:val="both"/>
        <w:ind w:firstLine="8"/>
        <w:spacing w:after="0" w:line="252" w:lineRule="auto"/>
        <w:tabs>
          <w:tab w:leader="none" w:pos="3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(15) 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 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operations and products, including those relating to fuel economy, emissions and AVs; (23) costs and risks associated with litigation and government investigations; (24) 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For a further discussion of these and other risks and uncertainties, refer to our Annual Report on Form 10-K for the year ended December 31, 2024 and our Quarterly Report on Form 10-Q for the quarter ended March 31, 2025, as updated by our subsequent filings with the SEC.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1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of Current Report on Form 8-K shall not be considered “filed” for purposes of Section 18 of the Securities Exchange Act of 1934, as amended, or otherwise subject to the liabilities of that section, and such information shall not be deemed incorporated by reference in any filing by the Company under the Securities Act of 1933, as amended, or the Securities Exchange Act of 1934, as amended, except as may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5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37"/>
        </w:trPr>
        <w:tc>
          <w:tcPr>
            <w:tcW w:w="40" w:type="dxa"/>
            <w:vAlign w:val="bottom"/>
          </w:tcPr>
          <w:p>
            <w:pPr>
              <w:spacing w:after="0"/>
              <w:rPr>
                <w:sz w:val="20"/>
                <w:szCs w:val="20"/>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760" w:type="dxa"/>
            <w:vAlign w:val="bottom"/>
            <w:tcBorders>
              <w:top w:val="single" w:sz="8" w:color="auto"/>
            </w:tcBorders>
          </w:tcPr>
          <w:p>
            <w:pPr>
              <w:spacing w:after="0"/>
              <w:rPr>
                <w:sz w:val="20"/>
                <w:szCs w:val="20"/>
                <w:color w:val="auto"/>
              </w:rPr>
            </w:pPr>
          </w:p>
        </w:tc>
        <w:tc>
          <w:tcPr>
            <w:tcW w:w="524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8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780"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GENERAL MOTORS COMPANY (Registrant)</w:t>
            </w:r>
          </w:p>
        </w:tc>
      </w:tr>
      <w:tr>
        <w:trPr>
          <w:trHeight w:val="743"/>
        </w:trPr>
        <w:tc>
          <w:tcPr>
            <w:tcW w:w="606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T. HATTO</w:t>
            </w:r>
          </w:p>
        </w:tc>
      </w:tr>
      <w:tr>
        <w:trPr>
          <w:trHeight w:val="169"/>
        </w:trPr>
        <w:tc>
          <w:tcPr>
            <w:tcW w:w="6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Date: May 1, 2025</w:t>
            </w:r>
          </w:p>
        </w:tc>
        <w:tc>
          <w:tcPr>
            <w:tcW w:w="5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tc>
      </w:tr>
      <w:tr>
        <w:trPr>
          <w:trHeight w:val="234"/>
        </w:trPr>
        <w:tc>
          <w:tcPr>
            <w:tcW w:w="606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 w:lineRule="exact"/>
        <w:rPr>
          <w:sz w:val="20"/>
          <w:szCs w:val="20"/>
          <w:color w:val="auto"/>
        </w:rPr>
      </w:pPr>
    </w:p>
    <w:sectPr>
      <w:pgSz w:w="11900" w:h="16838" w:orient="portrait"/>
      <w:cols w:equalWidth="0" w:num="1">
        <w:col w:w="11220"/>
      </w:cols>
      <w:pgMar w:left="320" w:top="113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2025-05-01T05:40:56Z</dcterms:created>
  <dcterms:modified xsi:type="dcterms:W3CDTF">2025-05-01T05:40:56Z</dcterms:modified>
</cp:coreProperties>
</file>