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-744855</wp:posOffset>
            </wp:positionV>
            <wp:extent cx="6732905" cy="5345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534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56" w:right="680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rFonts w:ascii="Times New Roman" w:cs="Times New Roman" w:eastAsia="Times New Roman" w:hAnsi="Times New Roman"/>
          <w:sz w:val="19"/>
          <w:szCs w:val="19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Reuss Mark L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 RENAISSANCE CENTER M/C: 482-C24-A68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(Street)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48265-3000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02/06/2024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10b5-1(c) Transaction Indication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00" w:right="22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220" w:space="480"/>
            <w:col w:w="6860"/>
          </w:cols>
          <w:pgMar w:left="660" w:top="556" w:right="680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91,787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91,787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91,787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 ("RSUs") are awarded pursuant to the Company's 2020 Long-Term Incentive Plan.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5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18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RSUs do not have a date on which they will expire. They will be fully vested on February 6, 2027.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360"/>
        <w:spacing w:after="0" w:line="2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-17145</wp:posOffset>
            </wp:positionV>
            <wp:extent cx="131127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54864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5377180</wp:posOffset>
            </wp:positionH>
            <wp:positionV relativeFrom="paragraph">
              <wp:posOffset>-81280</wp:posOffset>
            </wp:positionV>
            <wp:extent cx="44958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492362" TargetMode="External"/><Relationship Id="rId11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2024-02-08T19:30:58Z</dcterms:created>
  <dcterms:modified xsi:type="dcterms:W3CDTF">2024-02-08T19:30:58Z</dcterms:modified>
</cp:coreProperties>
</file>